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4EE5" w14:textId="3296B553" w:rsidR="001E349B" w:rsidRDefault="008B20E8" w:rsidP="001E349B">
      <w:r w:rsidRPr="008B20E8">
        <w:rPr>
          <w:noProof/>
          <w:lang w:eastAsia="en-AU"/>
        </w:rPr>
        <w:drawing>
          <wp:anchor distT="0" distB="0" distL="114300" distR="114300" simplePos="0" relativeHeight="251658243" behindDoc="0" locked="0" layoutInCell="1" allowOverlap="1" wp14:anchorId="1E1537BA" wp14:editId="2F07A0EE">
            <wp:simplePos x="0" y="0"/>
            <wp:positionH relativeFrom="page">
              <wp:posOffset>431800</wp:posOffset>
            </wp:positionH>
            <wp:positionV relativeFrom="page">
              <wp:posOffset>431800</wp:posOffset>
            </wp:positionV>
            <wp:extent cx="3185786" cy="914400"/>
            <wp:effectExtent l="0" t="0" r="0" b="0"/>
            <wp:wrapNone/>
            <wp:docPr id="1" name="Picture 1" descr="D:\Tortoise\DeloitteAU\Templafy\Graphics\White_Logo_Access_Economics.emf"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ortoise\DeloitteAU\Templafy\Graphics\White_Logo_Access_Economics.e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5786" cy="9144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Ref151983861"/>
      <w:bookmarkEnd w:id="0"/>
    </w:p>
    <w:p w14:paraId="6F7768FA" w14:textId="77777777" w:rsidR="001E349B" w:rsidRPr="004A7D78" w:rsidRDefault="001E349B" w:rsidP="001E349B">
      <w:r w:rsidRPr="004A7D78">
        <w:rPr>
          <w:noProof/>
          <w:lang w:eastAsia="en-AU"/>
        </w:rPr>
        <mc:AlternateContent>
          <mc:Choice Requires="wps">
            <w:drawing>
              <wp:anchor distT="0" distB="0" distL="114300" distR="114300" simplePos="0" relativeHeight="251658240" behindDoc="1" locked="1" layoutInCell="1" allowOverlap="1" wp14:anchorId="52B59371" wp14:editId="76A73DCD">
                <wp:simplePos x="0" y="0"/>
                <wp:positionH relativeFrom="page">
                  <wp:align>left</wp:align>
                </wp:positionH>
                <wp:positionV relativeFrom="page">
                  <wp:align>top</wp:align>
                </wp:positionV>
                <wp:extent cx="7176770" cy="10334625"/>
                <wp:effectExtent l="0" t="0" r="5080" b="9525"/>
                <wp:wrapNone/>
                <wp:docPr id="35" name="Rectangle 35"/>
                <wp:cNvGraphicFramePr/>
                <a:graphic xmlns:a="http://schemas.openxmlformats.org/drawingml/2006/main">
                  <a:graphicData uri="http://schemas.microsoft.com/office/word/2010/wordprocessingShape">
                    <wps:wsp>
                      <wps:cNvSpPr/>
                      <wps:spPr>
                        <a:xfrm>
                          <a:off x="0" y="0"/>
                          <a:ext cx="7176770" cy="103346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0065" w14:textId="143EA0F3" w:rsidR="00F12EFB" w:rsidRDefault="00F12EFB" w:rsidP="004F6D43">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59371" id="Rectangle 35" o:spid="_x0000_s1026" style="position:absolute;margin-left:0;margin-top:0;width:565.1pt;height:813.7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" stroked="f" strokeweight="2pt">
                <v:textbox>
                  <w:txbxContent>
                    <w:p w14:paraId="09B70065" w14:textId="143EA0F3" w:rsidR="00F12EFB" w:rsidRDefault="00F12EFB" w:rsidP="004F6D43">
                      <w:pPr>
                        <w:ind w:left="567"/>
                      </w:pPr>
                    </w:p>
                  </w:txbxContent>
                </v:textbox>
                <w10:wrap anchorx="page" anchory="page"/>
                <w10:anchorlock/>
              </v:rect>
            </w:pict>
          </mc:Fallback>
        </mc:AlternateContent>
      </w:r>
      <w:r w:rsidRPr="004A7D78">
        <w:rPr>
          <w:noProof/>
          <w:lang w:eastAsia="en-AU"/>
        </w:rPr>
        <mc:AlternateContent>
          <mc:Choice Requires="wps">
            <w:drawing>
              <wp:anchor distT="0" distB="0" distL="114300" distR="114300" simplePos="0" relativeHeight="251658242" behindDoc="1" locked="1" layoutInCell="1" allowOverlap="1" wp14:anchorId="0B4F54EF" wp14:editId="3F3A6D0B">
                <wp:simplePos x="0" y="0"/>
                <wp:positionH relativeFrom="page">
                  <wp:posOffset>428625</wp:posOffset>
                </wp:positionH>
                <wp:positionV relativeFrom="page">
                  <wp:posOffset>428625</wp:posOffset>
                </wp:positionV>
                <wp:extent cx="6746875" cy="96774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746875" cy="96774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ayout w:type="fixed"/>
                              <w:tblLook w:val="04A0" w:firstRow="1" w:lastRow="0" w:firstColumn="1" w:lastColumn="0" w:noHBand="0" w:noVBand="1"/>
                            </w:tblPr>
                            <w:tblGrid>
                              <w:gridCol w:w="10603"/>
                              <w:gridCol w:w="10603"/>
                            </w:tblGrid>
                            <w:tr w:rsidR="001E349B" w:rsidRPr="00AA1B91" w14:paraId="2045F5E6" w14:textId="77777777">
                              <w:trPr>
                                <w:cnfStyle w:val="100000000000" w:firstRow="1" w:lastRow="0" w:firstColumn="0" w:lastColumn="0" w:oddVBand="0" w:evenVBand="0" w:oddHBand="0" w:evenHBand="0" w:firstRowFirstColumn="0" w:firstRowLastColumn="0" w:lastRowFirstColumn="0" w:lastRowLastColumn="0"/>
                                <w:trHeight w:val="1604"/>
                              </w:trPr>
                              <w:tc>
                                <w:tcPr>
                                  <w:tcW w:w="10603" w:type="dxa"/>
                                  <w:gridSpan w:val="2"/>
                                </w:tcPr>
                                <w:p w14:paraId="54B0DE1E" w14:textId="41B14D0A" w:rsidR="001E349B" w:rsidRPr="00AA1B91" w:rsidRDefault="004F6D43">
                                  <w:bookmarkStart w:id="1" w:name="Frontpage_Logo_Positiv"/>
                                  <w:bookmarkEnd w:id="1"/>
                                  <w:r w:rsidRPr="00EB1970">
                                    <w:rPr>
                                      <w:noProof/>
                                    </w:rPr>
                                    <w:drawing>
                                      <wp:inline distT="0" distB="0" distL="0" distR="0" wp14:anchorId="49E54C67" wp14:editId="7CB0E81A">
                                        <wp:extent cx="2085975" cy="914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5" name="Frontpage_Logo_Positiv"/>
                                                <pic:cNvPicPr/>
                                              </pic:nvPicPr>
                                              <pic:blipFill>
                                                <a:blip r:embed="rId15"/>
                                                <a:srcRect/>
                                                <a:stretch/>
                                              </pic:blipFill>
                                              <pic:spPr>
                                                <a:xfrm>
                                                  <a:off x="0" y="0"/>
                                                  <a:ext cx="2085975" cy="914400"/>
                                                </a:xfrm>
                                                <a:prstGeom prst="rect">
                                                  <a:avLst/>
                                                </a:prstGeom>
                                              </pic:spPr>
                                            </pic:pic>
                                          </a:graphicData>
                                        </a:graphic>
                                      </wp:inline>
                                    </w:drawing>
                                  </w:r>
                                </w:p>
                              </w:tc>
                            </w:tr>
                            <w:tr w:rsidR="001E349B" w:rsidRPr="00AA1B91" w14:paraId="4569492C" w14:textId="33AE1685" w:rsidTr="00981018">
                              <w:trPr>
                                <w:trHeight w:hRule="exact" w:val="10603"/>
                              </w:trPr>
                              <w:tc>
                                <w:tcPr>
                                  <w:tcW w:w="10603" w:type="dxa"/>
                                </w:tcPr>
                                <w:p w14:paraId="36F73998" w14:textId="570C987B" w:rsidR="001E349B" w:rsidRPr="00AA1B91" w:rsidRDefault="00344A1F" w:rsidP="00344A42">
                                  <w:pPr>
                                    <w:pStyle w:val="FPPicture"/>
                                    <w:jc w:val="center"/>
                                  </w:pPr>
                                  <w:r w:rsidRPr="00344A1F">
                                    <w:rPr>
                                      <w:noProof/>
                                    </w:rPr>
                                    <w:drawing>
                                      <wp:inline distT="0" distB="0" distL="0" distR="0" wp14:anchorId="194285EC" wp14:editId="28185D0B">
                                        <wp:extent cx="4885636" cy="4786686"/>
                                        <wp:effectExtent l="0" t="0" r="0" b="0"/>
                                        <wp:docPr id="7" name="Picture 7">
                                          <a:extLst xmlns:a="http://schemas.openxmlformats.org/drawingml/2006/main">
                                            <a:ext uri="{FF2B5EF4-FFF2-40B4-BE49-F238E27FC236}">
                                              <a16:creationId xmlns:a16="http://schemas.microsoft.com/office/drawing/2014/main" id="{EB70CB5A-F439-E3F1-05AD-991DE12E7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B70CB5A-F439-E3F1-05AD-991DE12E70CB}"/>
                                                    </a:ext>
                                                  </a:extLst>
                                                </pic:cNvPr>
                                                <pic:cNvPicPr>
                                                  <a:picLocks noChangeAspect="1"/>
                                                </pic:cNvPicPr>
                                              </pic:nvPicPr>
                                              <pic:blipFill>
                                                <a:blip r:embed="rId16"/>
                                                <a:stretch>
                                                  <a:fillRect/>
                                                </a:stretch>
                                              </pic:blipFill>
                                              <pic:spPr>
                                                <a:xfrm>
                                                  <a:off x="0" y="0"/>
                                                  <a:ext cx="4885636" cy="4786686"/>
                                                </a:xfrm>
                                                <a:prstGeom prst="rect">
                                                  <a:avLst/>
                                                </a:prstGeom>
                                              </pic:spPr>
                                            </pic:pic>
                                          </a:graphicData>
                                        </a:graphic>
                                      </wp:inline>
                                    </w:drawing>
                                  </w:r>
                                </w:p>
                              </w:tc>
                              <w:tc>
                                <w:tcPr>
                                  <w:tcW w:w="10603" w:type="dxa"/>
                                </w:tcPr>
                                <w:p w14:paraId="58321557" w14:textId="7A53F00C" w:rsidR="00344A42" w:rsidRPr="00344A42" w:rsidRDefault="00344A42" w:rsidP="00344A42">
                                  <w:pPr>
                                    <w:pStyle w:val="FPPicture"/>
                                    <w:jc w:val="center"/>
                                    <w:rPr>
                                      <w:noProof/>
                                    </w:rPr>
                                  </w:pPr>
                                </w:p>
                              </w:tc>
                            </w:tr>
                          </w:tbl>
                          <w:p w14:paraId="7328E55D" w14:textId="77777777" w:rsidR="001E349B" w:rsidRDefault="001E349B" w:rsidP="00981018">
                            <w:pPr>
                              <w:pStyle w:val="NoSpacing"/>
                            </w:pPr>
                          </w:p>
                          <w:tbl>
                            <w:tblPr>
                              <w:tblStyle w:val="Tabel-Gitter1"/>
                              <w:tblOverlap w:val="never"/>
                              <w:tblW w:w="0" w:type="auto"/>
                              <w:tblLayout w:type="fixed"/>
                              <w:tblLook w:val="04A0" w:firstRow="1" w:lastRow="0" w:firstColumn="1" w:lastColumn="0" w:noHBand="0" w:noVBand="1"/>
                            </w:tblPr>
                            <w:tblGrid>
                              <w:gridCol w:w="6945"/>
                            </w:tblGrid>
                            <w:tr w:rsidR="001E349B" w14:paraId="07A14DA6" w14:textId="77777777">
                              <w:trPr>
                                <w:cnfStyle w:val="100000000000" w:firstRow="1" w:lastRow="0" w:firstColumn="0" w:lastColumn="0" w:oddVBand="0" w:evenVBand="0" w:oddHBand="0" w:evenHBand="0" w:firstRowFirstColumn="0" w:firstRowLastColumn="0" w:lastRowFirstColumn="0" w:lastRowLastColumn="0"/>
                                <w:trHeight w:val="2438"/>
                              </w:trPr>
                              <w:tc>
                                <w:tcPr>
                                  <w:tcW w:w="6945" w:type="dxa"/>
                                  <w:vAlign w:val="bottom"/>
                                  <w:hideMark/>
                                </w:tcPr>
                                <w:bookmarkStart w:id="2" w:name="start" w:displacedByCustomXml="next"/>
                                <w:sdt>
                                  <w:sdtPr>
                                    <w:rPr>
                                      <w:rFonts w:ascii="Open Sans Light" w:hAnsi="Open Sans Light" w:cs="Open Sans Light"/>
                                    </w:rPr>
                                    <w:alias w:val="Titel"/>
                                    <w:id w:val="-749505301"/>
                                    <w:dataBinding w:prefixMappings="xmlns:ns0='http://purl.org/dc/elements/1.1/' xmlns:ns1='http://schemas.openxmlformats.org/package/2006/metadata/core-properties' " w:xpath="/ns1:coreProperties[1]/ns0:title[1]" w:storeItemID="{6C3C8BC8-F283-45AE-878A-BAB7291924A1}"/>
                                    <w:text/>
                                  </w:sdtPr>
                                  <w:sdtEndPr/>
                                  <w:sdtContent>
                                    <w:p w14:paraId="678EBF17" w14:textId="1C43A4CE" w:rsidR="001E349B" w:rsidRPr="00165901" w:rsidRDefault="00105B67">
                                      <w:pPr>
                                        <w:pStyle w:val="Documenttitle"/>
                                        <w:rPr>
                                          <w:rFonts w:ascii="Open Sans Light" w:hAnsi="Open Sans Light" w:cs="Open Sans Light"/>
                                        </w:rPr>
                                      </w:pPr>
                                      <w:r>
                                        <w:rPr>
                                          <w:rFonts w:ascii="Open Sans Light" w:hAnsi="Open Sans Light" w:cs="Open Sans Light"/>
                                        </w:rPr>
                                        <w:t>Attachment B Regulatory Impact Statement_Private Security Regulations 2025.docx</w:t>
                                      </w:r>
                                    </w:p>
                                  </w:sdtContent>
                                </w:sdt>
                                <w:bookmarkEnd w:id="2" w:displacedByCustomXml="prev"/>
                                <w:p w14:paraId="0FEA334D" w14:textId="77777777" w:rsidR="00462010" w:rsidRDefault="00165901" w:rsidP="00462010">
                                  <w:pPr>
                                    <w:pStyle w:val="Documentsubtitle"/>
                                    <w:spacing w:after="0"/>
                                  </w:pPr>
                                  <w:r>
                                    <w:t xml:space="preserve">Department of </w:t>
                                  </w:r>
                                  <w:r w:rsidR="00462010">
                                    <w:t xml:space="preserve">Justice and Community </w:t>
                                  </w:r>
                                </w:p>
                                <w:p w14:paraId="6A45C659" w14:textId="30DFAC85" w:rsidR="001E349B" w:rsidRDefault="00462010" w:rsidP="00462010">
                                  <w:pPr>
                                    <w:pStyle w:val="Documentsubtitle"/>
                                    <w:spacing w:after="0"/>
                                  </w:pPr>
                                  <w:r>
                                    <w:t>Safety</w:t>
                                  </w:r>
                                </w:p>
                                <w:p w14:paraId="11D731E1" w14:textId="159D6092" w:rsidR="00A121B7" w:rsidRDefault="007E7995" w:rsidP="005D3CA2">
                                  <w:pPr>
                                    <w:pStyle w:val="Documentdate"/>
                                  </w:pPr>
                                  <w:r>
                                    <w:t>February</w:t>
                                  </w:r>
                                  <w:r w:rsidR="00530771">
                                    <w:t xml:space="preserve"> 2025</w:t>
                                  </w:r>
                                </w:p>
                              </w:tc>
                            </w:tr>
                          </w:tbl>
                          <w:p w14:paraId="522C82AA" w14:textId="77777777" w:rsidR="001E349B" w:rsidRPr="00AA1B91" w:rsidRDefault="001E349B" w:rsidP="001E349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F54EF" id="_x0000_t202" coordsize="21600,21600" o:spt="202" path="m,l,21600r21600,l21600,xe">
                <v:stroke joinstyle="miter"/>
                <v:path gradientshapeok="t" o:connecttype="rect"/>
              </v:shapetype>
              <v:shape id="Text Box 36" o:spid="_x0000_s1027" type="#_x0000_t202" style="position:absolute;margin-left:33.75pt;margin-top:33.75pt;width:531.25pt;height:76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" filled="f" fillcolor="white [3201]" stroked="f" strokeweight=".5pt">
                <v:textbox inset="0,0,0,0">
                  <w:txbxContent>
                    <w:tbl>
                      <w:tblPr>
                        <w:tblStyle w:val="TableGrid"/>
                        <w:tblW w:w="0" w:type="auto"/>
                        <w:tblLayout w:type="fixed"/>
                        <w:tblLook w:val="04A0" w:firstRow="1" w:lastRow="0" w:firstColumn="1" w:lastColumn="0" w:noHBand="0" w:noVBand="1"/>
                      </w:tblPr>
                      <w:tblGrid>
                        <w:gridCol w:w="10603"/>
                        <w:gridCol w:w="10603"/>
                      </w:tblGrid>
                      <w:tr w:rsidR="001E349B" w:rsidRPr="00AA1B91" w14:paraId="2045F5E6" w14:textId="77777777">
                        <w:trPr>
                          <w:cnfStyle w:val="100000000000" w:firstRow="1" w:lastRow="0" w:firstColumn="0" w:lastColumn="0" w:oddVBand="0" w:evenVBand="0" w:oddHBand="0" w:evenHBand="0" w:firstRowFirstColumn="0" w:firstRowLastColumn="0" w:lastRowFirstColumn="0" w:lastRowLastColumn="0"/>
                          <w:trHeight w:val="1604"/>
                        </w:trPr>
                        <w:tc>
                          <w:tcPr>
                            <w:tcW w:w="10603" w:type="dxa"/>
                            <w:gridSpan w:val="2"/>
                          </w:tcPr>
                          <w:p w14:paraId="54B0DE1E" w14:textId="41B14D0A" w:rsidR="001E349B" w:rsidRPr="00AA1B91" w:rsidRDefault="004F6D43">
                            <w:bookmarkStart w:id="3" w:name="Frontpage_Logo_Positiv"/>
                            <w:bookmarkEnd w:id="3"/>
                            <w:r w:rsidRPr="00EB1970">
                              <w:rPr>
                                <w:noProof/>
                              </w:rPr>
                              <w:drawing>
                                <wp:inline distT="0" distB="0" distL="0" distR="0" wp14:anchorId="49E54C67" wp14:editId="7CB0E81A">
                                  <wp:extent cx="2085975" cy="914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5" name="Frontpage_Logo_Positiv"/>
                                          <pic:cNvPicPr/>
                                        </pic:nvPicPr>
                                        <pic:blipFill>
                                          <a:blip r:embed="rId15"/>
                                          <a:srcRect/>
                                          <a:stretch/>
                                        </pic:blipFill>
                                        <pic:spPr>
                                          <a:xfrm>
                                            <a:off x="0" y="0"/>
                                            <a:ext cx="2085975" cy="914400"/>
                                          </a:xfrm>
                                          <a:prstGeom prst="rect">
                                            <a:avLst/>
                                          </a:prstGeom>
                                        </pic:spPr>
                                      </pic:pic>
                                    </a:graphicData>
                                  </a:graphic>
                                </wp:inline>
                              </w:drawing>
                            </w:r>
                          </w:p>
                        </w:tc>
                      </w:tr>
                      <w:tr w:rsidR="001E349B" w:rsidRPr="00AA1B91" w14:paraId="4569492C" w14:textId="33AE1685" w:rsidTr="00981018">
                        <w:trPr>
                          <w:trHeight w:hRule="exact" w:val="10603"/>
                        </w:trPr>
                        <w:tc>
                          <w:tcPr>
                            <w:tcW w:w="10603" w:type="dxa"/>
                          </w:tcPr>
                          <w:p w14:paraId="36F73998" w14:textId="570C987B" w:rsidR="001E349B" w:rsidRPr="00AA1B91" w:rsidRDefault="00344A1F" w:rsidP="00344A42">
                            <w:pPr>
                              <w:pStyle w:val="FPPicture"/>
                              <w:jc w:val="center"/>
                            </w:pPr>
                            <w:r w:rsidRPr="00344A1F">
                              <w:rPr>
                                <w:noProof/>
                              </w:rPr>
                              <w:drawing>
                                <wp:inline distT="0" distB="0" distL="0" distR="0" wp14:anchorId="194285EC" wp14:editId="28185D0B">
                                  <wp:extent cx="4885636" cy="4786686"/>
                                  <wp:effectExtent l="0" t="0" r="0" b="0"/>
                                  <wp:docPr id="7" name="Picture 7">
                                    <a:extLst xmlns:a="http://schemas.openxmlformats.org/drawingml/2006/main">
                                      <a:ext uri="{FF2B5EF4-FFF2-40B4-BE49-F238E27FC236}">
                                        <a16:creationId xmlns:a16="http://schemas.microsoft.com/office/drawing/2014/main" id="{EB70CB5A-F439-E3F1-05AD-991DE12E7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B70CB5A-F439-E3F1-05AD-991DE12E70CB}"/>
                                              </a:ext>
                                            </a:extLst>
                                          </pic:cNvPr>
                                          <pic:cNvPicPr>
                                            <a:picLocks noChangeAspect="1"/>
                                          </pic:cNvPicPr>
                                        </pic:nvPicPr>
                                        <pic:blipFill>
                                          <a:blip r:embed="rId16"/>
                                          <a:stretch>
                                            <a:fillRect/>
                                          </a:stretch>
                                        </pic:blipFill>
                                        <pic:spPr>
                                          <a:xfrm>
                                            <a:off x="0" y="0"/>
                                            <a:ext cx="4885636" cy="4786686"/>
                                          </a:xfrm>
                                          <a:prstGeom prst="rect">
                                            <a:avLst/>
                                          </a:prstGeom>
                                        </pic:spPr>
                                      </pic:pic>
                                    </a:graphicData>
                                  </a:graphic>
                                </wp:inline>
                              </w:drawing>
                            </w:r>
                          </w:p>
                        </w:tc>
                        <w:tc>
                          <w:tcPr>
                            <w:tcW w:w="10603" w:type="dxa"/>
                          </w:tcPr>
                          <w:p w14:paraId="58321557" w14:textId="7A53F00C" w:rsidR="00344A42" w:rsidRPr="00344A42" w:rsidRDefault="00344A42" w:rsidP="00344A42">
                            <w:pPr>
                              <w:pStyle w:val="FPPicture"/>
                              <w:jc w:val="center"/>
                              <w:rPr>
                                <w:noProof/>
                              </w:rPr>
                            </w:pPr>
                          </w:p>
                        </w:tc>
                      </w:tr>
                    </w:tbl>
                    <w:p w14:paraId="7328E55D" w14:textId="77777777" w:rsidR="001E349B" w:rsidRDefault="001E349B" w:rsidP="00981018">
                      <w:pPr>
                        <w:pStyle w:val="NoSpacing"/>
                      </w:pPr>
                    </w:p>
                    <w:tbl>
                      <w:tblPr>
                        <w:tblStyle w:val="Tabel-Gitter1"/>
                        <w:tblOverlap w:val="never"/>
                        <w:tblW w:w="0" w:type="auto"/>
                        <w:tblLayout w:type="fixed"/>
                        <w:tblLook w:val="04A0" w:firstRow="1" w:lastRow="0" w:firstColumn="1" w:lastColumn="0" w:noHBand="0" w:noVBand="1"/>
                      </w:tblPr>
                      <w:tblGrid>
                        <w:gridCol w:w="6945"/>
                      </w:tblGrid>
                      <w:tr w:rsidR="001E349B" w14:paraId="07A14DA6" w14:textId="77777777">
                        <w:trPr>
                          <w:cnfStyle w:val="100000000000" w:firstRow="1" w:lastRow="0" w:firstColumn="0" w:lastColumn="0" w:oddVBand="0" w:evenVBand="0" w:oddHBand="0" w:evenHBand="0" w:firstRowFirstColumn="0" w:firstRowLastColumn="0" w:lastRowFirstColumn="0" w:lastRowLastColumn="0"/>
                          <w:trHeight w:val="2438"/>
                        </w:trPr>
                        <w:tc>
                          <w:tcPr>
                            <w:tcW w:w="6945" w:type="dxa"/>
                            <w:vAlign w:val="bottom"/>
                            <w:hideMark/>
                          </w:tcPr>
                          <w:bookmarkStart w:id="4" w:name="start" w:displacedByCustomXml="next"/>
                          <w:sdt>
                            <w:sdtPr>
                              <w:rPr>
                                <w:rFonts w:ascii="Open Sans Light" w:hAnsi="Open Sans Light" w:cs="Open Sans Light"/>
                              </w:rPr>
                              <w:alias w:val="Titel"/>
                              <w:id w:val="-749505301"/>
                              <w:dataBinding w:prefixMappings="xmlns:ns0='http://purl.org/dc/elements/1.1/' xmlns:ns1='http://schemas.openxmlformats.org/package/2006/metadata/core-properties' " w:xpath="/ns1:coreProperties[1]/ns0:title[1]" w:storeItemID="{6C3C8BC8-F283-45AE-878A-BAB7291924A1}"/>
                              <w:text/>
                            </w:sdtPr>
                            <w:sdtEndPr/>
                            <w:sdtContent>
                              <w:p w14:paraId="678EBF17" w14:textId="1C43A4CE" w:rsidR="001E349B" w:rsidRPr="00165901" w:rsidRDefault="00105B67">
                                <w:pPr>
                                  <w:pStyle w:val="Documenttitle"/>
                                  <w:rPr>
                                    <w:rFonts w:ascii="Open Sans Light" w:hAnsi="Open Sans Light" w:cs="Open Sans Light"/>
                                  </w:rPr>
                                </w:pPr>
                                <w:r>
                                  <w:rPr>
                                    <w:rFonts w:ascii="Open Sans Light" w:hAnsi="Open Sans Light" w:cs="Open Sans Light"/>
                                  </w:rPr>
                                  <w:t>Attachment B Regulatory Impact Statement_Private Security Regulations 2025.docx</w:t>
                                </w:r>
                              </w:p>
                            </w:sdtContent>
                          </w:sdt>
                          <w:bookmarkEnd w:id="4" w:displacedByCustomXml="prev"/>
                          <w:p w14:paraId="0FEA334D" w14:textId="77777777" w:rsidR="00462010" w:rsidRDefault="00165901" w:rsidP="00462010">
                            <w:pPr>
                              <w:pStyle w:val="Documentsubtitle"/>
                              <w:spacing w:after="0"/>
                            </w:pPr>
                            <w:r>
                              <w:t xml:space="preserve">Department of </w:t>
                            </w:r>
                            <w:r w:rsidR="00462010">
                              <w:t xml:space="preserve">Justice and Community </w:t>
                            </w:r>
                          </w:p>
                          <w:p w14:paraId="6A45C659" w14:textId="30DFAC85" w:rsidR="001E349B" w:rsidRDefault="00462010" w:rsidP="00462010">
                            <w:pPr>
                              <w:pStyle w:val="Documentsubtitle"/>
                              <w:spacing w:after="0"/>
                            </w:pPr>
                            <w:r>
                              <w:t>Safety</w:t>
                            </w:r>
                          </w:p>
                          <w:p w14:paraId="11D731E1" w14:textId="159D6092" w:rsidR="00A121B7" w:rsidRDefault="007E7995" w:rsidP="005D3CA2">
                            <w:pPr>
                              <w:pStyle w:val="Documentdate"/>
                            </w:pPr>
                            <w:r>
                              <w:t>February</w:t>
                            </w:r>
                            <w:r w:rsidR="00530771">
                              <w:t xml:space="preserve"> 2025</w:t>
                            </w:r>
                          </w:p>
                        </w:tc>
                      </w:tr>
                    </w:tbl>
                    <w:p w14:paraId="522C82AA" w14:textId="77777777" w:rsidR="001E349B" w:rsidRPr="00AA1B91" w:rsidRDefault="001E349B" w:rsidP="001E349B"/>
                  </w:txbxContent>
                </v:textbox>
                <w10:wrap anchorx="page" anchory="page"/>
                <w10:anchorlock/>
              </v:shape>
            </w:pict>
          </mc:Fallback>
        </mc:AlternateContent>
      </w:r>
      <w:bookmarkStart w:id="5" w:name="BIT_CoverPage"/>
    </w:p>
    <w:p w14:paraId="53032B17" w14:textId="77777777" w:rsidR="001E349B" w:rsidRPr="004A7D78" w:rsidRDefault="001E349B" w:rsidP="001E349B"/>
    <w:bookmarkEnd w:id="5"/>
    <w:p w14:paraId="3B98FD54" w14:textId="77777777" w:rsidR="001E349B" w:rsidRDefault="001E349B" w:rsidP="00A31EF9"/>
    <w:p w14:paraId="773B4F89" w14:textId="0522BFBD" w:rsidR="001E349B" w:rsidRPr="000F05E4" w:rsidRDefault="00C918C8" w:rsidP="00A31EF9">
      <w:r w:rsidRPr="00EB1970">
        <w:rPr>
          <w:noProof/>
        </w:rPr>
        <w:drawing>
          <wp:anchor distT="0" distB="0" distL="114300" distR="114300" simplePos="0" relativeHeight="251658244" behindDoc="1" locked="0" layoutInCell="1" allowOverlap="1" wp14:anchorId="21151A19" wp14:editId="7B0BB82C">
            <wp:simplePos x="0" y="0"/>
            <wp:positionH relativeFrom="column">
              <wp:posOffset>4102100</wp:posOffset>
            </wp:positionH>
            <wp:positionV relativeFrom="paragraph">
              <wp:posOffset>7181215</wp:posOffset>
            </wp:positionV>
            <wp:extent cx="2462400" cy="813600"/>
            <wp:effectExtent l="0" t="0" r="0" b="5715"/>
            <wp:wrapNone/>
            <wp:docPr id="24" name="Picture 24"/>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62400" cy="813600"/>
                    </a:xfrm>
                    <a:prstGeom prst="rect">
                      <a:avLst/>
                    </a:prstGeom>
                  </pic:spPr>
                </pic:pic>
              </a:graphicData>
            </a:graphic>
          </wp:anchor>
        </w:drawing>
      </w:r>
    </w:p>
    <w:p w14:paraId="39673AAC" w14:textId="3921B2D9" w:rsidR="00D96296" w:rsidRDefault="00D96296" w:rsidP="008C16DC">
      <w:pPr>
        <w:pageBreakBefore/>
        <w:sectPr w:rsidR="00D96296" w:rsidSect="00C8573F">
          <w:headerReference w:type="default" r:id="rId18"/>
          <w:footerReference w:type="even" r:id="rId19"/>
          <w:footerReference w:type="default" r:id="rId20"/>
          <w:footerReference w:type="first" r:id="rId21"/>
          <w:pgSz w:w="11906" w:h="16838" w:code="9"/>
          <w:pgMar w:top="1440" w:right="1134" w:bottom="1440" w:left="1134" w:header="680" w:footer="425" w:gutter="0"/>
          <w:cols w:space="284"/>
          <w:docGrid w:linePitch="360"/>
        </w:sectPr>
      </w:pPr>
    </w:p>
    <w:p w14:paraId="0CBEC6CD" w14:textId="77777777" w:rsidR="002268CC" w:rsidRDefault="002268CC" w:rsidP="00004634">
      <w:pPr>
        <w:pStyle w:val="Heading1un-numbered"/>
      </w:pPr>
      <w:bookmarkStart w:id="6" w:name="LAN_ContentsRP"/>
      <w:bookmarkStart w:id="7" w:name="_Toc154038981"/>
      <w:bookmarkStart w:id="8" w:name="_Toc161320955"/>
      <w:bookmarkStart w:id="9" w:name="_Toc165561452"/>
      <w:bookmarkStart w:id="10" w:name="_Toc189832230"/>
      <w:r>
        <w:lastRenderedPageBreak/>
        <w:t>Contents</w:t>
      </w:r>
      <w:bookmarkEnd w:id="6"/>
      <w:bookmarkEnd w:id="7"/>
      <w:bookmarkEnd w:id="8"/>
      <w:bookmarkEnd w:id="9"/>
      <w:bookmarkEnd w:id="10"/>
    </w:p>
    <w:p w14:paraId="68BB4D5A" w14:textId="613190BD" w:rsidR="00004634" w:rsidRDefault="00415020">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"1-2" \h \z \u </w:instrText>
      </w:r>
      <w:r>
        <w:fldChar w:fldCharType="separate"/>
      </w:r>
      <w:hyperlink w:anchor="_Toc189832230" w:history="1">
        <w:r w:rsidR="00004634" w:rsidRPr="002D5006">
          <w:rPr>
            <w:rStyle w:val="Hyperlink"/>
            <w:noProof/>
          </w:rPr>
          <w:t>Contents</w:t>
        </w:r>
        <w:r w:rsidR="00004634">
          <w:rPr>
            <w:noProof/>
            <w:webHidden/>
          </w:rPr>
          <w:tab/>
        </w:r>
        <w:r w:rsidR="00004634">
          <w:rPr>
            <w:noProof/>
            <w:webHidden/>
          </w:rPr>
          <w:fldChar w:fldCharType="begin"/>
        </w:r>
        <w:r w:rsidR="00004634">
          <w:rPr>
            <w:noProof/>
            <w:webHidden/>
          </w:rPr>
          <w:instrText xml:space="preserve"> PAGEREF _Toc189832230 \h </w:instrText>
        </w:r>
        <w:r w:rsidR="00004634">
          <w:rPr>
            <w:noProof/>
            <w:webHidden/>
          </w:rPr>
        </w:r>
        <w:r w:rsidR="00004634">
          <w:rPr>
            <w:noProof/>
            <w:webHidden/>
          </w:rPr>
          <w:fldChar w:fldCharType="separate"/>
        </w:r>
        <w:r w:rsidR="009D133E">
          <w:rPr>
            <w:noProof/>
            <w:webHidden/>
          </w:rPr>
          <w:t>i</w:t>
        </w:r>
        <w:r w:rsidR="00004634">
          <w:rPr>
            <w:noProof/>
            <w:webHidden/>
          </w:rPr>
          <w:fldChar w:fldCharType="end"/>
        </w:r>
      </w:hyperlink>
    </w:p>
    <w:p w14:paraId="74937778" w14:textId="3EEA024D"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31" w:history="1">
        <w:r w:rsidRPr="002D5006">
          <w:rPr>
            <w:rStyle w:val="Hyperlink"/>
            <w:noProof/>
          </w:rPr>
          <w:t>Glossary</w:t>
        </w:r>
        <w:r>
          <w:rPr>
            <w:noProof/>
            <w:webHidden/>
          </w:rPr>
          <w:tab/>
        </w:r>
        <w:r>
          <w:rPr>
            <w:noProof/>
            <w:webHidden/>
          </w:rPr>
          <w:fldChar w:fldCharType="begin"/>
        </w:r>
        <w:r>
          <w:rPr>
            <w:noProof/>
            <w:webHidden/>
          </w:rPr>
          <w:instrText xml:space="preserve"> PAGEREF _Toc189832231 \h </w:instrText>
        </w:r>
        <w:r>
          <w:rPr>
            <w:noProof/>
            <w:webHidden/>
          </w:rPr>
        </w:r>
        <w:r>
          <w:rPr>
            <w:noProof/>
            <w:webHidden/>
          </w:rPr>
          <w:fldChar w:fldCharType="separate"/>
        </w:r>
        <w:r w:rsidR="009D133E">
          <w:rPr>
            <w:noProof/>
            <w:webHidden/>
          </w:rPr>
          <w:t>iii</w:t>
        </w:r>
        <w:r>
          <w:rPr>
            <w:noProof/>
            <w:webHidden/>
          </w:rPr>
          <w:fldChar w:fldCharType="end"/>
        </w:r>
      </w:hyperlink>
    </w:p>
    <w:p w14:paraId="585B2782" w14:textId="37AD94B8"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32" w:history="1">
        <w:r w:rsidRPr="002D5006">
          <w:rPr>
            <w:rStyle w:val="Hyperlink"/>
            <w:noProof/>
          </w:rPr>
          <w:t>Executive summary</w:t>
        </w:r>
        <w:r>
          <w:rPr>
            <w:noProof/>
            <w:webHidden/>
          </w:rPr>
          <w:tab/>
        </w:r>
        <w:r>
          <w:rPr>
            <w:noProof/>
            <w:webHidden/>
          </w:rPr>
          <w:fldChar w:fldCharType="begin"/>
        </w:r>
        <w:r>
          <w:rPr>
            <w:noProof/>
            <w:webHidden/>
          </w:rPr>
          <w:instrText xml:space="preserve"> PAGEREF _Toc189832232 \h </w:instrText>
        </w:r>
        <w:r>
          <w:rPr>
            <w:noProof/>
            <w:webHidden/>
          </w:rPr>
        </w:r>
        <w:r>
          <w:rPr>
            <w:noProof/>
            <w:webHidden/>
          </w:rPr>
          <w:fldChar w:fldCharType="separate"/>
        </w:r>
        <w:r w:rsidR="009D133E">
          <w:rPr>
            <w:noProof/>
            <w:webHidden/>
          </w:rPr>
          <w:t>iv</w:t>
        </w:r>
        <w:r>
          <w:rPr>
            <w:noProof/>
            <w:webHidden/>
          </w:rPr>
          <w:fldChar w:fldCharType="end"/>
        </w:r>
      </w:hyperlink>
    </w:p>
    <w:p w14:paraId="3C079C3D" w14:textId="428839F4"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33" w:history="1">
        <w:r w:rsidRPr="002D5006">
          <w:rPr>
            <w:rStyle w:val="Hyperlink"/>
            <w:noProof/>
          </w:rPr>
          <w:t>Purpose of this Regulatory Impact Statement (RIS)</w:t>
        </w:r>
        <w:r>
          <w:rPr>
            <w:noProof/>
            <w:webHidden/>
          </w:rPr>
          <w:tab/>
        </w:r>
        <w:r>
          <w:rPr>
            <w:noProof/>
            <w:webHidden/>
          </w:rPr>
          <w:fldChar w:fldCharType="begin"/>
        </w:r>
        <w:r>
          <w:rPr>
            <w:noProof/>
            <w:webHidden/>
          </w:rPr>
          <w:instrText xml:space="preserve"> PAGEREF _Toc189832233 \h </w:instrText>
        </w:r>
        <w:r>
          <w:rPr>
            <w:noProof/>
            <w:webHidden/>
          </w:rPr>
        </w:r>
        <w:r>
          <w:rPr>
            <w:noProof/>
            <w:webHidden/>
          </w:rPr>
          <w:fldChar w:fldCharType="separate"/>
        </w:r>
        <w:r w:rsidR="009D133E">
          <w:rPr>
            <w:noProof/>
            <w:webHidden/>
          </w:rPr>
          <w:t>iv</w:t>
        </w:r>
        <w:r>
          <w:rPr>
            <w:noProof/>
            <w:webHidden/>
          </w:rPr>
          <w:fldChar w:fldCharType="end"/>
        </w:r>
      </w:hyperlink>
    </w:p>
    <w:p w14:paraId="0B01AD3A" w14:textId="275A090C"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34" w:history="1">
        <w:r w:rsidRPr="002D5006">
          <w:rPr>
            <w:rStyle w:val="Hyperlink"/>
            <w:noProof/>
          </w:rPr>
          <w:t>Problem statement</w:t>
        </w:r>
        <w:r>
          <w:rPr>
            <w:noProof/>
            <w:webHidden/>
          </w:rPr>
          <w:tab/>
        </w:r>
        <w:r>
          <w:rPr>
            <w:noProof/>
            <w:webHidden/>
          </w:rPr>
          <w:fldChar w:fldCharType="begin"/>
        </w:r>
        <w:r>
          <w:rPr>
            <w:noProof/>
            <w:webHidden/>
          </w:rPr>
          <w:instrText xml:space="preserve"> PAGEREF _Toc189832234 \h </w:instrText>
        </w:r>
        <w:r>
          <w:rPr>
            <w:noProof/>
            <w:webHidden/>
          </w:rPr>
        </w:r>
        <w:r>
          <w:rPr>
            <w:noProof/>
            <w:webHidden/>
          </w:rPr>
          <w:fldChar w:fldCharType="separate"/>
        </w:r>
        <w:r w:rsidR="009D133E">
          <w:rPr>
            <w:noProof/>
            <w:webHidden/>
          </w:rPr>
          <w:t>iv</w:t>
        </w:r>
        <w:r>
          <w:rPr>
            <w:noProof/>
            <w:webHidden/>
          </w:rPr>
          <w:fldChar w:fldCharType="end"/>
        </w:r>
      </w:hyperlink>
    </w:p>
    <w:p w14:paraId="5A5F2E1C" w14:textId="2FC2E7D3"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35" w:history="1">
        <w:r w:rsidRPr="002D5006">
          <w:rPr>
            <w:rStyle w:val="Hyperlink"/>
            <w:noProof/>
          </w:rPr>
          <w:t>Objectives</w:t>
        </w:r>
        <w:r>
          <w:rPr>
            <w:noProof/>
            <w:webHidden/>
          </w:rPr>
          <w:tab/>
        </w:r>
        <w:r>
          <w:rPr>
            <w:noProof/>
            <w:webHidden/>
          </w:rPr>
          <w:fldChar w:fldCharType="begin"/>
        </w:r>
        <w:r>
          <w:rPr>
            <w:noProof/>
            <w:webHidden/>
          </w:rPr>
          <w:instrText xml:space="preserve"> PAGEREF _Toc189832235 \h </w:instrText>
        </w:r>
        <w:r>
          <w:rPr>
            <w:noProof/>
            <w:webHidden/>
          </w:rPr>
        </w:r>
        <w:r>
          <w:rPr>
            <w:noProof/>
            <w:webHidden/>
          </w:rPr>
          <w:fldChar w:fldCharType="separate"/>
        </w:r>
        <w:r w:rsidR="009D133E">
          <w:rPr>
            <w:noProof/>
            <w:webHidden/>
          </w:rPr>
          <w:t>v</w:t>
        </w:r>
        <w:r>
          <w:rPr>
            <w:noProof/>
            <w:webHidden/>
          </w:rPr>
          <w:fldChar w:fldCharType="end"/>
        </w:r>
      </w:hyperlink>
    </w:p>
    <w:p w14:paraId="1078D02D" w14:textId="4E8A8E66"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36" w:history="1">
        <w:r w:rsidRPr="002D5006">
          <w:rPr>
            <w:rStyle w:val="Hyperlink"/>
            <w:noProof/>
          </w:rPr>
          <w:t>Options for remaking the licensing requirements</w:t>
        </w:r>
        <w:r>
          <w:rPr>
            <w:noProof/>
            <w:webHidden/>
          </w:rPr>
          <w:tab/>
        </w:r>
        <w:r>
          <w:rPr>
            <w:noProof/>
            <w:webHidden/>
          </w:rPr>
          <w:fldChar w:fldCharType="begin"/>
        </w:r>
        <w:r>
          <w:rPr>
            <w:noProof/>
            <w:webHidden/>
          </w:rPr>
          <w:instrText xml:space="preserve"> PAGEREF _Toc189832236 \h </w:instrText>
        </w:r>
        <w:r>
          <w:rPr>
            <w:noProof/>
            <w:webHidden/>
          </w:rPr>
        </w:r>
        <w:r>
          <w:rPr>
            <w:noProof/>
            <w:webHidden/>
          </w:rPr>
          <w:fldChar w:fldCharType="separate"/>
        </w:r>
        <w:r w:rsidR="009D133E">
          <w:rPr>
            <w:noProof/>
            <w:webHidden/>
          </w:rPr>
          <w:t>v</w:t>
        </w:r>
        <w:r>
          <w:rPr>
            <w:noProof/>
            <w:webHidden/>
          </w:rPr>
          <w:fldChar w:fldCharType="end"/>
        </w:r>
      </w:hyperlink>
    </w:p>
    <w:p w14:paraId="05D70653" w14:textId="083884B2"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37" w:history="1">
        <w:r w:rsidRPr="002D5006">
          <w:rPr>
            <w:rStyle w:val="Hyperlink"/>
            <w:noProof/>
          </w:rPr>
          <w:t>Fee options</w:t>
        </w:r>
        <w:r>
          <w:rPr>
            <w:noProof/>
            <w:webHidden/>
          </w:rPr>
          <w:tab/>
        </w:r>
        <w:r>
          <w:rPr>
            <w:noProof/>
            <w:webHidden/>
          </w:rPr>
          <w:fldChar w:fldCharType="begin"/>
        </w:r>
        <w:r>
          <w:rPr>
            <w:noProof/>
            <w:webHidden/>
          </w:rPr>
          <w:instrText xml:space="preserve"> PAGEREF _Toc189832237 \h </w:instrText>
        </w:r>
        <w:r>
          <w:rPr>
            <w:noProof/>
            <w:webHidden/>
          </w:rPr>
        </w:r>
        <w:r>
          <w:rPr>
            <w:noProof/>
            <w:webHidden/>
          </w:rPr>
          <w:fldChar w:fldCharType="separate"/>
        </w:r>
        <w:r w:rsidR="009D133E">
          <w:rPr>
            <w:noProof/>
            <w:webHidden/>
          </w:rPr>
          <w:t>v</w:t>
        </w:r>
        <w:r>
          <w:rPr>
            <w:noProof/>
            <w:webHidden/>
          </w:rPr>
          <w:fldChar w:fldCharType="end"/>
        </w:r>
      </w:hyperlink>
    </w:p>
    <w:p w14:paraId="251A4591" w14:textId="7B53F0A9"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38" w:history="1">
        <w:r w:rsidRPr="002D5006">
          <w:rPr>
            <w:rStyle w:val="Hyperlink"/>
            <w:noProof/>
          </w:rPr>
          <w:t>Options analysis and summary of the preferred options</w:t>
        </w:r>
        <w:r>
          <w:rPr>
            <w:noProof/>
            <w:webHidden/>
          </w:rPr>
          <w:tab/>
        </w:r>
        <w:r>
          <w:rPr>
            <w:noProof/>
            <w:webHidden/>
          </w:rPr>
          <w:fldChar w:fldCharType="begin"/>
        </w:r>
        <w:r>
          <w:rPr>
            <w:noProof/>
            <w:webHidden/>
          </w:rPr>
          <w:instrText xml:space="preserve"> PAGEREF _Toc189832238 \h </w:instrText>
        </w:r>
        <w:r>
          <w:rPr>
            <w:noProof/>
            <w:webHidden/>
          </w:rPr>
        </w:r>
        <w:r>
          <w:rPr>
            <w:noProof/>
            <w:webHidden/>
          </w:rPr>
          <w:fldChar w:fldCharType="separate"/>
        </w:r>
        <w:r w:rsidR="009D133E">
          <w:rPr>
            <w:noProof/>
            <w:webHidden/>
          </w:rPr>
          <w:t>vi</w:t>
        </w:r>
        <w:r>
          <w:rPr>
            <w:noProof/>
            <w:webHidden/>
          </w:rPr>
          <w:fldChar w:fldCharType="end"/>
        </w:r>
      </w:hyperlink>
    </w:p>
    <w:p w14:paraId="7BEB93FA" w14:textId="033A7033"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39" w:history="1">
        <w:r w:rsidRPr="002D5006">
          <w:rPr>
            <w:rStyle w:val="Hyperlink"/>
            <w:noProof/>
          </w:rPr>
          <w:t>Small business and competition impacts</w:t>
        </w:r>
        <w:r>
          <w:rPr>
            <w:noProof/>
            <w:webHidden/>
          </w:rPr>
          <w:tab/>
        </w:r>
        <w:r>
          <w:rPr>
            <w:noProof/>
            <w:webHidden/>
          </w:rPr>
          <w:fldChar w:fldCharType="begin"/>
        </w:r>
        <w:r>
          <w:rPr>
            <w:noProof/>
            <w:webHidden/>
          </w:rPr>
          <w:instrText xml:space="preserve"> PAGEREF _Toc189832239 \h </w:instrText>
        </w:r>
        <w:r>
          <w:rPr>
            <w:noProof/>
            <w:webHidden/>
          </w:rPr>
        </w:r>
        <w:r>
          <w:rPr>
            <w:noProof/>
            <w:webHidden/>
          </w:rPr>
          <w:fldChar w:fldCharType="separate"/>
        </w:r>
        <w:r w:rsidR="009D133E">
          <w:rPr>
            <w:noProof/>
            <w:webHidden/>
          </w:rPr>
          <w:t>viii</w:t>
        </w:r>
        <w:r>
          <w:rPr>
            <w:noProof/>
            <w:webHidden/>
          </w:rPr>
          <w:fldChar w:fldCharType="end"/>
        </w:r>
      </w:hyperlink>
    </w:p>
    <w:p w14:paraId="1798E8E4" w14:textId="321616EE"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40" w:history="1">
        <w:r w:rsidRPr="002D5006">
          <w:rPr>
            <w:rStyle w:val="Hyperlink"/>
            <w:noProof/>
          </w:rPr>
          <w:t>Implementation and evaluation</w:t>
        </w:r>
        <w:r>
          <w:rPr>
            <w:noProof/>
            <w:webHidden/>
          </w:rPr>
          <w:tab/>
        </w:r>
        <w:r>
          <w:rPr>
            <w:noProof/>
            <w:webHidden/>
          </w:rPr>
          <w:fldChar w:fldCharType="begin"/>
        </w:r>
        <w:r>
          <w:rPr>
            <w:noProof/>
            <w:webHidden/>
          </w:rPr>
          <w:instrText xml:space="preserve"> PAGEREF _Toc189832240 \h </w:instrText>
        </w:r>
        <w:r>
          <w:rPr>
            <w:noProof/>
            <w:webHidden/>
          </w:rPr>
        </w:r>
        <w:r>
          <w:rPr>
            <w:noProof/>
            <w:webHidden/>
          </w:rPr>
          <w:fldChar w:fldCharType="separate"/>
        </w:r>
        <w:r w:rsidR="009D133E">
          <w:rPr>
            <w:noProof/>
            <w:webHidden/>
          </w:rPr>
          <w:t>viii</w:t>
        </w:r>
        <w:r>
          <w:rPr>
            <w:noProof/>
            <w:webHidden/>
          </w:rPr>
          <w:fldChar w:fldCharType="end"/>
        </w:r>
      </w:hyperlink>
    </w:p>
    <w:p w14:paraId="602B2B19" w14:textId="389B3007"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41" w:history="1">
        <w:r w:rsidRPr="002D5006">
          <w:rPr>
            <w:rStyle w:val="Hyperlink"/>
            <w:noProof/>
          </w:rPr>
          <w:t>Feedback on RIS and proposed Regulations</w:t>
        </w:r>
        <w:r>
          <w:rPr>
            <w:noProof/>
            <w:webHidden/>
          </w:rPr>
          <w:tab/>
        </w:r>
        <w:r>
          <w:rPr>
            <w:noProof/>
            <w:webHidden/>
          </w:rPr>
          <w:fldChar w:fldCharType="begin"/>
        </w:r>
        <w:r>
          <w:rPr>
            <w:noProof/>
            <w:webHidden/>
          </w:rPr>
          <w:instrText xml:space="preserve"> PAGEREF _Toc189832241 \h </w:instrText>
        </w:r>
        <w:r>
          <w:rPr>
            <w:noProof/>
            <w:webHidden/>
          </w:rPr>
        </w:r>
        <w:r>
          <w:rPr>
            <w:noProof/>
            <w:webHidden/>
          </w:rPr>
          <w:fldChar w:fldCharType="separate"/>
        </w:r>
        <w:r w:rsidR="009D133E">
          <w:rPr>
            <w:noProof/>
            <w:webHidden/>
          </w:rPr>
          <w:t>ix</w:t>
        </w:r>
        <w:r>
          <w:rPr>
            <w:noProof/>
            <w:webHidden/>
          </w:rPr>
          <w:fldChar w:fldCharType="end"/>
        </w:r>
      </w:hyperlink>
    </w:p>
    <w:p w14:paraId="732147BA" w14:textId="530505BD"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42" w:history="1">
        <w:r w:rsidRPr="002D5006">
          <w:rPr>
            <w:rStyle w:val="Hyperlink"/>
            <w:noProof/>
          </w:rPr>
          <w:t>1</w:t>
        </w:r>
        <w:r>
          <w:rPr>
            <w:rFonts w:asciiTheme="minorHAnsi" w:eastAsiaTheme="minorEastAsia" w:hAnsiTheme="minorHAnsi"/>
            <w:noProof/>
            <w:kern w:val="2"/>
            <w:sz w:val="24"/>
            <w:szCs w:val="24"/>
            <w:lang w:eastAsia="en-AU"/>
            <w14:ligatures w14:val="standardContextual"/>
          </w:rPr>
          <w:tab/>
        </w:r>
        <w:r w:rsidRPr="002D5006">
          <w:rPr>
            <w:rStyle w:val="Hyperlink"/>
            <w:noProof/>
          </w:rPr>
          <w:t>Background</w:t>
        </w:r>
        <w:r>
          <w:rPr>
            <w:noProof/>
            <w:webHidden/>
          </w:rPr>
          <w:tab/>
        </w:r>
        <w:r>
          <w:rPr>
            <w:noProof/>
            <w:webHidden/>
          </w:rPr>
          <w:fldChar w:fldCharType="begin"/>
        </w:r>
        <w:r>
          <w:rPr>
            <w:noProof/>
            <w:webHidden/>
          </w:rPr>
          <w:instrText xml:space="preserve"> PAGEREF _Toc189832242 \h </w:instrText>
        </w:r>
        <w:r>
          <w:rPr>
            <w:noProof/>
            <w:webHidden/>
          </w:rPr>
        </w:r>
        <w:r>
          <w:rPr>
            <w:noProof/>
            <w:webHidden/>
          </w:rPr>
          <w:fldChar w:fldCharType="separate"/>
        </w:r>
        <w:r w:rsidR="009D133E">
          <w:rPr>
            <w:noProof/>
            <w:webHidden/>
          </w:rPr>
          <w:t>1</w:t>
        </w:r>
        <w:r>
          <w:rPr>
            <w:noProof/>
            <w:webHidden/>
          </w:rPr>
          <w:fldChar w:fldCharType="end"/>
        </w:r>
      </w:hyperlink>
    </w:p>
    <w:p w14:paraId="5EC9AF1E" w14:textId="364FD160"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43" w:history="1">
        <w:r w:rsidRPr="002D5006">
          <w:rPr>
            <w:rStyle w:val="Hyperlink"/>
            <w:noProof/>
          </w:rPr>
          <w:t>1.1</w:t>
        </w:r>
        <w:r>
          <w:rPr>
            <w:rFonts w:asciiTheme="minorHAnsi" w:eastAsiaTheme="minorEastAsia" w:hAnsiTheme="minorHAnsi"/>
            <w:noProof/>
            <w:kern w:val="2"/>
            <w:sz w:val="24"/>
            <w:szCs w:val="24"/>
            <w:lang w:eastAsia="en-AU"/>
            <w14:ligatures w14:val="standardContextual"/>
          </w:rPr>
          <w:tab/>
        </w:r>
        <w:r w:rsidRPr="002D5006">
          <w:rPr>
            <w:rStyle w:val="Hyperlink"/>
            <w:noProof/>
          </w:rPr>
          <w:t>Introduction and purpose of this RIS</w:t>
        </w:r>
        <w:r>
          <w:rPr>
            <w:noProof/>
            <w:webHidden/>
          </w:rPr>
          <w:tab/>
        </w:r>
        <w:r>
          <w:rPr>
            <w:noProof/>
            <w:webHidden/>
          </w:rPr>
          <w:fldChar w:fldCharType="begin"/>
        </w:r>
        <w:r>
          <w:rPr>
            <w:noProof/>
            <w:webHidden/>
          </w:rPr>
          <w:instrText xml:space="preserve"> PAGEREF _Toc189832243 \h </w:instrText>
        </w:r>
        <w:r>
          <w:rPr>
            <w:noProof/>
            <w:webHidden/>
          </w:rPr>
        </w:r>
        <w:r>
          <w:rPr>
            <w:noProof/>
            <w:webHidden/>
          </w:rPr>
          <w:fldChar w:fldCharType="separate"/>
        </w:r>
        <w:r w:rsidR="009D133E">
          <w:rPr>
            <w:noProof/>
            <w:webHidden/>
          </w:rPr>
          <w:t>1</w:t>
        </w:r>
        <w:r>
          <w:rPr>
            <w:noProof/>
            <w:webHidden/>
          </w:rPr>
          <w:fldChar w:fldCharType="end"/>
        </w:r>
      </w:hyperlink>
    </w:p>
    <w:p w14:paraId="7A4FF82C" w14:textId="0134EB6B"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44" w:history="1">
        <w:r w:rsidRPr="002D5006">
          <w:rPr>
            <w:rStyle w:val="Hyperlink"/>
            <w:noProof/>
          </w:rPr>
          <w:t>1.2</w:t>
        </w:r>
        <w:r>
          <w:rPr>
            <w:rFonts w:asciiTheme="minorHAnsi" w:eastAsiaTheme="minorEastAsia" w:hAnsiTheme="minorHAnsi"/>
            <w:noProof/>
            <w:kern w:val="2"/>
            <w:sz w:val="24"/>
            <w:szCs w:val="24"/>
            <w:lang w:eastAsia="en-AU"/>
            <w14:ligatures w14:val="standardContextual"/>
          </w:rPr>
          <w:tab/>
        </w:r>
        <w:r w:rsidRPr="002D5006">
          <w:rPr>
            <w:rStyle w:val="Hyperlink"/>
            <w:noProof/>
          </w:rPr>
          <w:t>Legislative and regulatory frameworks governing private security in Victoria</w:t>
        </w:r>
        <w:r>
          <w:rPr>
            <w:noProof/>
            <w:webHidden/>
          </w:rPr>
          <w:tab/>
        </w:r>
        <w:r>
          <w:rPr>
            <w:noProof/>
            <w:webHidden/>
          </w:rPr>
          <w:fldChar w:fldCharType="begin"/>
        </w:r>
        <w:r>
          <w:rPr>
            <w:noProof/>
            <w:webHidden/>
          </w:rPr>
          <w:instrText xml:space="preserve"> PAGEREF _Toc189832244 \h </w:instrText>
        </w:r>
        <w:r>
          <w:rPr>
            <w:noProof/>
            <w:webHidden/>
          </w:rPr>
        </w:r>
        <w:r>
          <w:rPr>
            <w:noProof/>
            <w:webHidden/>
          </w:rPr>
          <w:fldChar w:fldCharType="separate"/>
        </w:r>
        <w:r w:rsidR="009D133E">
          <w:rPr>
            <w:noProof/>
            <w:webHidden/>
          </w:rPr>
          <w:t>1</w:t>
        </w:r>
        <w:r>
          <w:rPr>
            <w:noProof/>
            <w:webHidden/>
          </w:rPr>
          <w:fldChar w:fldCharType="end"/>
        </w:r>
      </w:hyperlink>
    </w:p>
    <w:p w14:paraId="68F0ADDD" w14:textId="0EA6B7BA"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45" w:history="1">
        <w:r w:rsidRPr="002D5006">
          <w:rPr>
            <w:rStyle w:val="Hyperlink"/>
            <w:noProof/>
          </w:rPr>
          <w:t>1.3</w:t>
        </w:r>
        <w:r>
          <w:rPr>
            <w:rFonts w:asciiTheme="minorHAnsi" w:eastAsiaTheme="minorEastAsia" w:hAnsiTheme="minorHAnsi"/>
            <w:noProof/>
            <w:kern w:val="2"/>
            <w:sz w:val="24"/>
            <w:szCs w:val="24"/>
            <w:lang w:eastAsia="en-AU"/>
            <w14:ligatures w14:val="standardContextual"/>
          </w:rPr>
          <w:tab/>
        </w:r>
        <w:r w:rsidRPr="002D5006">
          <w:rPr>
            <w:rStyle w:val="Hyperlink"/>
            <w:noProof/>
          </w:rPr>
          <w:t>Recent review into the private security industry</w:t>
        </w:r>
        <w:r>
          <w:rPr>
            <w:noProof/>
            <w:webHidden/>
          </w:rPr>
          <w:tab/>
        </w:r>
        <w:r>
          <w:rPr>
            <w:noProof/>
            <w:webHidden/>
          </w:rPr>
          <w:fldChar w:fldCharType="begin"/>
        </w:r>
        <w:r>
          <w:rPr>
            <w:noProof/>
            <w:webHidden/>
          </w:rPr>
          <w:instrText xml:space="preserve"> PAGEREF _Toc189832245 \h </w:instrText>
        </w:r>
        <w:r>
          <w:rPr>
            <w:noProof/>
            <w:webHidden/>
          </w:rPr>
        </w:r>
        <w:r>
          <w:rPr>
            <w:noProof/>
            <w:webHidden/>
          </w:rPr>
          <w:fldChar w:fldCharType="separate"/>
        </w:r>
        <w:r w:rsidR="009D133E">
          <w:rPr>
            <w:noProof/>
            <w:webHidden/>
          </w:rPr>
          <w:t>6</w:t>
        </w:r>
        <w:r>
          <w:rPr>
            <w:noProof/>
            <w:webHidden/>
          </w:rPr>
          <w:fldChar w:fldCharType="end"/>
        </w:r>
      </w:hyperlink>
    </w:p>
    <w:p w14:paraId="744AD71E" w14:textId="204AD541"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46" w:history="1">
        <w:r w:rsidRPr="002D5006">
          <w:rPr>
            <w:rStyle w:val="Hyperlink"/>
            <w:noProof/>
          </w:rPr>
          <w:t>1.4</w:t>
        </w:r>
        <w:r>
          <w:rPr>
            <w:rFonts w:asciiTheme="minorHAnsi" w:eastAsiaTheme="minorEastAsia" w:hAnsiTheme="minorHAnsi"/>
            <w:noProof/>
            <w:kern w:val="2"/>
            <w:sz w:val="24"/>
            <w:szCs w:val="24"/>
            <w:lang w:eastAsia="en-AU"/>
            <w14:ligatures w14:val="standardContextual"/>
          </w:rPr>
          <w:tab/>
        </w:r>
        <w:r w:rsidRPr="002D5006">
          <w:rPr>
            <w:rStyle w:val="Hyperlink"/>
            <w:noProof/>
          </w:rPr>
          <w:t>Victoria’s private security industry</w:t>
        </w:r>
        <w:r>
          <w:rPr>
            <w:noProof/>
            <w:webHidden/>
          </w:rPr>
          <w:tab/>
        </w:r>
        <w:r>
          <w:rPr>
            <w:noProof/>
            <w:webHidden/>
          </w:rPr>
          <w:fldChar w:fldCharType="begin"/>
        </w:r>
        <w:r>
          <w:rPr>
            <w:noProof/>
            <w:webHidden/>
          </w:rPr>
          <w:instrText xml:space="preserve"> PAGEREF _Toc189832246 \h </w:instrText>
        </w:r>
        <w:r>
          <w:rPr>
            <w:noProof/>
            <w:webHidden/>
          </w:rPr>
        </w:r>
        <w:r>
          <w:rPr>
            <w:noProof/>
            <w:webHidden/>
          </w:rPr>
          <w:fldChar w:fldCharType="separate"/>
        </w:r>
        <w:r w:rsidR="009D133E">
          <w:rPr>
            <w:noProof/>
            <w:webHidden/>
          </w:rPr>
          <w:t>7</w:t>
        </w:r>
        <w:r>
          <w:rPr>
            <w:noProof/>
            <w:webHidden/>
          </w:rPr>
          <w:fldChar w:fldCharType="end"/>
        </w:r>
      </w:hyperlink>
    </w:p>
    <w:p w14:paraId="762B7FF3" w14:textId="4E6C7218"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47" w:history="1">
        <w:r w:rsidRPr="002D5006">
          <w:rPr>
            <w:rStyle w:val="Hyperlink"/>
            <w:noProof/>
          </w:rPr>
          <w:t>1.5</w:t>
        </w:r>
        <w:r>
          <w:rPr>
            <w:rFonts w:asciiTheme="minorHAnsi" w:eastAsiaTheme="minorEastAsia" w:hAnsiTheme="minorHAnsi"/>
            <w:noProof/>
            <w:kern w:val="2"/>
            <w:sz w:val="24"/>
            <w:szCs w:val="24"/>
            <w:lang w:eastAsia="en-AU"/>
            <w14:ligatures w14:val="standardContextual"/>
          </w:rPr>
          <w:tab/>
        </w:r>
        <w:r w:rsidRPr="002D5006">
          <w:rPr>
            <w:rStyle w:val="Hyperlink"/>
            <w:noProof/>
          </w:rPr>
          <w:t>Preparation of the RIS</w:t>
        </w:r>
        <w:r>
          <w:rPr>
            <w:noProof/>
            <w:webHidden/>
          </w:rPr>
          <w:tab/>
        </w:r>
        <w:r>
          <w:rPr>
            <w:noProof/>
            <w:webHidden/>
          </w:rPr>
          <w:fldChar w:fldCharType="begin"/>
        </w:r>
        <w:r>
          <w:rPr>
            <w:noProof/>
            <w:webHidden/>
          </w:rPr>
          <w:instrText xml:space="preserve"> PAGEREF _Toc189832247 \h </w:instrText>
        </w:r>
        <w:r>
          <w:rPr>
            <w:noProof/>
            <w:webHidden/>
          </w:rPr>
        </w:r>
        <w:r>
          <w:rPr>
            <w:noProof/>
            <w:webHidden/>
          </w:rPr>
          <w:fldChar w:fldCharType="separate"/>
        </w:r>
        <w:r w:rsidR="009D133E">
          <w:rPr>
            <w:noProof/>
            <w:webHidden/>
          </w:rPr>
          <w:t>9</w:t>
        </w:r>
        <w:r>
          <w:rPr>
            <w:noProof/>
            <w:webHidden/>
          </w:rPr>
          <w:fldChar w:fldCharType="end"/>
        </w:r>
      </w:hyperlink>
    </w:p>
    <w:p w14:paraId="7DD87666" w14:textId="1120B997"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48" w:history="1">
        <w:r w:rsidRPr="002D5006">
          <w:rPr>
            <w:rStyle w:val="Hyperlink"/>
            <w:noProof/>
          </w:rPr>
          <w:t>2</w:t>
        </w:r>
        <w:r>
          <w:rPr>
            <w:rFonts w:asciiTheme="minorHAnsi" w:eastAsiaTheme="minorEastAsia" w:hAnsiTheme="minorHAnsi"/>
            <w:noProof/>
            <w:kern w:val="2"/>
            <w:sz w:val="24"/>
            <w:szCs w:val="24"/>
            <w:lang w:eastAsia="en-AU"/>
            <w14:ligatures w14:val="standardContextual"/>
          </w:rPr>
          <w:tab/>
        </w:r>
        <w:r w:rsidRPr="002D5006">
          <w:rPr>
            <w:rStyle w:val="Hyperlink"/>
            <w:noProof/>
          </w:rPr>
          <w:t>The problem and objectives</w:t>
        </w:r>
        <w:r>
          <w:rPr>
            <w:noProof/>
            <w:webHidden/>
          </w:rPr>
          <w:tab/>
        </w:r>
        <w:r>
          <w:rPr>
            <w:noProof/>
            <w:webHidden/>
          </w:rPr>
          <w:fldChar w:fldCharType="begin"/>
        </w:r>
        <w:r>
          <w:rPr>
            <w:noProof/>
            <w:webHidden/>
          </w:rPr>
          <w:instrText xml:space="preserve"> PAGEREF _Toc189832248 \h </w:instrText>
        </w:r>
        <w:r>
          <w:rPr>
            <w:noProof/>
            <w:webHidden/>
          </w:rPr>
        </w:r>
        <w:r>
          <w:rPr>
            <w:noProof/>
            <w:webHidden/>
          </w:rPr>
          <w:fldChar w:fldCharType="separate"/>
        </w:r>
        <w:r w:rsidR="009D133E">
          <w:rPr>
            <w:noProof/>
            <w:webHidden/>
          </w:rPr>
          <w:t>11</w:t>
        </w:r>
        <w:r>
          <w:rPr>
            <w:noProof/>
            <w:webHidden/>
          </w:rPr>
          <w:fldChar w:fldCharType="end"/>
        </w:r>
      </w:hyperlink>
    </w:p>
    <w:p w14:paraId="74432143" w14:textId="5B116C7E"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49" w:history="1">
        <w:r w:rsidRPr="002D5006">
          <w:rPr>
            <w:rStyle w:val="Hyperlink"/>
            <w:noProof/>
          </w:rPr>
          <w:t>2.1</w:t>
        </w:r>
        <w:r>
          <w:rPr>
            <w:rFonts w:asciiTheme="minorHAnsi" w:eastAsiaTheme="minorEastAsia" w:hAnsiTheme="minorHAnsi"/>
            <w:noProof/>
            <w:kern w:val="2"/>
            <w:sz w:val="24"/>
            <w:szCs w:val="24"/>
            <w:lang w:eastAsia="en-AU"/>
            <w14:ligatures w14:val="standardContextual"/>
          </w:rPr>
          <w:tab/>
        </w:r>
        <w:r w:rsidRPr="002D5006">
          <w:rPr>
            <w:rStyle w:val="Hyperlink"/>
            <w:noProof/>
          </w:rPr>
          <w:t>Rationale for government intervention in the private security industry</w:t>
        </w:r>
        <w:r>
          <w:rPr>
            <w:noProof/>
            <w:webHidden/>
          </w:rPr>
          <w:tab/>
        </w:r>
        <w:r>
          <w:rPr>
            <w:noProof/>
            <w:webHidden/>
          </w:rPr>
          <w:fldChar w:fldCharType="begin"/>
        </w:r>
        <w:r>
          <w:rPr>
            <w:noProof/>
            <w:webHidden/>
          </w:rPr>
          <w:instrText xml:space="preserve"> PAGEREF _Toc189832249 \h </w:instrText>
        </w:r>
        <w:r>
          <w:rPr>
            <w:noProof/>
            <w:webHidden/>
          </w:rPr>
        </w:r>
        <w:r>
          <w:rPr>
            <w:noProof/>
            <w:webHidden/>
          </w:rPr>
          <w:fldChar w:fldCharType="separate"/>
        </w:r>
        <w:r w:rsidR="009D133E">
          <w:rPr>
            <w:noProof/>
            <w:webHidden/>
          </w:rPr>
          <w:t>11</w:t>
        </w:r>
        <w:r>
          <w:rPr>
            <w:noProof/>
            <w:webHidden/>
          </w:rPr>
          <w:fldChar w:fldCharType="end"/>
        </w:r>
      </w:hyperlink>
    </w:p>
    <w:p w14:paraId="4E5FEB12" w14:textId="1FFBEF7F"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50" w:history="1">
        <w:r w:rsidRPr="002D5006">
          <w:rPr>
            <w:rStyle w:val="Hyperlink"/>
            <w:noProof/>
          </w:rPr>
          <w:t>2.2</w:t>
        </w:r>
        <w:r>
          <w:rPr>
            <w:rFonts w:asciiTheme="minorHAnsi" w:eastAsiaTheme="minorEastAsia" w:hAnsiTheme="minorHAnsi"/>
            <w:noProof/>
            <w:kern w:val="2"/>
            <w:sz w:val="24"/>
            <w:szCs w:val="24"/>
            <w:lang w:eastAsia="en-AU"/>
            <w14:ligatures w14:val="standardContextual"/>
          </w:rPr>
          <w:tab/>
        </w:r>
        <w:r w:rsidRPr="002D5006">
          <w:rPr>
            <w:rStyle w:val="Hyperlink"/>
            <w:noProof/>
          </w:rPr>
          <w:t>Specific rationale for the Regulations</w:t>
        </w:r>
        <w:r>
          <w:rPr>
            <w:noProof/>
            <w:webHidden/>
          </w:rPr>
          <w:tab/>
        </w:r>
        <w:r>
          <w:rPr>
            <w:noProof/>
            <w:webHidden/>
          </w:rPr>
          <w:fldChar w:fldCharType="begin"/>
        </w:r>
        <w:r>
          <w:rPr>
            <w:noProof/>
            <w:webHidden/>
          </w:rPr>
          <w:instrText xml:space="preserve"> PAGEREF _Toc189832250 \h </w:instrText>
        </w:r>
        <w:r>
          <w:rPr>
            <w:noProof/>
            <w:webHidden/>
          </w:rPr>
        </w:r>
        <w:r>
          <w:rPr>
            <w:noProof/>
            <w:webHidden/>
          </w:rPr>
          <w:fldChar w:fldCharType="separate"/>
        </w:r>
        <w:r w:rsidR="009D133E">
          <w:rPr>
            <w:noProof/>
            <w:webHidden/>
          </w:rPr>
          <w:t>11</w:t>
        </w:r>
        <w:r>
          <w:rPr>
            <w:noProof/>
            <w:webHidden/>
          </w:rPr>
          <w:fldChar w:fldCharType="end"/>
        </w:r>
      </w:hyperlink>
    </w:p>
    <w:p w14:paraId="50C9E263" w14:textId="1DEA7272"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51" w:history="1">
        <w:r w:rsidRPr="002D5006">
          <w:rPr>
            <w:rStyle w:val="Hyperlink"/>
            <w:noProof/>
          </w:rPr>
          <w:t>2.3</w:t>
        </w:r>
        <w:r>
          <w:rPr>
            <w:rFonts w:asciiTheme="minorHAnsi" w:eastAsiaTheme="minorEastAsia" w:hAnsiTheme="minorHAnsi"/>
            <w:noProof/>
            <w:kern w:val="2"/>
            <w:sz w:val="24"/>
            <w:szCs w:val="24"/>
            <w:lang w:eastAsia="en-AU"/>
            <w14:ligatures w14:val="standardContextual"/>
          </w:rPr>
          <w:tab/>
        </w:r>
        <w:r w:rsidRPr="002D5006">
          <w:rPr>
            <w:rStyle w:val="Hyperlink"/>
            <w:noProof/>
          </w:rPr>
          <w:t>Objectives</w:t>
        </w:r>
        <w:r>
          <w:rPr>
            <w:noProof/>
            <w:webHidden/>
          </w:rPr>
          <w:tab/>
        </w:r>
        <w:r>
          <w:rPr>
            <w:noProof/>
            <w:webHidden/>
          </w:rPr>
          <w:fldChar w:fldCharType="begin"/>
        </w:r>
        <w:r>
          <w:rPr>
            <w:noProof/>
            <w:webHidden/>
          </w:rPr>
          <w:instrText xml:space="preserve"> PAGEREF _Toc189832251 \h </w:instrText>
        </w:r>
        <w:r>
          <w:rPr>
            <w:noProof/>
            <w:webHidden/>
          </w:rPr>
        </w:r>
        <w:r>
          <w:rPr>
            <w:noProof/>
            <w:webHidden/>
          </w:rPr>
          <w:fldChar w:fldCharType="separate"/>
        </w:r>
        <w:r w:rsidR="009D133E">
          <w:rPr>
            <w:noProof/>
            <w:webHidden/>
          </w:rPr>
          <w:t>15</w:t>
        </w:r>
        <w:r>
          <w:rPr>
            <w:noProof/>
            <w:webHidden/>
          </w:rPr>
          <w:fldChar w:fldCharType="end"/>
        </w:r>
      </w:hyperlink>
    </w:p>
    <w:p w14:paraId="6BFEC96D" w14:textId="0186AB29"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52" w:history="1">
        <w:r w:rsidRPr="002D5006">
          <w:rPr>
            <w:rStyle w:val="Hyperlink"/>
            <w:noProof/>
          </w:rPr>
          <w:t>3</w:t>
        </w:r>
        <w:r>
          <w:rPr>
            <w:rFonts w:asciiTheme="minorHAnsi" w:eastAsiaTheme="minorEastAsia" w:hAnsiTheme="minorHAnsi"/>
            <w:noProof/>
            <w:kern w:val="2"/>
            <w:sz w:val="24"/>
            <w:szCs w:val="24"/>
            <w:lang w:eastAsia="en-AU"/>
            <w14:ligatures w14:val="standardContextual"/>
          </w:rPr>
          <w:tab/>
        </w:r>
        <w:r w:rsidRPr="002D5006">
          <w:rPr>
            <w:rStyle w:val="Hyperlink"/>
            <w:noProof/>
          </w:rPr>
          <w:t>Options design and analysis methodology</w:t>
        </w:r>
        <w:r>
          <w:rPr>
            <w:noProof/>
            <w:webHidden/>
          </w:rPr>
          <w:tab/>
        </w:r>
        <w:r>
          <w:rPr>
            <w:noProof/>
            <w:webHidden/>
          </w:rPr>
          <w:fldChar w:fldCharType="begin"/>
        </w:r>
        <w:r>
          <w:rPr>
            <w:noProof/>
            <w:webHidden/>
          </w:rPr>
          <w:instrText xml:space="preserve"> PAGEREF _Toc189832252 \h </w:instrText>
        </w:r>
        <w:r>
          <w:rPr>
            <w:noProof/>
            <w:webHidden/>
          </w:rPr>
        </w:r>
        <w:r>
          <w:rPr>
            <w:noProof/>
            <w:webHidden/>
          </w:rPr>
          <w:fldChar w:fldCharType="separate"/>
        </w:r>
        <w:r w:rsidR="009D133E">
          <w:rPr>
            <w:noProof/>
            <w:webHidden/>
          </w:rPr>
          <w:t>16</w:t>
        </w:r>
        <w:r>
          <w:rPr>
            <w:noProof/>
            <w:webHidden/>
          </w:rPr>
          <w:fldChar w:fldCharType="end"/>
        </w:r>
      </w:hyperlink>
    </w:p>
    <w:p w14:paraId="28825628" w14:textId="702A12C1"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53" w:history="1">
        <w:r w:rsidRPr="002D5006">
          <w:rPr>
            <w:rStyle w:val="Hyperlink"/>
            <w:noProof/>
          </w:rPr>
          <w:t>3.1</w:t>
        </w:r>
        <w:r>
          <w:rPr>
            <w:rFonts w:asciiTheme="minorHAnsi" w:eastAsiaTheme="minorEastAsia" w:hAnsiTheme="minorHAnsi"/>
            <w:noProof/>
            <w:kern w:val="2"/>
            <w:sz w:val="24"/>
            <w:szCs w:val="24"/>
            <w:lang w:eastAsia="en-AU"/>
            <w14:ligatures w14:val="standardContextual"/>
          </w:rPr>
          <w:tab/>
        </w:r>
        <w:r w:rsidRPr="002D5006">
          <w:rPr>
            <w:rStyle w:val="Hyperlink"/>
            <w:noProof/>
          </w:rPr>
          <w:t>Options development</w:t>
        </w:r>
        <w:r>
          <w:rPr>
            <w:noProof/>
            <w:webHidden/>
          </w:rPr>
          <w:tab/>
        </w:r>
        <w:r>
          <w:rPr>
            <w:noProof/>
            <w:webHidden/>
          </w:rPr>
          <w:fldChar w:fldCharType="begin"/>
        </w:r>
        <w:r>
          <w:rPr>
            <w:noProof/>
            <w:webHidden/>
          </w:rPr>
          <w:instrText xml:space="preserve"> PAGEREF _Toc189832253 \h </w:instrText>
        </w:r>
        <w:r>
          <w:rPr>
            <w:noProof/>
            <w:webHidden/>
          </w:rPr>
        </w:r>
        <w:r>
          <w:rPr>
            <w:noProof/>
            <w:webHidden/>
          </w:rPr>
          <w:fldChar w:fldCharType="separate"/>
        </w:r>
        <w:r w:rsidR="009D133E">
          <w:rPr>
            <w:noProof/>
            <w:webHidden/>
          </w:rPr>
          <w:t>16</w:t>
        </w:r>
        <w:r>
          <w:rPr>
            <w:noProof/>
            <w:webHidden/>
          </w:rPr>
          <w:fldChar w:fldCharType="end"/>
        </w:r>
      </w:hyperlink>
    </w:p>
    <w:p w14:paraId="2B30043D" w14:textId="3C4B55B6"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54" w:history="1">
        <w:r w:rsidRPr="002D5006">
          <w:rPr>
            <w:rStyle w:val="Hyperlink"/>
            <w:noProof/>
          </w:rPr>
          <w:t>3.2</w:t>
        </w:r>
        <w:r>
          <w:rPr>
            <w:rFonts w:asciiTheme="minorHAnsi" w:eastAsiaTheme="minorEastAsia" w:hAnsiTheme="minorHAnsi"/>
            <w:noProof/>
            <w:kern w:val="2"/>
            <w:sz w:val="24"/>
            <w:szCs w:val="24"/>
            <w:lang w:eastAsia="en-AU"/>
            <w14:ligatures w14:val="standardContextual"/>
          </w:rPr>
          <w:tab/>
        </w:r>
        <w:r w:rsidRPr="002D5006">
          <w:rPr>
            <w:rStyle w:val="Hyperlink"/>
            <w:noProof/>
          </w:rPr>
          <w:t>Multi-criteria analysis methodology</w:t>
        </w:r>
        <w:r>
          <w:rPr>
            <w:noProof/>
            <w:webHidden/>
          </w:rPr>
          <w:tab/>
        </w:r>
        <w:r>
          <w:rPr>
            <w:noProof/>
            <w:webHidden/>
          </w:rPr>
          <w:fldChar w:fldCharType="begin"/>
        </w:r>
        <w:r>
          <w:rPr>
            <w:noProof/>
            <w:webHidden/>
          </w:rPr>
          <w:instrText xml:space="preserve"> PAGEREF _Toc189832254 \h </w:instrText>
        </w:r>
        <w:r>
          <w:rPr>
            <w:noProof/>
            <w:webHidden/>
          </w:rPr>
        </w:r>
        <w:r>
          <w:rPr>
            <w:noProof/>
            <w:webHidden/>
          </w:rPr>
          <w:fldChar w:fldCharType="separate"/>
        </w:r>
        <w:r w:rsidR="009D133E">
          <w:rPr>
            <w:noProof/>
            <w:webHidden/>
          </w:rPr>
          <w:t>16</w:t>
        </w:r>
        <w:r>
          <w:rPr>
            <w:noProof/>
            <w:webHidden/>
          </w:rPr>
          <w:fldChar w:fldCharType="end"/>
        </w:r>
      </w:hyperlink>
    </w:p>
    <w:p w14:paraId="6C1F6B7A" w14:textId="4E791AD6"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55" w:history="1">
        <w:r w:rsidRPr="002D5006">
          <w:rPr>
            <w:rStyle w:val="Hyperlink"/>
            <w:noProof/>
          </w:rPr>
          <w:t>4</w:t>
        </w:r>
        <w:r>
          <w:rPr>
            <w:rFonts w:asciiTheme="minorHAnsi" w:eastAsiaTheme="minorEastAsia" w:hAnsiTheme="minorHAnsi"/>
            <w:noProof/>
            <w:kern w:val="2"/>
            <w:sz w:val="24"/>
            <w:szCs w:val="24"/>
            <w:lang w:eastAsia="en-AU"/>
            <w14:ligatures w14:val="standardContextual"/>
          </w:rPr>
          <w:tab/>
        </w:r>
        <w:r w:rsidRPr="002D5006">
          <w:rPr>
            <w:rStyle w:val="Hyperlink"/>
            <w:noProof/>
          </w:rPr>
          <w:t>Options for remaking the licensing requirements</w:t>
        </w:r>
        <w:r>
          <w:rPr>
            <w:noProof/>
            <w:webHidden/>
          </w:rPr>
          <w:tab/>
        </w:r>
        <w:r>
          <w:rPr>
            <w:noProof/>
            <w:webHidden/>
          </w:rPr>
          <w:fldChar w:fldCharType="begin"/>
        </w:r>
        <w:r>
          <w:rPr>
            <w:noProof/>
            <w:webHidden/>
          </w:rPr>
          <w:instrText xml:space="preserve"> PAGEREF _Toc189832255 \h </w:instrText>
        </w:r>
        <w:r>
          <w:rPr>
            <w:noProof/>
            <w:webHidden/>
          </w:rPr>
        </w:r>
        <w:r>
          <w:rPr>
            <w:noProof/>
            <w:webHidden/>
          </w:rPr>
          <w:fldChar w:fldCharType="separate"/>
        </w:r>
        <w:r w:rsidR="009D133E">
          <w:rPr>
            <w:noProof/>
            <w:webHidden/>
          </w:rPr>
          <w:t>20</w:t>
        </w:r>
        <w:r>
          <w:rPr>
            <w:noProof/>
            <w:webHidden/>
          </w:rPr>
          <w:fldChar w:fldCharType="end"/>
        </w:r>
      </w:hyperlink>
    </w:p>
    <w:p w14:paraId="0C6B26ED" w14:textId="13752E16"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56" w:history="1">
        <w:r w:rsidRPr="002D5006">
          <w:rPr>
            <w:rStyle w:val="Hyperlink"/>
            <w:noProof/>
          </w:rPr>
          <w:t>4.1</w:t>
        </w:r>
        <w:r>
          <w:rPr>
            <w:rFonts w:asciiTheme="minorHAnsi" w:eastAsiaTheme="minorEastAsia" w:hAnsiTheme="minorHAnsi"/>
            <w:noProof/>
            <w:kern w:val="2"/>
            <w:sz w:val="24"/>
            <w:szCs w:val="24"/>
            <w:lang w:eastAsia="en-AU"/>
            <w14:ligatures w14:val="standardContextual"/>
          </w:rPr>
          <w:tab/>
        </w:r>
        <w:r w:rsidRPr="002D5006">
          <w:rPr>
            <w:rStyle w:val="Hyperlink"/>
            <w:noProof/>
          </w:rPr>
          <w:t>Policy options</w:t>
        </w:r>
        <w:r>
          <w:rPr>
            <w:noProof/>
            <w:webHidden/>
          </w:rPr>
          <w:tab/>
        </w:r>
        <w:r>
          <w:rPr>
            <w:noProof/>
            <w:webHidden/>
          </w:rPr>
          <w:fldChar w:fldCharType="begin"/>
        </w:r>
        <w:r>
          <w:rPr>
            <w:noProof/>
            <w:webHidden/>
          </w:rPr>
          <w:instrText xml:space="preserve"> PAGEREF _Toc189832256 \h </w:instrText>
        </w:r>
        <w:r>
          <w:rPr>
            <w:noProof/>
            <w:webHidden/>
          </w:rPr>
        </w:r>
        <w:r>
          <w:rPr>
            <w:noProof/>
            <w:webHidden/>
          </w:rPr>
          <w:fldChar w:fldCharType="separate"/>
        </w:r>
        <w:r w:rsidR="009D133E">
          <w:rPr>
            <w:noProof/>
            <w:webHidden/>
          </w:rPr>
          <w:t>20</w:t>
        </w:r>
        <w:r>
          <w:rPr>
            <w:noProof/>
            <w:webHidden/>
          </w:rPr>
          <w:fldChar w:fldCharType="end"/>
        </w:r>
      </w:hyperlink>
    </w:p>
    <w:p w14:paraId="05C11277" w14:textId="6AA8BACF"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57" w:history="1">
        <w:r w:rsidRPr="002D5006">
          <w:rPr>
            <w:rStyle w:val="Hyperlink"/>
            <w:noProof/>
          </w:rPr>
          <w:t>4.2</w:t>
        </w:r>
        <w:r>
          <w:rPr>
            <w:rFonts w:asciiTheme="minorHAnsi" w:eastAsiaTheme="minorEastAsia" w:hAnsiTheme="minorHAnsi"/>
            <w:noProof/>
            <w:kern w:val="2"/>
            <w:sz w:val="24"/>
            <w:szCs w:val="24"/>
            <w:lang w:eastAsia="en-AU"/>
            <w14:ligatures w14:val="standardContextual"/>
          </w:rPr>
          <w:tab/>
        </w:r>
        <w:r w:rsidRPr="002D5006">
          <w:rPr>
            <w:rStyle w:val="Hyperlink"/>
            <w:noProof/>
          </w:rPr>
          <w:t>Options analysis</w:t>
        </w:r>
        <w:r>
          <w:rPr>
            <w:noProof/>
            <w:webHidden/>
          </w:rPr>
          <w:tab/>
        </w:r>
        <w:r>
          <w:rPr>
            <w:noProof/>
            <w:webHidden/>
          </w:rPr>
          <w:fldChar w:fldCharType="begin"/>
        </w:r>
        <w:r>
          <w:rPr>
            <w:noProof/>
            <w:webHidden/>
          </w:rPr>
          <w:instrText xml:space="preserve"> PAGEREF _Toc189832257 \h </w:instrText>
        </w:r>
        <w:r>
          <w:rPr>
            <w:noProof/>
            <w:webHidden/>
          </w:rPr>
        </w:r>
        <w:r>
          <w:rPr>
            <w:noProof/>
            <w:webHidden/>
          </w:rPr>
          <w:fldChar w:fldCharType="separate"/>
        </w:r>
        <w:r w:rsidR="009D133E">
          <w:rPr>
            <w:noProof/>
            <w:webHidden/>
          </w:rPr>
          <w:t>23</w:t>
        </w:r>
        <w:r>
          <w:rPr>
            <w:noProof/>
            <w:webHidden/>
          </w:rPr>
          <w:fldChar w:fldCharType="end"/>
        </w:r>
      </w:hyperlink>
    </w:p>
    <w:p w14:paraId="5AEE13D4" w14:textId="153D2347"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58" w:history="1">
        <w:r w:rsidRPr="002D5006">
          <w:rPr>
            <w:rStyle w:val="Hyperlink"/>
            <w:noProof/>
          </w:rPr>
          <w:t>5</w:t>
        </w:r>
        <w:r>
          <w:rPr>
            <w:rFonts w:asciiTheme="minorHAnsi" w:eastAsiaTheme="minorEastAsia" w:hAnsiTheme="minorHAnsi"/>
            <w:noProof/>
            <w:kern w:val="2"/>
            <w:sz w:val="24"/>
            <w:szCs w:val="24"/>
            <w:lang w:eastAsia="en-AU"/>
            <w14:ligatures w14:val="standardContextual"/>
          </w:rPr>
          <w:tab/>
        </w:r>
        <w:r w:rsidRPr="002D5006">
          <w:rPr>
            <w:rStyle w:val="Hyperlink"/>
            <w:noProof/>
          </w:rPr>
          <w:t>Options for remaking the fee requirements</w:t>
        </w:r>
        <w:r>
          <w:rPr>
            <w:noProof/>
            <w:webHidden/>
          </w:rPr>
          <w:tab/>
        </w:r>
        <w:r>
          <w:rPr>
            <w:noProof/>
            <w:webHidden/>
          </w:rPr>
          <w:fldChar w:fldCharType="begin"/>
        </w:r>
        <w:r>
          <w:rPr>
            <w:noProof/>
            <w:webHidden/>
          </w:rPr>
          <w:instrText xml:space="preserve"> PAGEREF _Toc189832258 \h </w:instrText>
        </w:r>
        <w:r>
          <w:rPr>
            <w:noProof/>
            <w:webHidden/>
          </w:rPr>
        </w:r>
        <w:r>
          <w:rPr>
            <w:noProof/>
            <w:webHidden/>
          </w:rPr>
          <w:fldChar w:fldCharType="separate"/>
        </w:r>
        <w:r w:rsidR="009D133E">
          <w:rPr>
            <w:noProof/>
            <w:webHidden/>
          </w:rPr>
          <w:t>27</w:t>
        </w:r>
        <w:r>
          <w:rPr>
            <w:noProof/>
            <w:webHidden/>
          </w:rPr>
          <w:fldChar w:fldCharType="end"/>
        </w:r>
      </w:hyperlink>
    </w:p>
    <w:p w14:paraId="7A7B997C" w14:textId="5969BB2C"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59" w:history="1">
        <w:r w:rsidRPr="002D5006">
          <w:rPr>
            <w:rStyle w:val="Hyperlink"/>
            <w:noProof/>
          </w:rPr>
          <w:t>5.1</w:t>
        </w:r>
        <w:r>
          <w:rPr>
            <w:rFonts w:asciiTheme="minorHAnsi" w:eastAsiaTheme="minorEastAsia" w:hAnsiTheme="minorHAnsi"/>
            <w:noProof/>
            <w:kern w:val="2"/>
            <w:sz w:val="24"/>
            <w:szCs w:val="24"/>
            <w:lang w:eastAsia="en-AU"/>
            <w14:ligatures w14:val="standardContextual"/>
          </w:rPr>
          <w:tab/>
        </w:r>
        <w:r w:rsidRPr="002D5006">
          <w:rPr>
            <w:rStyle w:val="Hyperlink"/>
            <w:noProof/>
          </w:rPr>
          <w:t>Development of fee options</w:t>
        </w:r>
        <w:r>
          <w:rPr>
            <w:noProof/>
            <w:webHidden/>
          </w:rPr>
          <w:tab/>
        </w:r>
        <w:r>
          <w:rPr>
            <w:noProof/>
            <w:webHidden/>
          </w:rPr>
          <w:fldChar w:fldCharType="begin"/>
        </w:r>
        <w:r>
          <w:rPr>
            <w:noProof/>
            <w:webHidden/>
          </w:rPr>
          <w:instrText xml:space="preserve"> PAGEREF _Toc189832259 \h </w:instrText>
        </w:r>
        <w:r>
          <w:rPr>
            <w:noProof/>
            <w:webHidden/>
          </w:rPr>
        </w:r>
        <w:r>
          <w:rPr>
            <w:noProof/>
            <w:webHidden/>
          </w:rPr>
          <w:fldChar w:fldCharType="separate"/>
        </w:r>
        <w:r w:rsidR="009D133E">
          <w:rPr>
            <w:noProof/>
            <w:webHidden/>
          </w:rPr>
          <w:t>27</w:t>
        </w:r>
        <w:r>
          <w:rPr>
            <w:noProof/>
            <w:webHidden/>
          </w:rPr>
          <w:fldChar w:fldCharType="end"/>
        </w:r>
      </w:hyperlink>
    </w:p>
    <w:p w14:paraId="72BC1258" w14:textId="1EA792B6"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60" w:history="1">
        <w:r w:rsidRPr="002D5006">
          <w:rPr>
            <w:rStyle w:val="Hyperlink"/>
            <w:noProof/>
          </w:rPr>
          <w:t>5.2</w:t>
        </w:r>
        <w:r>
          <w:rPr>
            <w:rFonts w:asciiTheme="minorHAnsi" w:eastAsiaTheme="minorEastAsia" w:hAnsiTheme="minorHAnsi"/>
            <w:noProof/>
            <w:kern w:val="2"/>
            <w:sz w:val="24"/>
            <w:szCs w:val="24"/>
            <w:lang w:eastAsia="en-AU"/>
            <w14:ligatures w14:val="standardContextual"/>
          </w:rPr>
          <w:tab/>
        </w:r>
        <w:r w:rsidRPr="002D5006">
          <w:rPr>
            <w:rStyle w:val="Hyperlink"/>
            <w:noProof/>
          </w:rPr>
          <w:t>Fee structure options</w:t>
        </w:r>
        <w:r>
          <w:rPr>
            <w:noProof/>
            <w:webHidden/>
          </w:rPr>
          <w:tab/>
        </w:r>
        <w:r>
          <w:rPr>
            <w:noProof/>
            <w:webHidden/>
          </w:rPr>
          <w:fldChar w:fldCharType="begin"/>
        </w:r>
        <w:r>
          <w:rPr>
            <w:noProof/>
            <w:webHidden/>
          </w:rPr>
          <w:instrText xml:space="preserve"> PAGEREF _Toc189832260 \h </w:instrText>
        </w:r>
        <w:r>
          <w:rPr>
            <w:noProof/>
            <w:webHidden/>
          </w:rPr>
        </w:r>
        <w:r>
          <w:rPr>
            <w:noProof/>
            <w:webHidden/>
          </w:rPr>
          <w:fldChar w:fldCharType="separate"/>
        </w:r>
        <w:r w:rsidR="009D133E">
          <w:rPr>
            <w:noProof/>
            <w:webHidden/>
          </w:rPr>
          <w:t>27</w:t>
        </w:r>
        <w:r>
          <w:rPr>
            <w:noProof/>
            <w:webHidden/>
          </w:rPr>
          <w:fldChar w:fldCharType="end"/>
        </w:r>
      </w:hyperlink>
    </w:p>
    <w:p w14:paraId="3418B42E" w14:textId="2036B628"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61" w:history="1">
        <w:r w:rsidRPr="002D5006">
          <w:rPr>
            <w:rStyle w:val="Hyperlink"/>
            <w:noProof/>
          </w:rPr>
          <w:t>5.3</w:t>
        </w:r>
        <w:r>
          <w:rPr>
            <w:rFonts w:asciiTheme="minorHAnsi" w:eastAsiaTheme="minorEastAsia" w:hAnsiTheme="minorHAnsi"/>
            <w:noProof/>
            <w:kern w:val="2"/>
            <w:sz w:val="24"/>
            <w:szCs w:val="24"/>
            <w:lang w:eastAsia="en-AU"/>
            <w14:ligatures w14:val="standardContextual"/>
          </w:rPr>
          <w:tab/>
        </w:r>
        <w:r w:rsidRPr="002D5006">
          <w:rPr>
            <w:rStyle w:val="Hyperlink"/>
            <w:noProof/>
          </w:rPr>
          <w:t>Options analysis</w:t>
        </w:r>
        <w:r>
          <w:rPr>
            <w:noProof/>
            <w:webHidden/>
          </w:rPr>
          <w:tab/>
        </w:r>
        <w:r>
          <w:rPr>
            <w:noProof/>
            <w:webHidden/>
          </w:rPr>
          <w:fldChar w:fldCharType="begin"/>
        </w:r>
        <w:r>
          <w:rPr>
            <w:noProof/>
            <w:webHidden/>
          </w:rPr>
          <w:instrText xml:space="preserve"> PAGEREF _Toc189832261 \h </w:instrText>
        </w:r>
        <w:r>
          <w:rPr>
            <w:noProof/>
            <w:webHidden/>
          </w:rPr>
        </w:r>
        <w:r>
          <w:rPr>
            <w:noProof/>
            <w:webHidden/>
          </w:rPr>
          <w:fldChar w:fldCharType="separate"/>
        </w:r>
        <w:r w:rsidR="009D133E">
          <w:rPr>
            <w:noProof/>
            <w:webHidden/>
          </w:rPr>
          <w:t>29</w:t>
        </w:r>
        <w:r>
          <w:rPr>
            <w:noProof/>
            <w:webHidden/>
          </w:rPr>
          <w:fldChar w:fldCharType="end"/>
        </w:r>
      </w:hyperlink>
    </w:p>
    <w:p w14:paraId="32C50614" w14:textId="341A65EC"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62" w:history="1">
        <w:r w:rsidRPr="002D5006">
          <w:rPr>
            <w:rStyle w:val="Hyperlink"/>
            <w:noProof/>
          </w:rPr>
          <w:t>6</w:t>
        </w:r>
        <w:r>
          <w:rPr>
            <w:rFonts w:asciiTheme="minorHAnsi" w:eastAsiaTheme="minorEastAsia" w:hAnsiTheme="minorHAnsi"/>
            <w:noProof/>
            <w:kern w:val="2"/>
            <w:sz w:val="24"/>
            <w:szCs w:val="24"/>
            <w:lang w:eastAsia="en-AU"/>
            <w14:ligatures w14:val="standardContextual"/>
          </w:rPr>
          <w:tab/>
        </w:r>
        <w:r w:rsidRPr="002D5006">
          <w:rPr>
            <w:rStyle w:val="Hyperlink"/>
            <w:noProof/>
          </w:rPr>
          <w:t>Identification of preferred options</w:t>
        </w:r>
        <w:r>
          <w:rPr>
            <w:noProof/>
            <w:webHidden/>
          </w:rPr>
          <w:tab/>
        </w:r>
        <w:r>
          <w:rPr>
            <w:noProof/>
            <w:webHidden/>
          </w:rPr>
          <w:fldChar w:fldCharType="begin"/>
        </w:r>
        <w:r>
          <w:rPr>
            <w:noProof/>
            <w:webHidden/>
          </w:rPr>
          <w:instrText xml:space="preserve"> PAGEREF _Toc189832262 \h </w:instrText>
        </w:r>
        <w:r>
          <w:rPr>
            <w:noProof/>
            <w:webHidden/>
          </w:rPr>
        </w:r>
        <w:r>
          <w:rPr>
            <w:noProof/>
            <w:webHidden/>
          </w:rPr>
          <w:fldChar w:fldCharType="separate"/>
        </w:r>
        <w:r w:rsidR="009D133E">
          <w:rPr>
            <w:noProof/>
            <w:webHidden/>
          </w:rPr>
          <w:t>32</w:t>
        </w:r>
        <w:r>
          <w:rPr>
            <w:noProof/>
            <w:webHidden/>
          </w:rPr>
          <w:fldChar w:fldCharType="end"/>
        </w:r>
      </w:hyperlink>
    </w:p>
    <w:p w14:paraId="4B86FE0A" w14:textId="6077CAF9"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63" w:history="1">
        <w:r w:rsidRPr="002D5006">
          <w:rPr>
            <w:rStyle w:val="Hyperlink"/>
            <w:noProof/>
          </w:rPr>
          <w:t>6.1</w:t>
        </w:r>
        <w:r>
          <w:rPr>
            <w:rFonts w:asciiTheme="minorHAnsi" w:eastAsiaTheme="minorEastAsia" w:hAnsiTheme="minorHAnsi"/>
            <w:noProof/>
            <w:kern w:val="2"/>
            <w:sz w:val="24"/>
            <w:szCs w:val="24"/>
            <w:lang w:eastAsia="en-AU"/>
            <w14:ligatures w14:val="standardContextual"/>
          </w:rPr>
          <w:tab/>
        </w:r>
        <w:r w:rsidRPr="002D5006">
          <w:rPr>
            <w:rStyle w:val="Hyperlink"/>
            <w:noProof/>
          </w:rPr>
          <w:t>This chapter summarises the preferred policy and fee options based on the analysis presented in the previous chapters. Remaking the licensing requirements</w:t>
        </w:r>
        <w:r>
          <w:rPr>
            <w:noProof/>
            <w:webHidden/>
          </w:rPr>
          <w:tab/>
        </w:r>
        <w:r>
          <w:rPr>
            <w:noProof/>
            <w:webHidden/>
          </w:rPr>
          <w:fldChar w:fldCharType="begin"/>
        </w:r>
        <w:r>
          <w:rPr>
            <w:noProof/>
            <w:webHidden/>
          </w:rPr>
          <w:instrText xml:space="preserve"> PAGEREF _Toc189832263 \h </w:instrText>
        </w:r>
        <w:r>
          <w:rPr>
            <w:noProof/>
            <w:webHidden/>
          </w:rPr>
        </w:r>
        <w:r>
          <w:rPr>
            <w:noProof/>
            <w:webHidden/>
          </w:rPr>
          <w:fldChar w:fldCharType="separate"/>
        </w:r>
        <w:r w:rsidR="009D133E">
          <w:rPr>
            <w:noProof/>
            <w:webHidden/>
          </w:rPr>
          <w:t>32</w:t>
        </w:r>
        <w:r>
          <w:rPr>
            <w:noProof/>
            <w:webHidden/>
          </w:rPr>
          <w:fldChar w:fldCharType="end"/>
        </w:r>
      </w:hyperlink>
    </w:p>
    <w:p w14:paraId="14CC9822" w14:textId="5751DC84"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64" w:history="1">
        <w:r w:rsidRPr="002D5006">
          <w:rPr>
            <w:rStyle w:val="Hyperlink"/>
            <w:noProof/>
          </w:rPr>
          <w:t>6.2</w:t>
        </w:r>
        <w:r>
          <w:rPr>
            <w:rFonts w:asciiTheme="minorHAnsi" w:eastAsiaTheme="minorEastAsia" w:hAnsiTheme="minorHAnsi"/>
            <w:noProof/>
            <w:kern w:val="2"/>
            <w:sz w:val="24"/>
            <w:szCs w:val="24"/>
            <w:lang w:eastAsia="en-AU"/>
            <w14:ligatures w14:val="standardContextual"/>
          </w:rPr>
          <w:tab/>
        </w:r>
        <w:r w:rsidRPr="002D5006">
          <w:rPr>
            <w:rStyle w:val="Hyperlink"/>
            <w:noProof/>
          </w:rPr>
          <w:t>Remaking the fee requirements</w:t>
        </w:r>
        <w:r>
          <w:rPr>
            <w:noProof/>
            <w:webHidden/>
          </w:rPr>
          <w:tab/>
        </w:r>
        <w:r>
          <w:rPr>
            <w:noProof/>
            <w:webHidden/>
          </w:rPr>
          <w:fldChar w:fldCharType="begin"/>
        </w:r>
        <w:r>
          <w:rPr>
            <w:noProof/>
            <w:webHidden/>
          </w:rPr>
          <w:instrText xml:space="preserve"> PAGEREF _Toc189832264 \h </w:instrText>
        </w:r>
        <w:r>
          <w:rPr>
            <w:noProof/>
            <w:webHidden/>
          </w:rPr>
        </w:r>
        <w:r>
          <w:rPr>
            <w:noProof/>
            <w:webHidden/>
          </w:rPr>
          <w:fldChar w:fldCharType="separate"/>
        </w:r>
        <w:r w:rsidR="009D133E">
          <w:rPr>
            <w:noProof/>
            <w:webHidden/>
          </w:rPr>
          <w:t>32</w:t>
        </w:r>
        <w:r>
          <w:rPr>
            <w:noProof/>
            <w:webHidden/>
          </w:rPr>
          <w:fldChar w:fldCharType="end"/>
        </w:r>
      </w:hyperlink>
    </w:p>
    <w:p w14:paraId="07F5034E" w14:textId="718EEB8D"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65" w:history="1">
        <w:r w:rsidRPr="002D5006">
          <w:rPr>
            <w:rStyle w:val="Hyperlink"/>
            <w:noProof/>
          </w:rPr>
          <w:t>7</w:t>
        </w:r>
        <w:r>
          <w:rPr>
            <w:rFonts w:asciiTheme="minorHAnsi" w:eastAsiaTheme="minorEastAsia" w:hAnsiTheme="minorHAnsi"/>
            <w:noProof/>
            <w:kern w:val="2"/>
            <w:sz w:val="24"/>
            <w:szCs w:val="24"/>
            <w:lang w:eastAsia="en-AU"/>
            <w14:ligatures w14:val="standardContextual"/>
          </w:rPr>
          <w:tab/>
        </w:r>
        <w:r w:rsidRPr="002D5006">
          <w:rPr>
            <w:rStyle w:val="Hyperlink"/>
            <w:noProof/>
          </w:rPr>
          <w:t>Competition and small business impacts</w:t>
        </w:r>
        <w:r>
          <w:rPr>
            <w:noProof/>
            <w:webHidden/>
          </w:rPr>
          <w:tab/>
        </w:r>
        <w:r>
          <w:rPr>
            <w:noProof/>
            <w:webHidden/>
          </w:rPr>
          <w:fldChar w:fldCharType="begin"/>
        </w:r>
        <w:r>
          <w:rPr>
            <w:noProof/>
            <w:webHidden/>
          </w:rPr>
          <w:instrText xml:space="preserve"> PAGEREF _Toc189832265 \h </w:instrText>
        </w:r>
        <w:r>
          <w:rPr>
            <w:noProof/>
            <w:webHidden/>
          </w:rPr>
        </w:r>
        <w:r>
          <w:rPr>
            <w:noProof/>
            <w:webHidden/>
          </w:rPr>
          <w:fldChar w:fldCharType="separate"/>
        </w:r>
        <w:r w:rsidR="009D133E">
          <w:rPr>
            <w:noProof/>
            <w:webHidden/>
          </w:rPr>
          <w:t>36</w:t>
        </w:r>
        <w:r>
          <w:rPr>
            <w:noProof/>
            <w:webHidden/>
          </w:rPr>
          <w:fldChar w:fldCharType="end"/>
        </w:r>
      </w:hyperlink>
    </w:p>
    <w:p w14:paraId="5D8C8E97" w14:textId="08F0A96B"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66" w:history="1">
        <w:r w:rsidRPr="002D5006">
          <w:rPr>
            <w:rStyle w:val="Hyperlink"/>
            <w:noProof/>
          </w:rPr>
          <w:t>7.1</w:t>
        </w:r>
        <w:r>
          <w:rPr>
            <w:rFonts w:asciiTheme="minorHAnsi" w:eastAsiaTheme="minorEastAsia" w:hAnsiTheme="minorHAnsi"/>
            <w:noProof/>
            <w:kern w:val="2"/>
            <w:sz w:val="24"/>
            <w:szCs w:val="24"/>
            <w:lang w:eastAsia="en-AU"/>
            <w14:ligatures w14:val="standardContextual"/>
          </w:rPr>
          <w:tab/>
        </w:r>
        <w:r w:rsidRPr="002D5006">
          <w:rPr>
            <w:rStyle w:val="Hyperlink"/>
            <w:noProof/>
          </w:rPr>
          <w:t>Competition impacts</w:t>
        </w:r>
        <w:r>
          <w:rPr>
            <w:noProof/>
            <w:webHidden/>
          </w:rPr>
          <w:tab/>
        </w:r>
        <w:r>
          <w:rPr>
            <w:noProof/>
            <w:webHidden/>
          </w:rPr>
          <w:fldChar w:fldCharType="begin"/>
        </w:r>
        <w:r>
          <w:rPr>
            <w:noProof/>
            <w:webHidden/>
          </w:rPr>
          <w:instrText xml:space="preserve"> PAGEREF _Toc189832266 \h </w:instrText>
        </w:r>
        <w:r>
          <w:rPr>
            <w:noProof/>
            <w:webHidden/>
          </w:rPr>
        </w:r>
        <w:r>
          <w:rPr>
            <w:noProof/>
            <w:webHidden/>
          </w:rPr>
          <w:fldChar w:fldCharType="separate"/>
        </w:r>
        <w:r w:rsidR="009D133E">
          <w:rPr>
            <w:noProof/>
            <w:webHidden/>
          </w:rPr>
          <w:t>36</w:t>
        </w:r>
        <w:r>
          <w:rPr>
            <w:noProof/>
            <w:webHidden/>
          </w:rPr>
          <w:fldChar w:fldCharType="end"/>
        </w:r>
      </w:hyperlink>
    </w:p>
    <w:p w14:paraId="74472D17" w14:textId="00884C61"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67" w:history="1">
        <w:r w:rsidRPr="002D5006">
          <w:rPr>
            <w:rStyle w:val="Hyperlink"/>
            <w:noProof/>
          </w:rPr>
          <w:t>7.2</w:t>
        </w:r>
        <w:r>
          <w:rPr>
            <w:rFonts w:asciiTheme="minorHAnsi" w:eastAsiaTheme="minorEastAsia" w:hAnsiTheme="minorHAnsi"/>
            <w:noProof/>
            <w:kern w:val="2"/>
            <w:sz w:val="24"/>
            <w:szCs w:val="24"/>
            <w:lang w:eastAsia="en-AU"/>
            <w14:ligatures w14:val="standardContextual"/>
          </w:rPr>
          <w:tab/>
        </w:r>
        <w:r w:rsidRPr="002D5006">
          <w:rPr>
            <w:rStyle w:val="Hyperlink"/>
            <w:noProof/>
          </w:rPr>
          <w:t>Small business impacts</w:t>
        </w:r>
        <w:r>
          <w:rPr>
            <w:noProof/>
            <w:webHidden/>
          </w:rPr>
          <w:tab/>
        </w:r>
        <w:r>
          <w:rPr>
            <w:noProof/>
            <w:webHidden/>
          </w:rPr>
          <w:fldChar w:fldCharType="begin"/>
        </w:r>
        <w:r>
          <w:rPr>
            <w:noProof/>
            <w:webHidden/>
          </w:rPr>
          <w:instrText xml:space="preserve"> PAGEREF _Toc189832267 \h </w:instrText>
        </w:r>
        <w:r>
          <w:rPr>
            <w:noProof/>
            <w:webHidden/>
          </w:rPr>
        </w:r>
        <w:r>
          <w:rPr>
            <w:noProof/>
            <w:webHidden/>
          </w:rPr>
          <w:fldChar w:fldCharType="separate"/>
        </w:r>
        <w:r w:rsidR="009D133E">
          <w:rPr>
            <w:noProof/>
            <w:webHidden/>
          </w:rPr>
          <w:t>37</w:t>
        </w:r>
        <w:r>
          <w:rPr>
            <w:noProof/>
            <w:webHidden/>
          </w:rPr>
          <w:fldChar w:fldCharType="end"/>
        </w:r>
      </w:hyperlink>
    </w:p>
    <w:p w14:paraId="6999BD52" w14:textId="3EB88EC8"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68" w:history="1">
        <w:r w:rsidRPr="002D5006">
          <w:rPr>
            <w:rStyle w:val="Hyperlink"/>
            <w:noProof/>
          </w:rPr>
          <w:t>8</w:t>
        </w:r>
        <w:r>
          <w:rPr>
            <w:rFonts w:asciiTheme="minorHAnsi" w:eastAsiaTheme="minorEastAsia" w:hAnsiTheme="minorHAnsi"/>
            <w:noProof/>
            <w:kern w:val="2"/>
            <w:sz w:val="24"/>
            <w:szCs w:val="24"/>
            <w:lang w:eastAsia="en-AU"/>
            <w14:ligatures w14:val="standardContextual"/>
          </w:rPr>
          <w:tab/>
        </w:r>
        <w:r w:rsidRPr="002D5006">
          <w:rPr>
            <w:rStyle w:val="Hyperlink"/>
            <w:noProof/>
          </w:rPr>
          <w:t>Implementation and evaluation plan</w:t>
        </w:r>
        <w:r>
          <w:rPr>
            <w:noProof/>
            <w:webHidden/>
          </w:rPr>
          <w:tab/>
        </w:r>
        <w:r>
          <w:rPr>
            <w:noProof/>
            <w:webHidden/>
          </w:rPr>
          <w:fldChar w:fldCharType="begin"/>
        </w:r>
        <w:r>
          <w:rPr>
            <w:noProof/>
            <w:webHidden/>
          </w:rPr>
          <w:instrText xml:space="preserve"> PAGEREF _Toc189832268 \h </w:instrText>
        </w:r>
        <w:r>
          <w:rPr>
            <w:noProof/>
            <w:webHidden/>
          </w:rPr>
        </w:r>
        <w:r>
          <w:rPr>
            <w:noProof/>
            <w:webHidden/>
          </w:rPr>
          <w:fldChar w:fldCharType="separate"/>
        </w:r>
        <w:r w:rsidR="009D133E">
          <w:rPr>
            <w:noProof/>
            <w:webHidden/>
          </w:rPr>
          <w:t>38</w:t>
        </w:r>
        <w:r>
          <w:rPr>
            <w:noProof/>
            <w:webHidden/>
          </w:rPr>
          <w:fldChar w:fldCharType="end"/>
        </w:r>
      </w:hyperlink>
    </w:p>
    <w:p w14:paraId="4A00D745" w14:textId="478A86D8"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69" w:history="1">
        <w:r w:rsidRPr="002D5006">
          <w:rPr>
            <w:rStyle w:val="Hyperlink"/>
            <w:noProof/>
          </w:rPr>
          <w:t>8.1</w:t>
        </w:r>
        <w:r>
          <w:rPr>
            <w:rFonts w:asciiTheme="minorHAnsi" w:eastAsiaTheme="minorEastAsia" w:hAnsiTheme="minorHAnsi"/>
            <w:noProof/>
            <w:kern w:val="2"/>
            <w:sz w:val="24"/>
            <w:szCs w:val="24"/>
            <w:lang w:eastAsia="en-AU"/>
            <w14:ligatures w14:val="standardContextual"/>
          </w:rPr>
          <w:tab/>
        </w:r>
        <w:r w:rsidRPr="002D5006">
          <w:rPr>
            <w:rStyle w:val="Hyperlink"/>
            <w:noProof/>
          </w:rPr>
          <w:t>Implementation</w:t>
        </w:r>
        <w:r>
          <w:rPr>
            <w:noProof/>
            <w:webHidden/>
          </w:rPr>
          <w:tab/>
        </w:r>
        <w:r>
          <w:rPr>
            <w:noProof/>
            <w:webHidden/>
          </w:rPr>
          <w:fldChar w:fldCharType="begin"/>
        </w:r>
        <w:r>
          <w:rPr>
            <w:noProof/>
            <w:webHidden/>
          </w:rPr>
          <w:instrText xml:space="preserve"> PAGEREF _Toc189832269 \h </w:instrText>
        </w:r>
        <w:r>
          <w:rPr>
            <w:noProof/>
            <w:webHidden/>
          </w:rPr>
        </w:r>
        <w:r>
          <w:rPr>
            <w:noProof/>
            <w:webHidden/>
          </w:rPr>
          <w:fldChar w:fldCharType="separate"/>
        </w:r>
        <w:r w:rsidR="009D133E">
          <w:rPr>
            <w:noProof/>
            <w:webHidden/>
          </w:rPr>
          <w:t>38</w:t>
        </w:r>
        <w:r>
          <w:rPr>
            <w:noProof/>
            <w:webHidden/>
          </w:rPr>
          <w:fldChar w:fldCharType="end"/>
        </w:r>
      </w:hyperlink>
    </w:p>
    <w:p w14:paraId="1D4F3BCC" w14:textId="1A7EC246" w:rsidR="00004634" w:rsidRDefault="00004634">
      <w:pPr>
        <w:pStyle w:val="TOC2"/>
        <w:tabs>
          <w:tab w:val="left" w:pos="1134"/>
        </w:tabs>
        <w:rPr>
          <w:rFonts w:asciiTheme="minorHAnsi" w:eastAsiaTheme="minorEastAsia" w:hAnsiTheme="minorHAnsi"/>
          <w:noProof/>
          <w:kern w:val="2"/>
          <w:sz w:val="24"/>
          <w:szCs w:val="24"/>
          <w:lang w:eastAsia="en-AU"/>
          <w14:ligatures w14:val="standardContextual"/>
        </w:rPr>
      </w:pPr>
      <w:hyperlink w:anchor="_Toc189832270" w:history="1">
        <w:r w:rsidRPr="002D5006">
          <w:rPr>
            <w:rStyle w:val="Hyperlink"/>
            <w:noProof/>
          </w:rPr>
          <w:t>8.2</w:t>
        </w:r>
        <w:r>
          <w:rPr>
            <w:rFonts w:asciiTheme="minorHAnsi" w:eastAsiaTheme="minorEastAsia" w:hAnsiTheme="minorHAnsi"/>
            <w:noProof/>
            <w:kern w:val="2"/>
            <w:sz w:val="24"/>
            <w:szCs w:val="24"/>
            <w:lang w:eastAsia="en-AU"/>
            <w14:ligatures w14:val="standardContextual"/>
          </w:rPr>
          <w:tab/>
        </w:r>
        <w:r w:rsidRPr="002D5006">
          <w:rPr>
            <w:rStyle w:val="Hyperlink"/>
            <w:noProof/>
          </w:rPr>
          <w:t>Evaluation</w:t>
        </w:r>
        <w:r>
          <w:rPr>
            <w:noProof/>
            <w:webHidden/>
          </w:rPr>
          <w:tab/>
        </w:r>
        <w:r>
          <w:rPr>
            <w:noProof/>
            <w:webHidden/>
          </w:rPr>
          <w:fldChar w:fldCharType="begin"/>
        </w:r>
        <w:r>
          <w:rPr>
            <w:noProof/>
            <w:webHidden/>
          </w:rPr>
          <w:instrText xml:space="preserve"> PAGEREF _Toc189832270 \h </w:instrText>
        </w:r>
        <w:r>
          <w:rPr>
            <w:noProof/>
            <w:webHidden/>
          </w:rPr>
        </w:r>
        <w:r>
          <w:rPr>
            <w:noProof/>
            <w:webHidden/>
          </w:rPr>
          <w:fldChar w:fldCharType="separate"/>
        </w:r>
        <w:r w:rsidR="009D133E">
          <w:rPr>
            <w:noProof/>
            <w:webHidden/>
          </w:rPr>
          <w:t>38</w:t>
        </w:r>
        <w:r>
          <w:rPr>
            <w:noProof/>
            <w:webHidden/>
          </w:rPr>
          <w:fldChar w:fldCharType="end"/>
        </w:r>
      </w:hyperlink>
    </w:p>
    <w:p w14:paraId="03B5D0C3" w14:textId="03BEA07E"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71" w:history="1">
        <w:r w:rsidRPr="002D5006">
          <w:rPr>
            <w:rStyle w:val="Hyperlink"/>
            <w:noProof/>
            <w:lang w:eastAsia="en-AU"/>
          </w:rPr>
          <w:t>Appendices</w:t>
        </w:r>
        <w:r>
          <w:rPr>
            <w:noProof/>
            <w:webHidden/>
          </w:rPr>
          <w:tab/>
        </w:r>
        <w:r>
          <w:rPr>
            <w:noProof/>
            <w:webHidden/>
          </w:rPr>
          <w:fldChar w:fldCharType="begin"/>
        </w:r>
        <w:r>
          <w:rPr>
            <w:noProof/>
            <w:webHidden/>
          </w:rPr>
          <w:instrText xml:space="preserve"> PAGEREF _Toc189832271 \h </w:instrText>
        </w:r>
        <w:r>
          <w:rPr>
            <w:noProof/>
            <w:webHidden/>
          </w:rPr>
        </w:r>
        <w:r>
          <w:rPr>
            <w:noProof/>
            <w:webHidden/>
          </w:rPr>
          <w:fldChar w:fldCharType="separate"/>
        </w:r>
        <w:r w:rsidR="009D133E">
          <w:rPr>
            <w:noProof/>
            <w:webHidden/>
          </w:rPr>
          <w:t>39</w:t>
        </w:r>
        <w:r>
          <w:rPr>
            <w:noProof/>
            <w:webHidden/>
          </w:rPr>
          <w:fldChar w:fldCharType="end"/>
        </w:r>
      </w:hyperlink>
    </w:p>
    <w:p w14:paraId="71167F89" w14:textId="32EC24C0"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72" w:history="1">
        <w:r w:rsidRPr="002D5006">
          <w:rPr>
            <w:rStyle w:val="Hyperlink"/>
            <w:noProof/>
            <w:lang w:eastAsia="en-AU"/>
          </w:rPr>
          <w:t>A.1 Stakeholder consultation summary</w:t>
        </w:r>
        <w:r>
          <w:rPr>
            <w:noProof/>
            <w:webHidden/>
          </w:rPr>
          <w:tab/>
        </w:r>
        <w:r>
          <w:rPr>
            <w:noProof/>
            <w:webHidden/>
          </w:rPr>
          <w:fldChar w:fldCharType="begin"/>
        </w:r>
        <w:r>
          <w:rPr>
            <w:noProof/>
            <w:webHidden/>
          </w:rPr>
          <w:instrText xml:space="preserve"> PAGEREF _Toc189832272 \h </w:instrText>
        </w:r>
        <w:r>
          <w:rPr>
            <w:noProof/>
            <w:webHidden/>
          </w:rPr>
        </w:r>
        <w:r>
          <w:rPr>
            <w:noProof/>
            <w:webHidden/>
          </w:rPr>
          <w:fldChar w:fldCharType="separate"/>
        </w:r>
        <w:r w:rsidR="009D133E">
          <w:rPr>
            <w:noProof/>
            <w:webHidden/>
          </w:rPr>
          <w:t>39</w:t>
        </w:r>
        <w:r>
          <w:rPr>
            <w:noProof/>
            <w:webHidden/>
          </w:rPr>
          <w:fldChar w:fldCharType="end"/>
        </w:r>
      </w:hyperlink>
    </w:p>
    <w:p w14:paraId="07279B8A" w14:textId="53124DF6"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73" w:history="1">
        <w:r w:rsidRPr="002D5006">
          <w:rPr>
            <w:rStyle w:val="Hyperlink"/>
            <w:noProof/>
            <w:lang w:eastAsia="en-AU"/>
          </w:rPr>
          <w:t>A.2 Cost inputs and calculations</w:t>
        </w:r>
        <w:r>
          <w:rPr>
            <w:noProof/>
            <w:webHidden/>
          </w:rPr>
          <w:tab/>
        </w:r>
        <w:r>
          <w:rPr>
            <w:noProof/>
            <w:webHidden/>
          </w:rPr>
          <w:fldChar w:fldCharType="begin"/>
        </w:r>
        <w:r>
          <w:rPr>
            <w:noProof/>
            <w:webHidden/>
          </w:rPr>
          <w:instrText xml:space="preserve"> PAGEREF _Toc189832273 \h </w:instrText>
        </w:r>
        <w:r>
          <w:rPr>
            <w:noProof/>
            <w:webHidden/>
          </w:rPr>
        </w:r>
        <w:r>
          <w:rPr>
            <w:noProof/>
            <w:webHidden/>
          </w:rPr>
          <w:fldChar w:fldCharType="separate"/>
        </w:r>
        <w:r w:rsidR="009D133E">
          <w:rPr>
            <w:noProof/>
            <w:webHidden/>
          </w:rPr>
          <w:t>40</w:t>
        </w:r>
        <w:r>
          <w:rPr>
            <w:noProof/>
            <w:webHidden/>
          </w:rPr>
          <w:fldChar w:fldCharType="end"/>
        </w:r>
      </w:hyperlink>
    </w:p>
    <w:p w14:paraId="1586BED9" w14:textId="0C4C3584"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74" w:history="1">
        <w:r w:rsidRPr="002D5006">
          <w:rPr>
            <w:rStyle w:val="Hyperlink"/>
            <w:noProof/>
            <w:lang w:eastAsia="en-AU"/>
          </w:rPr>
          <w:t>A.3 Revenue inputs and calculations</w:t>
        </w:r>
        <w:r>
          <w:rPr>
            <w:noProof/>
            <w:webHidden/>
          </w:rPr>
          <w:tab/>
        </w:r>
        <w:r>
          <w:rPr>
            <w:noProof/>
            <w:webHidden/>
          </w:rPr>
          <w:fldChar w:fldCharType="begin"/>
        </w:r>
        <w:r>
          <w:rPr>
            <w:noProof/>
            <w:webHidden/>
          </w:rPr>
          <w:instrText xml:space="preserve"> PAGEREF _Toc189832274 \h </w:instrText>
        </w:r>
        <w:r>
          <w:rPr>
            <w:noProof/>
            <w:webHidden/>
          </w:rPr>
        </w:r>
        <w:r>
          <w:rPr>
            <w:noProof/>
            <w:webHidden/>
          </w:rPr>
          <w:fldChar w:fldCharType="separate"/>
        </w:r>
        <w:r w:rsidR="009D133E">
          <w:rPr>
            <w:noProof/>
            <w:webHidden/>
          </w:rPr>
          <w:t>43</w:t>
        </w:r>
        <w:r>
          <w:rPr>
            <w:noProof/>
            <w:webHidden/>
          </w:rPr>
          <w:fldChar w:fldCharType="end"/>
        </w:r>
      </w:hyperlink>
    </w:p>
    <w:p w14:paraId="6D5449C5" w14:textId="3EEBDEF5" w:rsidR="00004634" w:rsidRDefault="00004634">
      <w:pPr>
        <w:pStyle w:val="TOC2"/>
        <w:rPr>
          <w:rFonts w:asciiTheme="minorHAnsi" w:eastAsiaTheme="minorEastAsia" w:hAnsiTheme="minorHAnsi"/>
          <w:noProof/>
          <w:kern w:val="2"/>
          <w:sz w:val="24"/>
          <w:szCs w:val="24"/>
          <w:lang w:eastAsia="en-AU"/>
          <w14:ligatures w14:val="standardContextual"/>
        </w:rPr>
      </w:pPr>
      <w:hyperlink w:anchor="_Toc189832275" w:history="1">
        <w:r w:rsidRPr="002D5006">
          <w:rPr>
            <w:rStyle w:val="Hyperlink"/>
            <w:noProof/>
            <w:lang w:eastAsia="en-AU"/>
          </w:rPr>
          <w:t>A.4 Further breakdown of proposed fee structure</w:t>
        </w:r>
        <w:r>
          <w:rPr>
            <w:noProof/>
            <w:webHidden/>
          </w:rPr>
          <w:tab/>
        </w:r>
        <w:r>
          <w:rPr>
            <w:noProof/>
            <w:webHidden/>
          </w:rPr>
          <w:fldChar w:fldCharType="begin"/>
        </w:r>
        <w:r>
          <w:rPr>
            <w:noProof/>
            <w:webHidden/>
          </w:rPr>
          <w:instrText xml:space="preserve"> PAGEREF _Toc189832275 \h </w:instrText>
        </w:r>
        <w:r>
          <w:rPr>
            <w:noProof/>
            <w:webHidden/>
          </w:rPr>
        </w:r>
        <w:r>
          <w:rPr>
            <w:noProof/>
            <w:webHidden/>
          </w:rPr>
          <w:fldChar w:fldCharType="separate"/>
        </w:r>
        <w:r w:rsidR="009D133E">
          <w:rPr>
            <w:noProof/>
            <w:webHidden/>
          </w:rPr>
          <w:t>46</w:t>
        </w:r>
        <w:r>
          <w:rPr>
            <w:noProof/>
            <w:webHidden/>
          </w:rPr>
          <w:fldChar w:fldCharType="end"/>
        </w:r>
      </w:hyperlink>
    </w:p>
    <w:p w14:paraId="559EFA95" w14:textId="035551C4" w:rsidR="00004634" w:rsidRDefault="00004634">
      <w:pPr>
        <w:pStyle w:val="TOC1"/>
        <w:rPr>
          <w:rFonts w:asciiTheme="minorHAnsi" w:eastAsiaTheme="minorEastAsia" w:hAnsiTheme="minorHAnsi"/>
          <w:noProof/>
          <w:kern w:val="2"/>
          <w:sz w:val="24"/>
          <w:szCs w:val="24"/>
          <w:lang w:eastAsia="en-AU"/>
          <w14:ligatures w14:val="standardContextual"/>
        </w:rPr>
      </w:pPr>
      <w:hyperlink w:anchor="_Toc189832276" w:history="1">
        <w:r w:rsidRPr="002D5006">
          <w:rPr>
            <w:rStyle w:val="Hyperlink"/>
            <w:noProof/>
            <w:lang w:eastAsia="en-AU"/>
          </w:rPr>
          <w:t>Limitation of our work</w:t>
        </w:r>
        <w:r>
          <w:rPr>
            <w:noProof/>
            <w:webHidden/>
          </w:rPr>
          <w:tab/>
        </w:r>
        <w:r>
          <w:rPr>
            <w:noProof/>
            <w:webHidden/>
          </w:rPr>
          <w:fldChar w:fldCharType="begin"/>
        </w:r>
        <w:r>
          <w:rPr>
            <w:noProof/>
            <w:webHidden/>
          </w:rPr>
          <w:instrText xml:space="preserve"> PAGEREF _Toc189832276 \h </w:instrText>
        </w:r>
        <w:r>
          <w:rPr>
            <w:noProof/>
            <w:webHidden/>
          </w:rPr>
        </w:r>
        <w:r>
          <w:rPr>
            <w:noProof/>
            <w:webHidden/>
          </w:rPr>
          <w:fldChar w:fldCharType="separate"/>
        </w:r>
        <w:r w:rsidR="009D133E">
          <w:rPr>
            <w:noProof/>
            <w:webHidden/>
          </w:rPr>
          <w:t>48</w:t>
        </w:r>
        <w:r>
          <w:rPr>
            <w:noProof/>
            <w:webHidden/>
          </w:rPr>
          <w:fldChar w:fldCharType="end"/>
        </w:r>
      </w:hyperlink>
    </w:p>
    <w:p w14:paraId="64B58CEA" w14:textId="4F00153F" w:rsidR="00F9113D" w:rsidRPr="00672300" w:rsidRDefault="00415020" w:rsidP="007F2299">
      <w:pPr>
        <w:ind w:left="1276" w:right="141"/>
        <w:sectPr w:rsidR="00F9113D" w:rsidRPr="00672300" w:rsidSect="00C8573F">
          <w:headerReference w:type="default" r:id="rId22"/>
          <w:footerReference w:type="even" r:id="rId23"/>
          <w:footerReference w:type="default" r:id="rId24"/>
          <w:footerReference w:type="first" r:id="rId25"/>
          <w:pgSz w:w="11906" w:h="16838" w:code="9"/>
          <w:pgMar w:top="1440" w:right="1134" w:bottom="1440" w:left="1134" w:header="680" w:footer="425" w:gutter="0"/>
          <w:pgNumType w:fmt="lowerRoman" w:start="1"/>
          <w:cols w:space="284"/>
          <w:noEndnote/>
          <w:docGrid w:linePitch="360"/>
        </w:sectPr>
      </w:pPr>
      <w:r>
        <w:fldChar w:fldCharType="end"/>
      </w:r>
    </w:p>
    <w:p w14:paraId="2177224B" w14:textId="54160E0D" w:rsidR="009E2515" w:rsidRDefault="004D633A" w:rsidP="009D1BBD">
      <w:pPr>
        <w:pStyle w:val="Heading1"/>
        <w:numPr>
          <w:ilvl w:val="0"/>
          <w:numId w:val="0"/>
        </w:numPr>
      </w:pPr>
      <w:bookmarkStart w:id="11" w:name="_Toc189832231"/>
      <w:r>
        <w:lastRenderedPageBreak/>
        <w:t>Glossary</w:t>
      </w:r>
      <w:bookmarkEnd w:id="11"/>
      <w:r>
        <w:t xml:space="preserve"> </w:t>
      </w:r>
    </w:p>
    <w:tbl>
      <w:tblPr>
        <w:tblStyle w:val="Deloittetable"/>
        <w:tblW w:w="0" w:type="auto"/>
        <w:tblLayout w:type="fixed"/>
        <w:tblLook w:val="04A0" w:firstRow="1" w:lastRow="0" w:firstColumn="1" w:lastColumn="0" w:noHBand="0" w:noVBand="1"/>
      </w:tblPr>
      <w:tblGrid>
        <w:gridCol w:w="2132"/>
        <w:gridCol w:w="7082"/>
      </w:tblGrid>
      <w:tr w:rsidR="009E2515" w:rsidRPr="00294696" w14:paraId="2A40872C" w14:textId="77777777" w:rsidTr="0063204F">
        <w:trPr>
          <w:cnfStyle w:val="100000000000" w:firstRow="1" w:lastRow="0" w:firstColumn="0" w:lastColumn="0" w:oddVBand="0" w:evenVBand="0" w:oddHBand="0" w:evenHBand="0" w:firstRowFirstColumn="0" w:firstRowLastColumn="0" w:lastRowFirstColumn="0" w:lastRowLastColumn="0"/>
        </w:trPr>
        <w:tc>
          <w:tcPr>
            <w:tcW w:w="2132" w:type="dxa"/>
          </w:tcPr>
          <w:p w14:paraId="0429E418" w14:textId="541C9AB0" w:rsidR="009E2515" w:rsidRPr="00EC3AC9" w:rsidRDefault="00F06664" w:rsidP="009E2515">
            <w:pPr>
              <w:pStyle w:val="TabletextLeft"/>
              <w:ind w:left="0"/>
              <w:rPr>
                <w:b/>
                <w:bCs/>
              </w:rPr>
            </w:pPr>
            <w:r w:rsidRPr="00EC3AC9">
              <w:rPr>
                <w:b/>
                <w:bCs/>
              </w:rPr>
              <w:t xml:space="preserve"> </w:t>
            </w:r>
            <w:r w:rsidR="009E2515" w:rsidRPr="00EC3AC9">
              <w:rPr>
                <w:b/>
                <w:bCs/>
              </w:rPr>
              <w:t>Acronym</w:t>
            </w:r>
          </w:p>
        </w:tc>
        <w:tc>
          <w:tcPr>
            <w:tcW w:w="7082" w:type="dxa"/>
          </w:tcPr>
          <w:p w14:paraId="56202537" w14:textId="77777777" w:rsidR="009E2515" w:rsidRPr="00EC3AC9" w:rsidRDefault="009E2515" w:rsidP="009E2515">
            <w:pPr>
              <w:pStyle w:val="TabletextLeft"/>
              <w:rPr>
                <w:b/>
                <w:bCs/>
              </w:rPr>
            </w:pPr>
            <w:r w:rsidRPr="00EC3AC9">
              <w:rPr>
                <w:b/>
                <w:bCs/>
              </w:rPr>
              <w:t>Full name</w:t>
            </w:r>
          </w:p>
        </w:tc>
      </w:tr>
      <w:tr w:rsidR="00FD7FF0" w:rsidRPr="00294696" w14:paraId="07DA72C0" w14:textId="77777777" w:rsidTr="0063204F">
        <w:tc>
          <w:tcPr>
            <w:tcW w:w="2132" w:type="dxa"/>
          </w:tcPr>
          <w:p w14:paraId="16BC5A60" w14:textId="53B9D9B4" w:rsidR="00FD7FF0" w:rsidRDefault="00FD7FF0" w:rsidP="00782FF2">
            <w:pPr>
              <w:pStyle w:val="TabletextLeft"/>
            </w:pPr>
            <w:r>
              <w:t>DJCS</w:t>
            </w:r>
          </w:p>
        </w:tc>
        <w:tc>
          <w:tcPr>
            <w:tcW w:w="7082" w:type="dxa"/>
          </w:tcPr>
          <w:p w14:paraId="52E3CA73" w14:textId="12A3C2D7" w:rsidR="00FD7FF0" w:rsidRDefault="00FD7FF0" w:rsidP="00782FF2">
            <w:pPr>
              <w:pStyle w:val="TabletextLeft"/>
            </w:pPr>
            <w:r>
              <w:t xml:space="preserve">Department of Justice and Community Safety </w:t>
            </w:r>
          </w:p>
        </w:tc>
      </w:tr>
      <w:tr w:rsidR="00782FF2" w:rsidRPr="00294696" w14:paraId="7AE36B48" w14:textId="77777777" w:rsidTr="0063204F">
        <w:tc>
          <w:tcPr>
            <w:tcW w:w="2132" w:type="dxa"/>
          </w:tcPr>
          <w:p w14:paraId="672C3EA5" w14:textId="76E51D50" w:rsidR="00782FF2" w:rsidRDefault="00393126" w:rsidP="00782FF2">
            <w:pPr>
              <w:pStyle w:val="TabletextLeft"/>
            </w:pPr>
            <w:r>
              <w:t>LRD</w:t>
            </w:r>
          </w:p>
        </w:tc>
        <w:tc>
          <w:tcPr>
            <w:tcW w:w="7082" w:type="dxa"/>
          </w:tcPr>
          <w:p w14:paraId="276C2565" w14:textId="7A49821D" w:rsidR="00782FF2" w:rsidRDefault="00393126" w:rsidP="00782FF2">
            <w:pPr>
              <w:pStyle w:val="TabletextLeft"/>
            </w:pPr>
            <w:r>
              <w:t xml:space="preserve">Victoria Police’s Licensing and Regulation Division </w:t>
            </w:r>
          </w:p>
        </w:tc>
      </w:tr>
      <w:tr w:rsidR="0070147A" w:rsidRPr="00294696" w14:paraId="274BFCCD" w14:textId="77777777" w:rsidTr="0063204F">
        <w:tc>
          <w:tcPr>
            <w:tcW w:w="2132" w:type="dxa"/>
          </w:tcPr>
          <w:p w14:paraId="67A5B8D5" w14:textId="4F74EE57" w:rsidR="0070147A" w:rsidRDefault="0070147A" w:rsidP="00782FF2">
            <w:pPr>
              <w:pStyle w:val="TabletextLeft"/>
            </w:pPr>
            <w:r>
              <w:t>MCA</w:t>
            </w:r>
          </w:p>
        </w:tc>
        <w:tc>
          <w:tcPr>
            <w:tcW w:w="7082" w:type="dxa"/>
          </w:tcPr>
          <w:p w14:paraId="5BB0C394" w14:textId="20F464D8" w:rsidR="0070147A" w:rsidRDefault="0070147A" w:rsidP="00782FF2">
            <w:pPr>
              <w:pStyle w:val="TabletextLeft"/>
            </w:pPr>
            <w:r>
              <w:t xml:space="preserve">Multi-criteria analysis </w:t>
            </w:r>
          </w:p>
        </w:tc>
      </w:tr>
      <w:tr w:rsidR="00F7685E" w:rsidRPr="00294696" w14:paraId="36DF449D" w14:textId="77777777" w:rsidTr="0063204F">
        <w:tc>
          <w:tcPr>
            <w:tcW w:w="2132" w:type="dxa"/>
          </w:tcPr>
          <w:p w14:paraId="64FAC4E8" w14:textId="3DE290D1" w:rsidR="00F7685E" w:rsidRDefault="00F7685E" w:rsidP="00782FF2">
            <w:pPr>
              <w:pStyle w:val="TabletextLeft"/>
            </w:pPr>
            <w:r>
              <w:t>RIS</w:t>
            </w:r>
          </w:p>
        </w:tc>
        <w:tc>
          <w:tcPr>
            <w:tcW w:w="7082" w:type="dxa"/>
          </w:tcPr>
          <w:p w14:paraId="0360E289" w14:textId="26CD2C08" w:rsidR="00F7685E" w:rsidRDefault="00F7685E" w:rsidP="00782FF2">
            <w:pPr>
              <w:pStyle w:val="TabletextLeft"/>
            </w:pPr>
            <w:r>
              <w:t xml:space="preserve">Regulatory Impact Statement </w:t>
            </w:r>
          </w:p>
        </w:tc>
      </w:tr>
      <w:tr w:rsidR="00B1632A" w:rsidRPr="00294696" w14:paraId="500CA722" w14:textId="77777777" w:rsidTr="0063204F">
        <w:tc>
          <w:tcPr>
            <w:tcW w:w="2132" w:type="dxa"/>
          </w:tcPr>
          <w:p w14:paraId="178856BB" w14:textId="16FFF510" w:rsidR="00B1632A" w:rsidRDefault="00B1632A" w:rsidP="00782FF2">
            <w:pPr>
              <w:pStyle w:val="TabletextLeft"/>
            </w:pPr>
            <w:r>
              <w:t>The Act</w:t>
            </w:r>
          </w:p>
        </w:tc>
        <w:tc>
          <w:tcPr>
            <w:tcW w:w="7082" w:type="dxa"/>
          </w:tcPr>
          <w:p w14:paraId="6473F862" w14:textId="4022E512" w:rsidR="00B1632A" w:rsidRPr="00396CC6" w:rsidRDefault="00B1632A" w:rsidP="00782FF2">
            <w:pPr>
              <w:pStyle w:val="TabletextLeft"/>
              <w:rPr>
                <w:i/>
                <w:iCs/>
              </w:rPr>
            </w:pPr>
            <w:r w:rsidRPr="00396CC6">
              <w:rPr>
                <w:i/>
                <w:iCs/>
              </w:rPr>
              <w:t>Private Security Act 2004</w:t>
            </w:r>
          </w:p>
        </w:tc>
      </w:tr>
      <w:tr w:rsidR="008332CF" w:rsidRPr="00294696" w14:paraId="5E5DBCC7" w14:textId="77777777" w:rsidTr="0063204F">
        <w:tc>
          <w:tcPr>
            <w:tcW w:w="2132" w:type="dxa"/>
          </w:tcPr>
          <w:p w14:paraId="274B8FFE" w14:textId="62B19BC3" w:rsidR="008332CF" w:rsidRDefault="008332CF" w:rsidP="00782FF2">
            <w:pPr>
              <w:pStyle w:val="TabletextLeft"/>
            </w:pPr>
            <w:r>
              <w:t>The amending Act</w:t>
            </w:r>
          </w:p>
        </w:tc>
        <w:tc>
          <w:tcPr>
            <w:tcW w:w="7082" w:type="dxa"/>
          </w:tcPr>
          <w:p w14:paraId="18DFD792" w14:textId="33D52599" w:rsidR="008332CF" w:rsidRPr="00396CC6" w:rsidRDefault="0053782D" w:rsidP="00782FF2">
            <w:pPr>
              <w:pStyle w:val="TabletextLeft"/>
              <w:rPr>
                <w:i/>
                <w:iCs/>
              </w:rPr>
            </w:pPr>
            <w:r>
              <w:rPr>
                <w:i/>
                <w:iCs/>
              </w:rPr>
              <w:t>Private Security and County Court Amendment Act 2024</w:t>
            </w:r>
          </w:p>
        </w:tc>
      </w:tr>
      <w:tr w:rsidR="00396CC6" w:rsidRPr="00294696" w14:paraId="4403B401" w14:textId="77777777" w:rsidTr="0063204F">
        <w:tc>
          <w:tcPr>
            <w:tcW w:w="2132" w:type="dxa"/>
          </w:tcPr>
          <w:p w14:paraId="3AA709AB" w14:textId="0C268309" w:rsidR="00396CC6" w:rsidRDefault="003B3A3F" w:rsidP="00782FF2">
            <w:pPr>
              <w:pStyle w:val="TabletextLeft"/>
            </w:pPr>
            <w:r>
              <w:t>The Regulations</w:t>
            </w:r>
          </w:p>
        </w:tc>
        <w:tc>
          <w:tcPr>
            <w:tcW w:w="7082" w:type="dxa"/>
          </w:tcPr>
          <w:p w14:paraId="352ABF8F" w14:textId="2146301C" w:rsidR="00396CC6" w:rsidRPr="003B3A3F" w:rsidRDefault="003B3A3F" w:rsidP="00782FF2">
            <w:pPr>
              <w:pStyle w:val="TabletextLeft"/>
            </w:pPr>
            <w:r>
              <w:t xml:space="preserve">Private Security Regulations 2016 </w:t>
            </w:r>
          </w:p>
        </w:tc>
      </w:tr>
      <w:tr w:rsidR="008332CF" w:rsidRPr="00294696" w14:paraId="55A5296A" w14:textId="77777777" w:rsidTr="0063204F">
        <w:tc>
          <w:tcPr>
            <w:tcW w:w="2132" w:type="dxa"/>
          </w:tcPr>
          <w:p w14:paraId="5AFAF6BD" w14:textId="402B8AD2" w:rsidR="008332CF" w:rsidRDefault="008332CF" w:rsidP="00782FF2">
            <w:pPr>
              <w:pStyle w:val="TabletextLeft"/>
            </w:pPr>
            <w:r>
              <w:t>VCAT</w:t>
            </w:r>
          </w:p>
        </w:tc>
        <w:tc>
          <w:tcPr>
            <w:tcW w:w="7082" w:type="dxa"/>
          </w:tcPr>
          <w:p w14:paraId="68D8864D" w14:textId="11DAB825" w:rsidR="008332CF" w:rsidRDefault="008332CF" w:rsidP="00782FF2">
            <w:pPr>
              <w:pStyle w:val="TabletextLeft"/>
            </w:pPr>
            <w:r>
              <w:t xml:space="preserve">Victorian Civil and Administrative Tribunal </w:t>
            </w:r>
          </w:p>
        </w:tc>
      </w:tr>
    </w:tbl>
    <w:p w14:paraId="4DAB4AB0" w14:textId="77777777" w:rsidR="004D633A" w:rsidRPr="004D633A" w:rsidRDefault="004D633A" w:rsidP="004D633A"/>
    <w:p w14:paraId="23DF4BDD" w14:textId="7D177DE2" w:rsidR="009E2515" w:rsidRDefault="009E2515" w:rsidP="00103191">
      <w:pPr>
        <w:pStyle w:val="ExecutiveHeading"/>
      </w:pPr>
      <w:bookmarkStart w:id="12" w:name="_Toc189832232"/>
      <w:r>
        <w:lastRenderedPageBreak/>
        <w:t>Executive summary</w:t>
      </w:r>
      <w:bookmarkEnd w:id="12"/>
      <w:r>
        <w:t xml:space="preserve"> </w:t>
      </w:r>
    </w:p>
    <w:p w14:paraId="1AEDC6D0" w14:textId="424CAB8F" w:rsidR="002F51F0" w:rsidRDefault="002F51F0" w:rsidP="002F51F0">
      <w:pPr>
        <w:pStyle w:val="Heading2un-numbered"/>
      </w:pPr>
      <w:bookmarkStart w:id="13" w:name="_Toc93609869"/>
      <w:bookmarkStart w:id="14" w:name="_Toc94690680"/>
      <w:bookmarkStart w:id="15" w:name="_Toc159259906"/>
      <w:bookmarkStart w:id="16" w:name="_Toc161320958"/>
      <w:bookmarkStart w:id="17" w:name="_Toc165561455"/>
      <w:bookmarkStart w:id="18" w:name="_Toc189832233"/>
      <w:r>
        <w:t xml:space="preserve">Purpose of this </w:t>
      </w:r>
      <w:r w:rsidR="006F62E8">
        <w:t>R</w:t>
      </w:r>
      <w:r>
        <w:t xml:space="preserve">egulatory </w:t>
      </w:r>
      <w:r w:rsidR="006F62E8">
        <w:t>I</w:t>
      </w:r>
      <w:r>
        <w:t xml:space="preserve">mpact </w:t>
      </w:r>
      <w:r w:rsidR="006F62E8">
        <w:t>S</w:t>
      </w:r>
      <w:r>
        <w:t>tatement</w:t>
      </w:r>
      <w:bookmarkEnd w:id="13"/>
      <w:bookmarkEnd w:id="14"/>
      <w:bookmarkEnd w:id="15"/>
      <w:bookmarkEnd w:id="16"/>
      <w:bookmarkEnd w:id="17"/>
      <w:r w:rsidR="006F62E8">
        <w:t xml:space="preserve"> (RIS)</w:t>
      </w:r>
      <w:bookmarkEnd w:id="18"/>
    </w:p>
    <w:p w14:paraId="0690CAAB" w14:textId="365C91E5" w:rsidR="00222674" w:rsidRDefault="00DC144A" w:rsidP="00DC144A">
      <w:r>
        <w:t xml:space="preserve">The private security industry plays </w:t>
      </w:r>
      <w:r w:rsidR="00A02C81">
        <w:t>an important</w:t>
      </w:r>
      <w:r>
        <w:t xml:space="preserve"> role in ensuring community</w:t>
      </w:r>
      <w:r w:rsidR="00A95D03">
        <w:t xml:space="preserve"> safety</w:t>
      </w:r>
      <w:r w:rsidR="00A02C81">
        <w:t>, with</w:t>
      </w:r>
      <w:r w:rsidR="005E37B8">
        <w:t xml:space="preserve"> </w:t>
      </w:r>
      <w:r w:rsidR="0071561A">
        <w:t xml:space="preserve">nearly 42,000 </w:t>
      </w:r>
      <w:r w:rsidR="00532613">
        <w:t xml:space="preserve">providers (including </w:t>
      </w:r>
      <w:r w:rsidR="0071561A">
        <w:t>individuals and businesses</w:t>
      </w:r>
      <w:r w:rsidR="00532613">
        <w:t>)</w:t>
      </w:r>
      <w:r w:rsidR="0071561A">
        <w:t xml:space="preserve"> operating in </w:t>
      </w:r>
      <w:r w:rsidR="005E37B8">
        <w:t xml:space="preserve">Victoria as </w:t>
      </w:r>
      <w:r w:rsidR="000D24A5">
        <w:t>of</w:t>
      </w:r>
      <w:r w:rsidR="005E37B8">
        <w:t xml:space="preserve"> 31 December 2023.</w:t>
      </w:r>
      <w:r w:rsidR="005E37B8">
        <w:rPr>
          <w:rStyle w:val="FootnoteReference"/>
        </w:rPr>
        <w:footnoteReference w:id="2"/>
      </w:r>
      <w:r w:rsidR="005E37B8">
        <w:t xml:space="preserve"> </w:t>
      </w:r>
      <w:r w:rsidR="00441E6B">
        <w:t xml:space="preserve">Private security </w:t>
      </w:r>
      <w:r w:rsidR="00532613">
        <w:t>providers</w:t>
      </w:r>
      <w:r w:rsidR="00441E6B">
        <w:t xml:space="preserve"> </w:t>
      </w:r>
      <w:r w:rsidR="00B72258">
        <w:t>offer</w:t>
      </w:r>
      <w:r>
        <w:t xml:space="preserve"> a </w:t>
      </w:r>
      <w:r w:rsidR="00716E6E">
        <w:t>range of</w:t>
      </w:r>
      <w:r>
        <w:t xml:space="preserve"> service</w:t>
      </w:r>
      <w:r w:rsidR="00716E6E">
        <w:t>s</w:t>
      </w:r>
      <w:r>
        <w:t xml:space="preserve"> to individuals and businesses to m</w:t>
      </w:r>
      <w:r w:rsidR="00716E6E">
        <w:t>anage</w:t>
      </w:r>
      <w:r>
        <w:t xml:space="preserve"> the </w:t>
      </w:r>
      <w:r w:rsidR="00716E6E">
        <w:t xml:space="preserve">risk of </w:t>
      </w:r>
      <w:r w:rsidR="008F24A5">
        <w:t xml:space="preserve">safety incidents and </w:t>
      </w:r>
      <w:r w:rsidR="00716E6E">
        <w:t xml:space="preserve">mitigate potential exposure to </w:t>
      </w:r>
      <w:r>
        <w:t xml:space="preserve">crime, particularly in </w:t>
      </w:r>
      <w:r w:rsidRPr="002A4FAF">
        <w:t>instances which are beyond the remit or capacity of Victoria Police.</w:t>
      </w:r>
      <w:r>
        <w:t xml:space="preserve"> </w:t>
      </w:r>
    </w:p>
    <w:p w14:paraId="4172A68D" w14:textId="39CB92F8" w:rsidR="006B58FA" w:rsidRDefault="00A364AA" w:rsidP="00DC144A">
      <w:r>
        <w:t>The</w:t>
      </w:r>
      <w:r w:rsidR="00960147">
        <w:t xml:space="preserve"> </w:t>
      </w:r>
      <w:r w:rsidR="00960147" w:rsidRPr="00491690">
        <w:rPr>
          <w:i/>
          <w:iCs/>
        </w:rPr>
        <w:t>Private Security Act 2004</w:t>
      </w:r>
      <w:r w:rsidR="00960147">
        <w:t xml:space="preserve"> (the Act) </w:t>
      </w:r>
      <w:r w:rsidR="00632BD4">
        <w:t>establishes the regulatory framework for licensing and registration of private security</w:t>
      </w:r>
      <w:r w:rsidR="003543D7">
        <w:t xml:space="preserve"> </w:t>
      </w:r>
      <w:r w:rsidR="00632BD4">
        <w:t xml:space="preserve">providers and </w:t>
      </w:r>
      <w:r w:rsidR="00960147">
        <w:t xml:space="preserve">requires </w:t>
      </w:r>
      <w:r w:rsidR="00DC144A">
        <w:t xml:space="preserve">that </w:t>
      </w:r>
      <w:r w:rsidR="003D4654">
        <w:t xml:space="preserve">private </w:t>
      </w:r>
      <w:r w:rsidR="00DC144A">
        <w:t xml:space="preserve">security providers </w:t>
      </w:r>
      <w:r w:rsidR="00D16890">
        <w:t xml:space="preserve">operating in Victoria </w:t>
      </w:r>
      <w:r w:rsidR="00DC144A">
        <w:t xml:space="preserve">meet </w:t>
      </w:r>
      <w:r w:rsidR="003E4834">
        <w:t xml:space="preserve">adequate </w:t>
      </w:r>
      <w:r w:rsidR="00DC144A">
        <w:t>standard</w:t>
      </w:r>
      <w:r w:rsidR="00C126AC">
        <w:t>s</w:t>
      </w:r>
      <w:r w:rsidR="00DC144A">
        <w:t xml:space="preserve"> of competenc</w:t>
      </w:r>
      <w:r w:rsidR="003E4834">
        <w:t>y</w:t>
      </w:r>
      <w:r w:rsidR="00DC144A">
        <w:t>, legitimacy, and character.</w:t>
      </w:r>
      <w:r w:rsidR="0036598D">
        <w:t xml:space="preserve"> </w:t>
      </w:r>
      <w:r w:rsidR="004D683D">
        <w:t>The Act establishe</w:t>
      </w:r>
      <w:r w:rsidR="00131383">
        <w:t>s</w:t>
      </w:r>
      <w:r w:rsidR="004D683D">
        <w:t xml:space="preserve"> the </w:t>
      </w:r>
      <w:r w:rsidR="00EF7A0C">
        <w:t xml:space="preserve">range </w:t>
      </w:r>
      <w:r w:rsidR="004D683D">
        <w:t>of private se</w:t>
      </w:r>
      <w:r w:rsidR="00F04ED5">
        <w:t xml:space="preserve">curity </w:t>
      </w:r>
      <w:r w:rsidR="00F73496">
        <w:t>activities</w:t>
      </w:r>
      <w:r w:rsidR="00131383">
        <w:t xml:space="preserve"> that </w:t>
      </w:r>
      <w:r w:rsidR="00D16890">
        <w:t>must only be carried out by licensed or registered</w:t>
      </w:r>
      <w:r w:rsidR="0036598D">
        <w:t xml:space="preserve"> </w:t>
      </w:r>
      <w:r w:rsidR="00131383">
        <w:t>individual</w:t>
      </w:r>
      <w:r w:rsidR="00D16890">
        <w:t>s</w:t>
      </w:r>
      <w:r w:rsidR="00131383">
        <w:t xml:space="preserve"> or business</w:t>
      </w:r>
      <w:r w:rsidR="00D16890">
        <w:t>es</w:t>
      </w:r>
      <w:r w:rsidR="00EF7A0C">
        <w:t>.</w:t>
      </w:r>
      <w:r w:rsidR="00C11B4B">
        <w:t xml:space="preserve"> </w:t>
      </w:r>
      <w:r w:rsidR="00AA62FE">
        <w:t xml:space="preserve">Currently, the Act prescribes </w:t>
      </w:r>
      <w:r w:rsidR="00F73496">
        <w:t xml:space="preserve">two classes of activities </w:t>
      </w:r>
      <w:r w:rsidR="00BC2487">
        <w:t>– Class A activities for licences (including crowd controllers, security guards and private investigators</w:t>
      </w:r>
      <w:r w:rsidR="0000626A">
        <w:t>, among others</w:t>
      </w:r>
      <w:r w:rsidR="00BC2487">
        <w:t xml:space="preserve">) </w:t>
      </w:r>
      <w:r w:rsidR="0000626A">
        <w:t>and Class B activities for registrations (</w:t>
      </w:r>
      <w:r w:rsidR="00773B72">
        <w:t>security</w:t>
      </w:r>
      <w:r w:rsidR="00D16890">
        <w:t xml:space="preserve"> </w:t>
      </w:r>
      <w:r w:rsidR="002A4FAF">
        <w:t>equipment</w:t>
      </w:r>
      <w:r w:rsidR="00773B72">
        <w:t xml:space="preserve"> </w:t>
      </w:r>
      <w:r w:rsidR="00D16890">
        <w:t xml:space="preserve">installers </w:t>
      </w:r>
      <w:r w:rsidR="00773B72">
        <w:t xml:space="preserve">and security advisers). </w:t>
      </w:r>
      <w:r w:rsidR="00DC144A">
        <w:t xml:space="preserve">The </w:t>
      </w:r>
      <w:r w:rsidR="00DC144A" w:rsidRPr="000B00B7">
        <w:rPr>
          <w:i/>
          <w:iCs/>
        </w:rPr>
        <w:t>Private Security Regulations 2016</w:t>
      </w:r>
      <w:r w:rsidR="00DC144A">
        <w:t xml:space="preserve"> (the Regulations) </w:t>
      </w:r>
      <w:r w:rsidR="00BE16CD">
        <w:t xml:space="preserve">support the Act by </w:t>
      </w:r>
      <w:r w:rsidR="00DC144A">
        <w:t>prescrib</w:t>
      </w:r>
      <w:r w:rsidR="00BE16CD">
        <w:t>ing</w:t>
      </w:r>
      <w:r w:rsidR="00DC144A">
        <w:t xml:space="preserve"> </w:t>
      </w:r>
      <w:r w:rsidR="0003426C">
        <w:t>additional</w:t>
      </w:r>
      <w:r w:rsidR="00DC144A">
        <w:t xml:space="preserve"> particulars, </w:t>
      </w:r>
      <w:r w:rsidR="0003426C">
        <w:t>documentation requirements</w:t>
      </w:r>
      <w:r w:rsidR="00DC144A">
        <w:t xml:space="preserve"> and fees </w:t>
      </w:r>
      <w:r w:rsidR="0003426C">
        <w:t>associated with</w:t>
      </w:r>
      <w:r w:rsidR="00DC144A">
        <w:t xml:space="preserve"> </w:t>
      </w:r>
      <w:r w:rsidR="00564671">
        <w:t xml:space="preserve">administering </w:t>
      </w:r>
      <w:r w:rsidR="00DC144A">
        <w:t xml:space="preserve">licensing and registration of </w:t>
      </w:r>
      <w:r w:rsidR="00F6268D">
        <w:t>private</w:t>
      </w:r>
      <w:r w:rsidR="00DC144A">
        <w:t xml:space="preserve"> security </w:t>
      </w:r>
      <w:r w:rsidR="003C05DE">
        <w:t>providers</w:t>
      </w:r>
      <w:r w:rsidR="00DC144A">
        <w:t xml:space="preserve">. </w:t>
      </w:r>
      <w:r w:rsidR="001B5DAF" w:rsidRPr="001B5DAF">
        <w:t>While it is the Act that creates the obligation for applicants to meet the probity and competency requirements, the Regulations provide clarity on meeting these requirements by prescribing the particulars and documents required to support an application.</w:t>
      </w:r>
    </w:p>
    <w:p w14:paraId="0F0FBFBF" w14:textId="7E992798" w:rsidR="00DC144A" w:rsidRPr="001C62C8" w:rsidRDefault="00421551" w:rsidP="00DC144A">
      <w:r>
        <w:t>T</w:t>
      </w:r>
      <w:r w:rsidR="00AC6DFA">
        <w:t>he</w:t>
      </w:r>
      <w:r w:rsidR="00F6268D">
        <w:t xml:space="preserve"> recently </w:t>
      </w:r>
      <w:r w:rsidR="00D16890">
        <w:t xml:space="preserve">passed </w:t>
      </w:r>
      <w:r w:rsidR="00AC6DFA" w:rsidRPr="000319E3">
        <w:rPr>
          <w:i/>
          <w:iCs/>
        </w:rPr>
        <w:t>Private Security and County Court</w:t>
      </w:r>
      <w:r w:rsidR="00453281">
        <w:rPr>
          <w:i/>
          <w:iCs/>
        </w:rPr>
        <w:t xml:space="preserve"> Amendment</w:t>
      </w:r>
      <w:r w:rsidR="00AC6DFA" w:rsidRPr="000319E3">
        <w:rPr>
          <w:i/>
          <w:iCs/>
        </w:rPr>
        <w:t xml:space="preserve"> Act 2024</w:t>
      </w:r>
      <w:r w:rsidR="00AC6DFA">
        <w:t xml:space="preserve"> </w:t>
      </w:r>
      <w:r w:rsidR="007335ED">
        <w:t>(the amending Act)</w:t>
      </w:r>
      <w:r w:rsidR="00D16890">
        <w:t>, which is not yet in force, will</w:t>
      </w:r>
      <w:r w:rsidR="0036598D">
        <w:t xml:space="preserve"> </w:t>
      </w:r>
      <w:r w:rsidR="00222674">
        <w:t>result in</w:t>
      </w:r>
      <w:r w:rsidR="00AC6DFA">
        <w:t xml:space="preserve"> </w:t>
      </w:r>
      <w:r w:rsidR="00222674">
        <w:t>several</w:t>
      </w:r>
      <w:r w:rsidR="00AC6DFA">
        <w:t xml:space="preserve"> amendments to the </w:t>
      </w:r>
      <w:r w:rsidR="00AC6DFA" w:rsidRPr="00222674">
        <w:t>Act</w:t>
      </w:r>
      <w:r w:rsidR="00AA62FE">
        <w:t xml:space="preserve"> – the most significant of which is the consolidation of </w:t>
      </w:r>
      <w:r w:rsidR="00EB7720">
        <w:t xml:space="preserve">the current Class A and Class B </w:t>
      </w:r>
      <w:r w:rsidR="001D5199">
        <w:t>classifications under a single-tiered licen</w:t>
      </w:r>
      <w:r w:rsidR="00AE54EF">
        <w:t>s</w:t>
      </w:r>
      <w:r w:rsidR="001D5199">
        <w:t>ing system</w:t>
      </w:r>
      <w:r w:rsidR="00AC6DFA">
        <w:rPr>
          <w:i/>
          <w:iCs/>
        </w:rPr>
        <w:t>.</w:t>
      </w:r>
      <w:r w:rsidR="00B248F8">
        <w:t xml:space="preserve"> These amendments come into effect from 19 June 2025</w:t>
      </w:r>
      <w:r w:rsidR="00222674">
        <w:t xml:space="preserve"> </w:t>
      </w:r>
      <w:r w:rsidR="00D16890">
        <w:t>(unless proclaimed in part o</w:t>
      </w:r>
      <w:r w:rsidR="00DB533C">
        <w:t>r</w:t>
      </w:r>
      <w:r w:rsidR="00D16890">
        <w:t xml:space="preserve"> whole on an earlier date) </w:t>
      </w:r>
      <w:r w:rsidR="00222674">
        <w:t>and</w:t>
      </w:r>
      <w:r w:rsidR="00B248F8">
        <w:t xml:space="preserve"> the Regulations need to be remade by this date to operationalise the amendments. </w:t>
      </w:r>
      <w:r w:rsidR="007335ED">
        <w:t xml:space="preserve">As </w:t>
      </w:r>
      <w:r w:rsidR="00C36210">
        <w:t xml:space="preserve">the Regulations are currently due to sunset on 26 June 2026, </w:t>
      </w:r>
      <w:r w:rsidR="00487A27">
        <w:t xml:space="preserve">the Department of Justice and Community Safety </w:t>
      </w:r>
      <w:r w:rsidR="007335ED">
        <w:t xml:space="preserve">(DJCS) </w:t>
      </w:r>
      <w:r w:rsidR="008276EB">
        <w:t xml:space="preserve">has brought forward the </w:t>
      </w:r>
      <w:r w:rsidR="00487A27">
        <w:t>remak</w:t>
      </w:r>
      <w:r w:rsidR="007335ED">
        <w:t>ing of</w:t>
      </w:r>
      <w:r w:rsidR="00487A27">
        <w:t xml:space="preserve"> the Regulations in</w:t>
      </w:r>
      <w:r w:rsidR="007335ED">
        <w:t xml:space="preserve"> </w:t>
      </w:r>
      <w:r w:rsidR="00E233D3">
        <w:t>their</w:t>
      </w:r>
      <w:r w:rsidR="007335ED">
        <w:t xml:space="preserve"> entirety</w:t>
      </w:r>
      <w:r w:rsidR="006B59A0">
        <w:t xml:space="preserve">, </w:t>
      </w:r>
      <w:r w:rsidR="006A2540">
        <w:t>undertaking an early sunsetting review of the Regulations as a whole</w:t>
      </w:r>
      <w:r w:rsidR="00487A27">
        <w:t xml:space="preserve">. </w:t>
      </w:r>
      <w:r w:rsidR="00DC144A">
        <w:t xml:space="preserve">The purpose of this RIS is to assess the potential impacts on the Victorian community </w:t>
      </w:r>
      <w:r w:rsidR="001F3F31">
        <w:t xml:space="preserve">of </w:t>
      </w:r>
      <w:r w:rsidR="00DC144A">
        <w:t xml:space="preserve">remaking the </w:t>
      </w:r>
      <w:r w:rsidR="00012D95">
        <w:t>Regulations</w:t>
      </w:r>
      <w:r w:rsidR="00DC144A">
        <w:t xml:space="preserve">. </w:t>
      </w:r>
    </w:p>
    <w:p w14:paraId="5BA4F7AD" w14:textId="42A52C37" w:rsidR="00791819" w:rsidRDefault="003868AD" w:rsidP="003868AD">
      <w:pPr>
        <w:pStyle w:val="Heading2un-numbered"/>
      </w:pPr>
      <w:bookmarkStart w:id="19" w:name="_Toc189832234"/>
      <w:r>
        <w:t>Problem statement</w:t>
      </w:r>
      <w:bookmarkEnd w:id="19"/>
      <w:r>
        <w:t xml:space="preserve"> </w:t>
      </w:r>
    </w:p>
    <w:p w14:paraId="43E864C7" w14:textId="30A548CB" w:rsidR="001F4F10" w:rsidRDefault="00CC2583" w:rsidP="001F4F10">
      <w:r>
        <w:t xml:space="preserve">Private security providers are employed </w:t>
      </w:r>
      <w:r w:rsidR="00E233D3">
        <w:t xml:space="preserve">for </w:t>
      </w:r>
      <w:r w:rsidR="001F4F10">
        <w:t>a range of</w:t>
      </w:r>
      <w:r w:rsidR="0085748A">
        <w:t xml:space="preserve"> </w:t>
      </w:r>
      <w:r w:rsidR="00D72D9C">
        <w:t xml:space="preserve">purposes with typical use cases </w:t>
      </w:r>
      <w:r w:rsidR="001F4F10">
        <w:t>including large public events, corporate environments, hospitality, retail, entertainment venues, and cash</w:t>
      </w:r>
      <w:r w:rsidR="00D16890">
        <w:t xml:space="preserve"> and high value goods transport</w:t>
      </w:r>
      <w:r w:rsidR="001F4F10">
        <w:t xml:space="preserve"> management. Private security </w:t>
      </w:r>
      <w:r w:rsidR="00392D10">
        <w:t>providers</w:t>
      </w:r>
      <w:r w:rsidR="001F4F10">
        <w:t xml:space="preserve"> often interact directly with the public and can have access to sensitive areas and information. They also often work in challenging environments such as interacting with people under the influence of alcohol and/or illicit substances. </w:t>
      </w:r>
      <w:r w:rsidR="00DE64DF">
        <w:t>Consequently</w:t>
      </w:r>
      <w:r w:rsidR="001F4F10">
        <w:t xml:space="preserve">, it is important that the sector </w:t>
      </w:r>
      <w:r w:rsidR="00DE64DF">
        <w:t xml:space="preserve">has appropriate safeguards and protections in place </w:t>
      </w:r>
      <w:r w:rsidR="001F4F10">
        <w:t xml:space="preserve">to mitigate potential risks to the public and to the </w:t>
      </w:r>
      <w:r w:rsidR="00392D10">
        <w:t>providers</w:t>
      </w:r>
      <w:r w:rsidR="00BE0416">
        <w:t xml:space="preserve"> of these services</w:t>
      </w:r>
      <w:r w:rsidR="001F4F10">
        <w:t xml:space="preserve">. </w:t>
      </w:r>
    </w:p>
    <w:p w14:paraId="78605D1C" w14:textId="13FD4C2F" w:rsidR="00337095" w:rsidRDefault="00A44D48" w:rsidP="003868AD">
      <w:r w:rsidRPr="00A44D48">
        <w:t xml:space="preserve">Government intervention in the private security sector </w:t>
      </w:r>
      <w:r w:rsidR="00961661">
        <w:t xml:space="preserve">aims to protect the community and to ensure </w:t>
      </w:r>
      <w:r w:rsidR="00B83C82">
        <w:t xml:space="preserve">the </w:t>
      </w:r>
      <w:r w:rsidR="008247DC">
        <w:t>probity</w:t>
      </w:r>
      <w:r w:rsidR="008247DC" w:rsidRPr="00A44D48">
        <w:t xml:space="preserve"> </w:t>
      </w:r>
      <w:r w:rsidRPr="00A44D48">
        <w:t xml:space="preserve">and </w:t>
      </w:r>
      <w:r w:rsidR="009A616D" w:rsidRPr="00A44D48">
        <w:t>competenc</w:t>
      </w:r>
      <w:r w:rsidR="00372510">
        <w:t>y</w:t>
      </w:r>
      <w:r w:rsidR="00682EC5">
        <w:t xml:space="preserve"> of </w:t>
      </w:r>
      <w:r w:rsidR="00961661">
        <w:t>private security provide</w:t>
      </w:r>
      <w:r w:rsidR="009A616D">
        <w:t>rs</w:t>
      </w:r>
      <w:r w:rsidRPr="00A44D48">
        <w:t xml:space="preserve">. The Act </w:t>
      </w:r>
      <w:r w:rsidR="009A616D">
        <w:t>requires providers</w:t>
      </w:r>
      <w:r w:rsidR="00407C8E">
        <w:t xml:space="preserve"> to</w:t>
      </w:r>
      <w:r w:rsidR="009A616D">
        <w:t xml:space="preserve"> </w:t>
      </w:r>
      <w:r w:rsidR="008247DC">
        <w:t>be licenced or registered</w:t>
      </w:r>
      <w:r w:rsidR="00CF4435">
        <w:t>, depending on the type of private security services they wish to provide</w:t>
      </w:r>
      <w:r w:rsidR="008247DC">
        <w:t xml:space="preserve">. </w:t>
      </w:r>
      <w:r w:rsidRPr="00A44D48">
        <w:t xml:space="preserve">Victoria Police </w:t>
      </w:r>
      <w:r w:rsidR="008247DC">
        <w:t xml:space="preserve">is </w:t>
      </w:r>
      <w:r w:rsidR="00ED7F5B">
        <w:t xml:space="preserve">responsible for </w:t>
      </w:r>
      <w:r w:rsidRPr="00A44D48">
        <w:t xml:space="preserve">assessing </w:t>
      </w:r>
      <w:r w:rsidR="00027FC4">
        <w:t xml:space="preserve">the probity and competency of </w:t>
      </w:r>
      <w:r w:rsidR="00ED7F5B">
        <w:t>a</w:t>
      </w:r>
      <w:r w:rsidR="00140712">
        <w:t xml:space="preserve"> licence or registration</w:t>
      </w:r>
      <w:r w:rsidRPr="00A44D48">
        <w:t xml:space="preserve"> applicant</w:t>
      </w:r>
      <w:r w:rsidR="00433431">
        <w:t>.</w:t>
      </w:r>
      <w:r w:rsidR="00D15873">
        <w:t xml:space="preserve"> </w:t>
      </w:r>
      <w:r w:rsidR="00433431">
        <w:t>T</w:t>
      </w:r>
      <w:r w:rsidR="005C574D">
        <w:t>his</w:t>
      </w:r>
      <w:r w:rsidR="00D15873">
        <w:t xml:space="preserve"> is a critical </w:t>
      </w:r>
      <w:r w:rsidR="007E4C46">
        <w:t>function</w:t>
      </w:r>
      <w:r w:rsidR="00D15873">
        <w:t xml:space="preserve"> as t</w:t>
      </w:r>
      <w:r w:rsidRPr="00A44D48">
        <w:t>he private security industry is susceptible to organised crime due to its access to property</w:t>
      </w:r>
      <w:r w:rsidR="00F43F21">
        <w:t>, people and</w:t>
      </w:r>
      <w:r w:rsidRPr="00A44D48">
        <w:t xml:space="preserve"> information</w:t>
      </w:r>
      <w:r w:rsidR="00F43F21">
        <w:t xml:space="preserve"> that could create</w:t>
      </w:r>
      <w:r w:rsidRPr="00A44D48">
        <w:t xml:space="preserve"> opportunities for </w:t>
      </w:r>
      <w:r w:rsidR="00F43F21">
        <w:t>illegal activity</w:t>
      </w:r>
      <w:r w:rsidRPr="00A44D48">
        <w:t>.</w:t>
      </w:r>
      <w:r w:rsidR="00E26936">
        <w:rPr>
          <w:rStyle w:val="FootnoteReference"/>
        </w:rPr>
        <w:footnoteReference w:id="3"/>
      </w:r>
      <w:r w:rsidRPr="00A44D48">
        <w:t xml:space="preserve"> </w:t>
      </w:r>
    </w:p>
    <w:p w14:paraId="29DBCE73" w14:textId="41388566" w:rsidR="003868AD" w:rsidRDefault="00482CEF" w:rsidP="003868AD">
      <w:r>
        <w:t>T</w:t>
      </w:r>
      <w:r w:rsidR="00A44D48" w:rsidRPr="00A44D48">
        <w:t>he Act</w:t>
      </w:r>
      <w:r w:rsidR="00243F9E">
        <w:t xml:space="preserve"> </w:t>
      </w:r>
      <w:r w:rsidR="00243F9E" w:rsidRPr="00A44D48">
        <w:t>aim</w:t>
      </w:r>
      <w:r w:rsidR="00243F9E">
        <w:t>s</w:t>
      </w:r>
      <w:r w:rsidR="00243F9E" w:rsidRPr="00A44D48">
        <w:t xml:space="preserve"> to reduce </w:t>
      </w:r>
      <w:r w:rsidR="00D16890">
        <w:t xml:space="preserve">misconduct and </w:t>
      </w:r>
      <w:r w:rsidR="00243F9E" w:rsidRPr="00A44D48">
        <w:t>criminal involvement in the industry</w:t>
      </w:r>
      <w:r w:rsidR="00A44D48" w:rsidRPr="00A44D48">
        <w:t xml:space="preserve"> </w:t>
      </w:r>
      <w:r w:rsidR="001951A1">
        <w:t>by requiring</w:t>
      </w:r>
      <w:r w:rsidR="00A44D48" w:rsidRPr="00A44D48">
        <w:t xml:space="preserve"> probity checks of close associates for private security business licences</w:t>
      </w:r>
      <w:r w:rsidR="001A388B">
        <w:t xml:space="preserve"> and </w:t>
      </w:r>
      <w:r w:rsidR="001951A1">
        <w:t>enabling</w:t>
      </w:r>
      <w:r w:rsidR="001A388B">
        <w:t xml:space="preserve"> Victoria Police to</w:t>
      </w:r>
      <w:r w:rsidR="00C021BA">
        <w:t xml:space="preserve"> suspend or cancel a licence </w:t>
      </w:r>
      <w:r w:rsidR="00C6625A">
        <w:t xml:space="preserve">for </w:t>
      </w:r>
      <w:r w:rsidR="00C6625A" w:rsidRPr="00A44D48">
        <w:t>prohibited persons or those convicted of offences</w:t>
      </w:r>
      <w:r w:rsidR="00A44D48" w:rsidRPr="00A44D48">
        <w:t>.</w:t>
      </w:r>
      <w:r w:rsidR="00A44D48">
        <w:t xml:space="preserve"> </w:t>
      </w:r>
      <w:r w:rsidR="0001731D">
        <w:t>T</w:t>
      </w:r>
      <w:r w:rsidR="00A44D48">
        <w:t xml:space="preserve">raining requirements mandated by Victoria Police </w:t>
      </w:r>
      <w:r w:rsidR="00D16890">
        <w:t xml:space="preserve">are targeted to </w:t>
      </w:r>
      <w:r w:rsidR="00361FCE">
        <w:t>promote</w:t>
      </w:r>
      <w:r w:rsidR="00A44D48" w:rsidRPr="00A44D48">
        <w:t xml:space="preserve"> consistent quality and competency among private security </w:t>
      </w:r>
      <w:r w:rsidR="00392D10">
        <w:t>providers</w:t>
      </w:r>
      <w:r w:rsidR="00A44D48" w:rsidRPr="00A44D48">
        <w:t xml:space="preserve">. </w:t>
      </w:r>
      <w:r w:rsidR="0001731D">
        <w:t>Furthermore, t</w:t>
      </w:r>
      <w:r w:rsidR="001A11F3">
        <w:t>h</w:t>
      </w:r>
      <w:r w:rsidR="0001731D">
        <w:t xml:space="preserve">e amended Act </w:t>
      </w:r>
      <w:r w:rsidR="0001731D" w:rsidRPr="0001731D">
        <w:t>seeks to improve the integrity of the private security industry and efficiency of administering the regulatory framework. This includes reducing the prevalence of sham contracting, inadequate refresher training, and inconsistent licensing.</w:t>
      </w:r>
    </w:p>
    <w:p w14:paraId="5213E4D6" w14:textId="3642FE4D" w:rsidR="008F5A20" w:rsidRDefault="008F5A20" w:rsidP="008F5A20">
      <w:r>
        <w:t xml:space="preserve">Just as the current Regulations give effect to the licensing scheme in the current Act by setting out the prescribed particulars and documents required to support an application and the fees charged for applications, the proposed Regulations are required to give </w:t>
      </w:r>
      <w:r>
        <w:lastRenderedPageBreak/>
        <w:t>effect to the single tier licensing scheme under the amended Act by similarly prescribing the required particulars, documents and fees.</w:t>
      </w:r>
    </w:p>
    <w:p w14:paraId="50143C7F" w14:textId="7BC947E6" w:rsidR="00625EA3" w:rsidRDefault="00625EA3" w:rsidP="003868AD">
      <w:r>
        <w:t xml:space="preserve">Allowing the Regulations to sunset without being remade would result in the following key issues: </w:t>
      </w:r>
    </w:p>
    <w:p w14:paraId="0ACC62A2" w14:textId="285C07AF" w:rsidR="00903284" w:rsidRDefault="009D502E" w:rsidP="00D72D9C">
      <w:pPr>
        <w:pStyle w:val="ListParagraph"/>
        <w:numPr>
          <w:ilvl w:val="0"/>
          <w:numId w:val="51"/>
        </w:numPr>
      </w:pPr>
      <w:r>
        <w:t>A</w:t>
      </w:r>
      <w:r w:rsidR="00625EA3">
        <w:t xml:space="preserve">pplicants </w:t>
      </w:r>
      <w:r w:rsidR="00333FC9">
        <w:t xml:space="preserve">for private security licenses </w:t>
      </w:r>
      <w:r w:rsidR="00625EA3">
        <w:t xml:space="preserve">and Victoria Police would not have a shared understanding of the documents and particulars required to </w:t>
      </w:r>
      <w:r w:rsidR="0035494A">
        <w:t>demonstrate</w:t>
      </w:r>
      <w:r w:rsidR="00625EA3">
        <w:t xml:space="preserve"> probity and competenc</w:t>
      </w:r>
      <w:r w:rsidR="00B84170">
        <w:t>y</w:t>
      </w:r>
      <w:r w:rsidR="00625EA3">
        <w:t xml:space="preserve"> requirements. </w:t>
      </w:r>
      <w:r w:rsidR="006D29E6">
        <w:t xml:space="preserve">While it is likely that Victoria Police would provide guidance to the industry over the required documentation, the guidance would not have the legal authority that </w:t>
      </w:r>
      <w:r w:rsidR="00735E16">
        <w:t>the Regulations do</w:t>
      </w:r>
      <w:r w:rsidR="006D29E6">
        <w:t xml:space="preserve">. </w:t>
      </w:r>
      <w:r w:rsidR="00041B3D">
        <w:t xml:space="preserve">This could potentially leave Victoria Police </w:t>
      </w:r>
      <w:r w:rsidR="00041B3D" w:rsidRPr="00AE4393">
        <w:t>without a legal basis to reject applications with insufficient or incorrect documentation.</w:t>
      </w:r>
    </w:p>
    <w:p w14:paraId="02B79701" w14:textId="7C723BB9" w:rsidR="00041B3D" w:rsidRDefault="00B6366E" w:rsidP="00D72D9C">
      <w:pPr>
        <w:pStyle w:val="ListParagraph"/>
        <w:numPr>
          <w:ilvl w:val="0"/>
          <w:numId w:val="51"/>
        </w:numPr>
      </w:pPr>
      <w:r>
        <w:t xml:space="preserve">Victoria Police would not have the legal authority to inspect records of services provided by private security </w:t>
      </w:r>
      <w:r w:rsidR="00FC0A4E">
        <w:t>businesses</w:t>
      </w:r>
      <w:r w:rsidR="00C913C5">
        <w:t xml:space="preserve"> that are currently specified in the Regulations</w:t>
      </w:r>
      <w:r w:rsidR="00FC0A4E">
        <w:t xml:space="preserve">. These records play an important role in </w:t>
      </w:r>
      <w:r w:rsidR="003C70E0">
        <w:t xml:space="preserve">monitoring and compliance </w:t>
      </w:r>
      <w:r w:rsidR="00533FC6">
        <w:t>activities</w:t>
      </w:r>
      <w:r w:rsidR="003C70E0">
        <w:t xml:space="preserve">. </w:t>
      </w:r>
    </w:p>
    <w:p w14:paraId="7EBB466D" w14:textId="6D9F8E00" w:rsidR="00C342B2" w:rsidRPr="00C913C5" w:rsidRDefault="00C342B2" w:rsidP="00D72D9C">
      <w:pPr>
        <w:pStyle w:val="ListParagraph"/>
        <w:numPr>
          <w:ilvl w:val="0"/>
          <w:numId w:val="51"/>
        </w:numPr>
        <w:rPr>
          <w:i/>
          <w:iCs/>
        </w:rPr>
      </w:pPr>
      <w:r>
        <w:t xml:space="preserve">Victoria Police </w:t>
      </w:r>
      <w:r w:rsidR="008842D4">
        <w:t xml:space="preserve">would not </w:t>
      </w:r>
      <w:r w:rsidR="005138DF">
        <w:t>be able to</w:t>
      </w:r>
      <w:r w:rsidR="008842D4">
        <w:t xml:space="preserve"> issue </w:t>
      </w:r>
      <w:r w:rsidR="004418D4">
        <w:t>fines and penalty notices</w:t>
      </w:r>
      <w:r w:rsidR="008842D4">
        <w:t xml:space="preserve"> for offences against sections of the Act</w:t>
      </w:r>
      <w:r w:rsidR="00C913C5">
        <w:t xml:space="preserve"> that allow penalty notices to be prescribed</w:t>
      </w:r>
      <w:r w:rsidR="008842D4">
        <w:t>.</w:t>
      </w:r>
      <w:r w:rsidR="0036598D">
        <w:t xml:space="preserve"> </w:t>
      </w:r>
    </w:p>
    <w:p w14:paraId="2C1774E8" w14:textId="1D179681" w:rsidR="000619FA" w:rsidRDefault="008F2ED6" w:rsidP="00D72D9C">
      <w:pPr>
        <w:pStyle w:val="ListParagraph"/>
        <w:numPr>
          <w:ilvl w:val="0"/>
          <w:numId w:val="52"/>
        </w:numPr>
      </w:pPr>
      <w:r>
        <w:t xml:space="preserve">Victora Police </w:t>
      </w:r>
      <w:r w:rsidR="00533FC6">
        <w:t xml:space="preserve">would not be able to charge fees to </w:t>
      </w:r>
      <w:r w:rsidR="008B2CFC">
        <w:t xml:space="preserve">recover the costs incurred in issuing licences and in undertaking monitoring and compliance activities. These costs would need to be recovered from other sources such as consolidated revenue. </w:t>
      </w:r>
    </w:p>
    <w:p w14:paraId="0FBFAE10" w14:textId="20C4F182" w:rsidR="008B2CFC" w:rsidRDefault="008B2CFC" w:rsidP="008B2CFC">
      <w:pPr>
        <w:pStyle w:val="Heading2un-numbered"/>
      </w:pPr>
      <w:bookmarkStart w:id="20" w:name="_Toc189832235"/>
      <w:r>
        <w:t>Objectives</w:t>
      </w:r>
      <w:bookmarkEnd w:id="20"/>
      <w:r>
        <w:t xml:space="preserve"> </w:t>
      </w:r>
    </w:p>
    <w:p w14:paraId="2BED1D8E" w14:textId="0AD75DEC" w:rsidR="008B2CFC" w:rsidRDefault="008B43E1" w:rsidP="008B2CFC">
      <w:r>
        <w:t>In assessing whether to remake the Regulations, the relevan</w:t>
      </w:r>
      <w:r w:rsidR="00F07CC7">
        <w:t>t objectives are to regulate the private security industry in a man</w:t>
      </w:r>
      <w:r w:rsidR="005B0FF8">
        <w:t>n</w:t>
      </w:r>
      <w:r w:rsidR="00F07CC7">
        <w:t>er that</w:t>
      </w:r>
      <w:r w:rsidR="008615E1">
        <w:t>:</w:t>
      </w:r>
    </w:p>
    <w:p w14:paraId="50650D3D" w14:textId="1B3DFB45" w:rsidR="00AE5DF5" w:rsidRDefault="00815375" w:rsidP="00202AB3">
      <w:pPr>
        <w:pStyle w:val="ListParagraph"/>
        <w:numPr>
          <w:ilvl w:val="0"/>
          <w:numId w:val="44"/>
        </w:numPr>
      </w:pPr>
      <w:r>
        <w:t>mitigates the potential risks to community safety and wellbeing posed by the private security industry</w:t>
      </w:r>
      <w:r w:rsidR="003F0B56">
        <w:t>,</w:t>
      </w:r>
      <w:r>
        <w:t xml:space="preserve"> if industry standards and practices are deficient or inappropria</w:t>
      </w:r>
      <w:r w:rsidR="005B0FF8">
        <w:t>te persons or businesses operate in the industry</w:t>
      </w:r>
      <w:r w:rsidR="00CC2273">
        <w:t xml:space="preserve"> </w:t>
      </w:r>
    </w:p>
    <w:p w14:paraId="3CD6E18B" w14:textId="35678C15" w:rsidR="00702505" w:rsidRDefault="00702505" w:rsidP="00202AB3">
      <w:pPr>
        <w:pStyle w:val="ListParagraph"/>
        <w:numPr>
          <w:ilvl w:val="0"/>
          <w:numId w:val="44"/>
        </w:numPr>
      </w:pPr>
      <w:r>
        <w:t xml:space="preserve">imposes the minimum efficient level of regulatory burden on the private security </w:t>
      </w:r>
      <w:r w:rsidR="00BD70BE">
        <w:t>industry</w:t>
      </w:r>
    </w:p>
    <w:p w14:paraId="10BDF1F3" w14:textId="261BE5BB" w:rsidR="0037154B" w:rsidRDefault="0037154B" w:rsidP="00202AB3">
      <w:pPr>
        <w:pStyle w:val="ListParagraph"/>
        <w:numPr>
          <w:ilvl w:val="0"/>
          <w:numId w:val="44"/>
        </w:numPr>
      </w:pPr>
      <w:r>
        <w:t>prescribes fees that send appropriate price signals to the economy regarding the full cost of providing the services, are paid by those who benefit from the service, and do not pose a disincentive for industry participants to be licenced.</w:t>
      </w:r>
    </w:p>
    <w:p w14:paraId="11D115FB" w14:textId="3E7CE8EA" w:rsidR="00176B7F" w:rsidRDefault="00EA4FE9" w:rsidP="00EA4FE9">
      <w:pPr>
        <w:pStyle w:val="Heading2un-numbered"/>
      </w:pPr>
      <w:bookmarkStart w:id="21" w:name="_Toc189832236"/>
      <w:r>
        <w:t xml:space="preserve">Options </w:t>
      </w:r>
      <w:r w:rsidR="00895777">
        <w:t xml:space="preserve">for remaking the </w:t>
      </w:r>
      <w:r w:rsidR="00D81E1F">
        <w:t>licensing requirements</w:t>
      </w:r>
      <w:bookmarkEnd w:id="21"/>
      <w:r w:rsidR="00D81E1F">
        <w:t xml:space="preserve"> </w:t>
      </w:r>
    </w:p>
    <w:p w14:paraId="685BD109" w14:textId="3DCDD9F9" w:rsidR="004528B1" w:rsidRDefault="004528B1" w:rsidP="004528B1">
      <w:r>
        <w:t xml:space="preserve">While a series of changes </w:t>
      </w:r>
      <w:r w:rsidR="00ED2D18">
        <w:t>to the Regulations</w:t>
      </w:r>
      <w:r>
        <w:t xml:space="preserve"> are proposed to be introduced </w:t>
      </w:r>
      <w:r w:rsidR="00ED2D18">
        <w:t>under</w:t>
      </w:r>
      <w:r>
        <w:t xml:space="preserve"> the amended Act, only the replacement of the current two-tier system of license and registration with a single-tier licensing system will have a substantive impact on the requirements within the Regulations. The expected changes needed in the Regulations to reflect </w:t>
      </w:r>
      <w:r w:rsidR="009C03FA">
        <w:t xml:space="preserve">the amendments to the Act </w:t>
      </w:r>
      <w:r>
        <w:t xml:space="preserve">include language and structural updates to refer to a single tier licencing system (keeping the same particulars and documentation requirements as currently prescribed) and updates to fee-settings to align with </w:t>
      </w:r>
      <w:r w:rsidR="009C03FA">
        <w:t xml:space="preserve">a </w:t>
      </w:r>
      <w:r>
        <w:t xml:space="preserve">single tier licencing system (which are addressed in Chapter 5). </w:t>
      </w:r>
    </w:p>
    <w:p w14:paraId="687AE0C3" w14:textId="353484D8" w:rsidR="00BE6D84" w:rsidRDefault="009F08A6" w:rsidP="00EA4FE9">
      <w:r>
        <w:t>Typically, when assessing the impacts of amending regulations</w:t>
      </w:r>
      <w:r w:rsidR="00675999">
        <w:t xml:space="preserve"> in line with the requirements of the</w:t>
      </w:r>
      <w:r w:rsidR="00F85707">
        <w:t xml:space="preserve"> </w:t>
      </w:r>
      <w:r w:rsidR="00F85707">
        <w:rPr>
          <w:i/>
          <w:iCs/>
        </w:rPr>
        <w:t>Victorian Guide to Regulation</w:t>
      </w:r>
      <w:r>
        <w:t xml:space="preserve">, </w:t>
      </w:r>
      <w:r w:rsidR="009E4E0D">
        <w:t xml:space="preserve">the </w:t>
      </w:r>
      <w:r w:rsidR="00C540E1">
        <w:t>B</w:t>
      </w:r>
      <w:r w:rsidR="009E4E0D">
        <w:t xml:space="preserve">ase </w:t>
      </w:r>
      <w:r w:rsidR="00C540E1">
        <w:t>C</w:t>
      </w:r>
      <w:r w:rsidR="009E4E0D">
        <w:t xml:space="preserve">ase for analysis is the </w:t>
      </w:r>
      <w:r w:rsidR="00B3561F">
        <w:t xml:space="preserve">situation </w:t>
      </w:r>
      <w:r w:rsidR="00FC6A57">
        <w:t xml:space="preserve">where the proposed </w:t>
      </w:r>
      <w:r w:rsidR="00E14FE5">
        <w:t>R</w:t>
      </w:r>
      <w:r w:rsidR="00EC29EA">
        <w:t xml:space="preserve">egulations are </w:t>
      </w:r>
      <w:r w:rsidR="002C4733">
        <w:t>not made</w:t>
      </w:r>
      <w:r w:rsidR="009E4E0D">
        <w:t>.</w:t>
      </w:r>
      <w:r w:rsidR="00A469DD">
        <w:t xml:space="preserve"> In this case, however, the </w:t>
      </w:r>
      <w:r w:rsidR="005D5CE7">
        <w:t>B</w:t>
      </w:r>
      <w:r w:rsidR="002C4733">
        <w:t xml:space="preserve">ase </w:t>
      </w:r>
      <w:r w:rsidR="005D5CE7">
        <w:t>C</w:t>
      </w:r>
      <w:r w:rsidR="002C4733">
        <w:t>ase</w:t>
      </w:r>
      <w:r w:rsidR="00A469DD">
        <w:t xml:space="preserve"> is not a viable scenario </w:t>
      </w:r>
      <w:r w:rsidR="00197BF2">
        <w:t xml:space="preserve">as the Regulations are not currently compatible with the upcoming amendments to the Act. For this reason, this RIS assesses the impacts of the amending regulations relative to a </w:t>
      </w:r>
      <w:r w:rsidR="00C540E1">
        <w:t>R</w:t>
      </w:r>
      <w:r w:rsidR="00D74125">
        <w:t xml:space="preserve">eference </w:t>
      </w:r>
      <w:r w:rsidR="00C540E1">
        <w:t>C</w:t>
      </w:r>
      <w:r w:rsidR="00D74125">
        <w:t>ase where the Regulations sunset and are not remade.</w:t>
      </w:r>
      <w:r w:rsidR="00675999">
        <w:t xml:space="preserve"> </w:t>
      </w:r>
      <w:r w:rsidR="004528B1">
        <w:t xml:space="preserve">Due to the relatively low impact and limited range of feasible alternative options for changes to the Regulations, </w:t>
      </w:r>
      <w:r w:rsidR="0041516D">
        <w:t>a</w:t>
      </w:r>
      <w:r w:rsidR="00675FCC">
        <w:t xml:space="preserve"> single </w:t>
      </w:r>
      <w:r w:rsidR="00BE6D84">
        <w:t xml:space="preserve">option has been analysed for remaking the Regulations relative to </w:t>
      </w:r>
      <w:r w:rsidR="00E34DC1">
        <w:t xml:space="preserve">a Reference </w:t>
      </w:r>
      <w:r w:rsidR="007B3801">
        <w:t>Case</w:t>
      </w:r>
      <w:r w:rsidR="007B3801" w:rsidDel="007B3801">
        <w:t xml:space="preserve"> </w:t>
      </w:r>
      <w:r w:rsidR="00BE6D84">
        <w:t xml:space="preserve">(where the Regulations sunset and are not remade) in this RIS. </w:t>
      </w:r>
    </w:p>
    <w:p w14:paraId="1C5378BE" w14:textId="7CDCADDD" w:rsidR="00C7349F" w:rsidRDefault="00073364" w:rsidP="00073364">
      <w:r>
        <w:rPr>
          <w:b/>
          <w:bCs/>
        </w:rPr>
        <w:t>Option 1:</w:t>
      </w:r>
      <w:r w:rsidR="00666053" w:rsidRPr="00073364">
        <w:rPr>
          <w:b/>
          <w:bCs/>
        </w:rPr>
        <w:t xml:space="preserve"> </w:t>
      </w:r>
      <w:r w:rsidR="007C3EE8" w:rsidRPr="00073364">
        <w:rPr>
          <w:b/>
          <w:bCs/>
        </w:rPr>
        <w:t xml:space="preserve">Remake the Regulations </w:t>
      </w:r>
      <w:r w:rsidR="00A2147A" w:rsidRPr="00073364">
        <w:rPr>
          <w:b/>
          <w:bCs/>
        </w:rPr>
        <w:t>with a single-tier licensing system</w:t>
      </w:r>
    </w:p>
    <w:p w14:paraId="397B4F4C" w14:textId="3AD91B00" w:rsidR="007B09C4" w:rsidRDefault="007B09C4" w:rsidP="007B09C4">
      <w:r>
        <w:t xml:space="preserve">Option 1 would remake the Regulations </w:t>
      </w:r>
      <w:r w:rsidR="000471CE">
        <w:t>with their current</w:t>
      </w:r>
      <w:r>
        <w:t xml:space="preserve"> provisions</w:t>
      </w:r>
      <w:r w:rsidR="009510CB">
        <w:t>,</w:t>
      </w:r>
      <w:r w:rsidR="005241DF">
        <w:t xml:space="preserve"> </w:t>
      </w:r>
      <w:r w:rsidR="00BB7BAA">
        <w:t>apart from</w:t>
      </w:r>
      <w:r>
        <w:t xml:space="preserve"> the removal of references to registrations to</w:t>
      </w:r>
      <w:r w:rsidR="0026575D">
        <w:t xml:space="preserve"> reflect </w:t>
      </w:r>
      <w:r w:rsidR="00BB7BAA">
        <w:t>the</w:t>
      </w:r>
      <w:r w:rsidR="009510CB">
        <w:t xml:space="preserve"> introduction of a</w:t>
      </w:r>
      <w:r w:rsidR="00BB7BAA">
        <w:t xml:space="preserve"> </w:t>
      </w:r>
      <w:r w:rsidR="0026575D">
        <w:t xml:space="preserve">single-tiered licensing </w:t>
      </w:r>
      <w:r w:rsidR="001D528F">
        <w:t>system by the recent amendment</w:t>
      </w:r>
      <w:r w:rsidR="00F8142A">
        <w:t>s</w:t>
      </w:r>
      <w:r w:rsidR="001D528F">
        <w:t xml:space="preserve"> to the Act</w:t>
      </w:r>
      <w:r>
        <w:t xml:space="preserve">. </w:t>
      </w:r>
      <w:r w:rsidR="00F10FF4">
        <w:t>Through this single-tier system, s</w:t>
      </w:r>
      <w:r>
        <w:t xml:space="preserve">ecurity equipment installers and security equipment advisors will </w:t>
      </w:r>
      <w:r w:rsidR="00F10FF4">
        <w:t>now</w:t>
      </w:r>
      <w:r>
        <w:t xml:space="preserve"> need to be licen</w:t>
      </w:r>
      <w:r w:rsidR="00BF3463">
        <w:t>s</w:t>
      </w:r>
      <w:r>
        <w:t>ed and will be subject to the same requirements as current licence holders. The other sections of the Regulations (excluding the fees) will be remade as they currently are</w:t>
      </w:r>
      <w:r w:rsidR="00D650D1">
        <w:t xml:space="preserve"> with smaller changes to update language and reflect other changes introduced by the </w:t>
      </w:r>
      <w:r w:rsidR="001164CA">
        <w:t>amending Act</w:t>
      </w:r>
      <w:r w:rsidR="00D650D1">
        <w:t>.</w:t>
      </w:r>
      <w:r>
        <w:t xml:space="preserve"> </w:t>
      </w:r>
    </w:p>
    <w:p w14:paraId="77301680" w14:textId="6AB0180D" w:rsidR="005540A3" w:rsidRDefault="00A60C0B" w:rsidP="00AF58E9">
      <w:pPr>
        <w:pStyle w:val="Heading2un-numbered"/>
      </w:pPr>
      <w:bookmarkStart w:id="22" w:name="_Toc189832237"/>
      <w:r>
        <w:t>Fee options</w:t>
      </w:r>
      <w:bookmarkEnd w:id="22"/>
    </w:p>
    <w:p w14:paraId="14BCE2D5" w14:textId="35EDA23F" w:rsidR="004B4257" w:rsidRDefault="00B10CE4" w:rsidP="00AF58E9">
      <w:r>
        <w:t xml:space="preserve">Two options have been considered for remaking the fee </w:t>
      </w:r>
      <w:r w:rsidR="00AA5CBC">
        <w:t xml:space="preserve">settings </w:t>
      </w:r>
      <w:r>
        <w:t>contained in the Regulations</w:t>
      </w:r>
      <w:r w:rsidR="00037466">
        <w:t>.</w:t>
      </w:r>
      <w:r>
        <w:t xml:space="preserve"> These options are compared to a </w:t>
      </w:r>
      <w:r w:rsidR="00E34DC1">
        <w:t xml:space="preserve">Reference </w:t>
      </w:r>
      <w:r w:rsidR="007B3801">
        <w:t xml:space="preserve">Case </w:t>
      </w:r>
      <w:r>
        <w:t xml:space="preserve">where the Regulations, and therefore the current fee </w:t>
      </w:r>
      <w:r w:rsidR="00AA5CBC">
        <w:t>settings</w:t>
      </w:r>
      <w:r>
        <w:t xml:space="preserve">, sunset without being remade. </w:t>
      </w:r>
      <w:r w:rsidR="004B4257">
        <w:t>The two options considered are:</w:t>
      </w:r>
    </w:p>
    <w:p w14:paraId="1D56B441" w14:textId="0EDB1427" w:rsidR="00B47621" w:rsidRDefault="00FA37BE" w:rsidP="00FA37BE">
      <w:pPr>
        <w:rPr>
          <w:b/>
          <w:bCs/>
        </w:rPr>
      </w:pPr>
      <w:r>
        <w:rPr>
          <w:b/>
          <w:bCs/>
        </w:rPr>
        <w:t xml:space="preserve">Fee Option 1: </w:t>
      </w:r>
      <w:r w:rsidR="006829DA" w:rsidRPr="00FA37BE">
        <w:rPr>
          <w:b/>
          <w:bCs/>
        </w:rPr>
        <w:t>S</w:t>
      </w:r>
      <w:r w:rsidR="004B4257" w:rsidRPr="00FA37BE">
        <w:rPr>
          <w:b/>
          <w:bCs/>
        </w:rPr>
        <w:t>ingle fee for all individual applicants and a single fee for all business applicants</w:t>
      </w:r>
    </w:p>
    <w:p w14:paraId="32915689" w14:textId="37739586" w:rsidR="00AF58E9" w:rsidRDefault="00B47621" w:rsidP="00FA37BE">
      <w:r w:rsidRPr="00B47621">
        <w:t>Fee Option 1</w:t>
      </w:r>
      <w:r w:rsidR="00263AEF">
        <w:t xml:space="preserve"> would involve consolidating the </w:t>
      </w:r>
      <w:r w:rsidR="00590872">
        <w:t>current</w:t>
      </w:r>
      <w:r w:rsidR="00263AEF">
        <w:t xml:space="preserve"> fee settings into a single fee for </w:t>
      </w:r>
      <w:r w:rsidR="008E006D">
        <w:t xml:space="preserve">all </w:t>
      </w:r>
      <w:r w:rsidR="00263AEF">
        <w:t>individual</w:t>
      </w:r>
      <w:r>
        <w:t xml:space="preserve"> application types</w:t>
      </w:r>
      <w:r w:rsidR="00263AEF" w:rsidDel="00B47621">
        <w:t xml:space="preserve"> </w:t>
      </w:r>
      <w:r w:rsidR="00263AEF">
        <w:t>and</w:t>
      </w:r>
      <w:r w:rsidR="008E006D">
        <w:t xml:space="preserve"> a single fee for all</w:t>
      </w:r>
      <w:r w:rsidR="00263AEF">
        <w:t xml:space="preserve"> business licence application types</w:t>
      </w:r>
      <w:r w:rsidR="00590872">
        <w:t xml:space="preserve"> (e.g. </w:t>
      </w:r>
      <w:r w:rsidR="00EE35A0">
        <w:t>new application, renewal and variation)</w:t>
      </w:r>
      <w:r w:rsidR="00263AEF">
        <w:t xml:space="preserve">. </w:t>
      </w:r>
    </w:p>
    <w:p w14:paraId="432156E1" w14:textId="77777777" w:rsidR="00B47621" w:rsidRDefault="00B47621" w:rsidP="00FA37BE">
      <w:r>
        <w:rPr>
          <w:b/>
          <w:bCs/>
        </w:rPr>
        <w:t xml:space="preserve">Fee Option 2: </w:t>
      </w:r>
      <w:r w:rsidR="00EE35A0" w:rsidRPr="00FA37BE">
        <w:rPr>
          <w:b/>
          <w:bCs/>
        </w:rPr>
        <w:t>V</w:t>
      </w:r>
      <w:r w:rsidR="002722D0" w:rsidRPr="00FA37BE">
        <w:rPr>
          <w:b/>
          <w:bCs/>
        </w:rPr>
        <w:t>ariable fee structure based on application complexity</w:t>
      </w:r>
      <w:r w:rsidR="007D7B74">
        <w:t xml:space="preserve"> </w:t>
      </w:r>
    </w:p>
    <w:p w14:paraId="5028D492" w14:textId="23106001" w:rsidR="002722D0" w:rsidRDefault="00884AD3" w:rsidP="00FA37BE">
      <w:r>
        <w:lastRenderedPageBreak/>
        <w:t>Fee Option 2 would contain a variable fee structure</w:t>
      </w:r>
      <w:r w:rsidR="00463BFE">
        <w:t xml:space="preserve"> </w:t>
      </w:r>
      <w:r w:rsidR="007D7B74">
        <w:t xml:space="preserve">based </w:t>
      </w:r>
      <w:r w:rsidR="00C7775A">
        <w:t xml:space="preserve">on </w:t>
      </w:r>
      <w:r w:rsidR="007D7B74">
        <w:t>the same method as is used in the current fee-setting</w:t>
      </w:r>
      <w:r>
        <w:t>s</w:t>
      </w:r>
      <w:r w:rsidR="007D7B74">
        <w:t xml:space="preserve"> (driven by number of services included on an application)</w:t>
      </w:r>
      <w:r>
        <w:t xml:space="preserve">. </w:t>
      </w:r>
      <w:r w:rsidR="00742FDB">
        <w:t>T</w:t>
      </w:r>
      <w:r>
        <w:t xml:space="preserve">o reflect the </w:t>
      </w:r>
      <w:r w:rsidR="00D87D45">
        <w:t>consolidation of the licen</w:t>
      </w:r>
      <w:r w:rsidR="00AE54EF">
        <w:t>s</w:t>
      </w:r>
      <w:r w:rsidR="00D87D45">
        <w:t xml:space="preserve">ing system under a single tier </w:t>
      </w:r>
      <w:r w:rsidR="00E060B4">
        <w:t>system,</w:t>
      </w:r>
      <w:r w:rsidR="007D7B74" w:rsidDel="00D87D45">
        <w:t xml:space="preserve"> </w:t>
      </w:r>
      <w:r w:rsidR="007D7B74">
        <w:t>this option</w:t>
      </w:r>
      <w:r w:rsidR="002722D0">
        <w:t xml:space="preserve"> would </w:t>
      </w:r>
      <w:r w:rsidR="007D7B74">
        <w:t xml:space="preserve">also </w:t>
      </w:r>
      <w:r w:rsidR="002722D0">
        <w:t xml:space="preserve">involve re-structuring fees to incorporate </w:t>
      </w:r>
      <w:r w:rsidR="00E060B4">
        <w:t xml:space="preserve">all classes of activities (combining the previous licence and registration activities) </w:t>
      </w:r>
      <w:r w:rsidR="002722D0">
        <w:t>under the same fee schedule, with variable pricing depending on the number of activities</w:t>
      </w:r>
      <w:r w:rsidR="00E060B4">
        <w:t>.</w:t>
      </w:r>
      <w:r w:rsidR="002722D0">
        <w:t xml:space="preserve"> </w:t>
      </w:r>
    </w:p>
    <w:p w14:paraId="0B8595F9" w14:textId="3BCA0D14" w:rsidR="0058200C" w:rsidRDefault="003C0C2E" w:rsidP="003C0C2E">
      <w:pPr>
        <w:pStyle w:val="Heading2un-numbered"/>
      </w:pPr>
      <w:bookmarkStart w:id="23" w:name="_Toc189832238"/>
      <w:r>
        <w:t xml:space="preserve">Options analysis </w:t>
      </w:r>
      <w:r w:rsidR="00E0451F">
        <w:t>and summary of the preferred options</w:t>
      </w:r>
      <w:bookmarkEnd w:id="23"/>
    </w:p>
    <w:p w14:paraId="4E94D04D" w14:textId="5780DC7C" w:rsidR="003C0C2E" w:rsidRDefault="003C0C2E" w:rsidP="003C0C2E">
      <w:r>
        <w:t>A multi</w:t>
      </w:r>
      <w:r w:rsidR="00133241">
        <w:t xml:space="preserve">-criteria analysis (MCA) was used to assess the impact of </w:t>
      </w:r>
      <w:r w:rsidR="00814725">
        <w:t xml:space="preserve">options in </w:t>
      </w:r>
      <w:r w:rsidR="00133241">
        <w:t xml:space="preserve">remaking the Regulations. </w:t>
      </w:r>
      <w:r w:rsidR="00517AB4">
        <w:t xml:space="preserve">The criteria used for </w:t>
      </w:r>
      <w:r w:rsidR="00814725">
        <w:t xml:space="preserve">this assessment </w:t>
      </w:r>
      <w:r w:rsidR="00621260">
        <w:t xml:space="preserve">are outlined in </w:t>
      </w:r>
      <w:r w:rsidR="00445A81">
        <w:rPr>
          <w:highlight w:val="yellow"/>
        </w:rPr>
        <w:fldChar w:fldCharType="begin"/>
      </w:r>
      <w:r w:rsidR="00445A81">
        <w:instrText xml:space="preserve"> REF _Ref174005761 \h </w:instrText>
      </w:r>
      <w:r w:rsidR="00445A81">
        <w:rPr>
          <w:highlight w:val="yellow"/>
        </w:rPr>
      </w:r>
      <w:r w:rsidR="00445A81">
        <w:rPr>
          <w:highlight w:val="yellow"/>
        </w:rPr>
        <w:fldChar w:fldCharType="separate"/>
      </w:r>
      <w:r w:rsidR="009D133E">
        <w:t xml:space="preserve">Table </w:t>
      </w:r>
      <w:r w:rsidR="009D133E">
        <w:rPr>
          <w:noProof/>
        </w:rPr>
        <w:t>i</w:t>
      </w:r>
      <w:r w:rsidR="00445A81">
        <w:rPr>
          <w:highlight w:val="yellow"/>
        </w:rPr>
        <w:fldChar w:fldCharType="end"/>
      </w:r>
      <w:r w:rsidR="00445A81">
        <w:t xml:space="preserve">. </w:t>
      </w:r>
    </w:p>
    <w:p w14:paraId="18189483" w14:textId="4DED0533" w:rsidR="00E64BCF" w:rsidRDefault="000D0083" w:rsidP="00E64BCF">
      <w:pPr>
        <w:pStyle w:val="Caption"/>
      </w:pPr>
      <w:bookmarkStart w:id="24" w:name="_Ref174005761"/>
      <w:bookmarkStart w:id="25" w:name="_Ref174005749"/>
      <w:r>
        <w:t xml:space="preserve">Table </w:t>
      </w:r>
      <w:r>
        <w:fldChar w:fldCharType="begin"/>
      </w:r>
      <w:r>
        <w:instrText xml:space="preserve"> SEQ Executive_Summary_Table \* roman </w:instrText>
      </w:r>
      <w:r>
        <w:fldChar w:fldCharType="separate"/>
      </w:r>
      <w:r w:rsidR="009D133E">
        <w:rPr>
          <w:noProof/>
        </w:rPr>
        <w:t>i</w:t>
      </w:r>
      <w:r>
        <w:fldChar w:fldCharType="end"/>
      </w:r>
      <w:bookmarkEnd w:id="24"/>
      <w:r>
        <w:t xml:space="preserve">: </w:t>
      </w:r>
      <w:r w:rsidR="00E64BCF">
        <w:t>MCA criteria for remaking the Regulations</w:t>
      </w:r>
      <w:bookmarkEnd w:id="25"/>
      <w:r w:rsidR="00E64BCF">
        <w:t xml:space="preserve"> </w:t>
      </w:r>
    </w:p>
    <w:tbl>
      <w:tblPr>
        <w:tblStyle w:val="Deloittetable"/>
        <w:tblW w:w="0" w:type="auto"/>
        <w:tblLook w:val="04A0" w:firstRow="1" w:lastRow="0" w:firstColumn="1" w:lastColumn="0" w:noHBand="0" w:noVBand="1"/>
      </w:tblPr>
      <w:tblGrid>
        <w:gridCol w:w="3195"/>
        <w:gridCol w:w="4602"/>
        <w:gridCol w:w="1559"/>
      </w:tblGrid>
      <w:tr w:rsidR="00E64BCF" w14:paraId="72D14500" w14:textId="77777777" w:rsidTr="0063204F">
        <w:trPr>
          <w:cnfStyle w:val="100000000000" w:firstRow="1" w:lastRow="0" w:firstColumn="0" w:lastColumn="0" w:oddVBand="0" w:evenVBand="0" w:oddHBand="0" w:evenHBand="0" w:firstRowFirstColumn="0" w:firstRowLastColumn="0" w:lastRowFirstColumn="0" w:lastRowLastColumn="0"/>
          <w:tblHeader/>
        </w:trPr>
        <w:tc>
          <w:tcPr>
            <w:tcW w:w="3195" w:type="dxa"/>
          </w:tcPr>
          <w:p w14:paraId="1E6632C0" w14:textId="77777777" w:rsidR="00E64BCF" w:rsidRPr="00C13D29" w:rsidRDefault="00E64BCF" w:rsidP="00E64BCF">
            <w:pPr>
              <w:rPr>
                <w:b/>
                <w:bCs/>
              </w:rPr>
            </w:pPr>
            <w:r w:rsidRPr="00C13D29">
              <w:rPr>
                <w:b/>
                <w:bCs/>
              </w:rPr>
              <w:t>Criterion</w:t>
            </w:r>
          </w:p>
        </w:tc>
        <w:tc>
          <w:tcPr>
            <w:tcW w:w="4602" w:type="dxa"/>
          </w:tcPr>
          <w:p w14:paraId="51B5BC2D" w14:textId="77777777" w:rsidR="00E64BCF" w:rsidRPr="00C13D29" w:rsidRDefault="00E64BCF" w:rsidP="00E64BCF">
            <w:pPr>
              <w:rPr>
                <w:b/>
                <w:bCs/>
              </w:rPr>
            </w:pPr>
            <w:r>
              <w:rPr>
                <w:b/>
                <w:bCs/>
              </w:rPr>
              <w:t xml:space="preserve">Description </w:t>
            </w:r>
          </w:p>
        </w:tc>
        <w:tc>
          <w:tcPr>
            <w:tcW w:w="1559" w:type="dxa"/>
          </w:tcPr>
          <w:p w14:paraId="4400EEAD" w14:textId="77777777" w:rsidR="00E64BCF" w:rsidRPr="00C13D29" w:rsidRDefault="00E64BCF" w:rsidP="00E64BCF">
            <w:pPr>
              <w:rPr>
                <w:b/>
                <w:bCs/>
              </w:rPr>
            </w:pPr>
            <w:r w:rsidRPr="00C13D29">
              <w:rPr>
                <w:b/>
                <w:bCs/>
              </w:rPr>
              <w:t>Weighting</w:t>
            </w:r>
          </w:p>
        </w:tc>
      </w:tr>
      <w:tr w:rsidR="00E64BCF" w14:paraId="4895763C" w14:textId="77777777" w:rsidTr="0063204F">
        <w:trPr>
          <w:tblHeader/>
        </w:trPr>
        <w:tc>
          <w:tcPr>
            <w:tcW w:w="3195" w:type="dxa"/>
          </w:tcPr>
          <w:p w14:paraId="61510F41" w14:textId="16AFB4C6" w:rsidR="00E64BCF" w:rsidRDefault="00E64BCF" w:rsidP="00E64BCF">
            <w:pPr>
              <w:cnfStyle w:val="100000000000" w:firstRow="1" w:lastRow="0" w:firstColumn="0" w:lastColumn="0" w:oddVBand="0" w:evenVBand="0" w:oddHBand="0" w:evenHBand="0" w:firstRowFirstColumn="0" w:firstRowLastColumn="0" w:lastRowFirstColumn="0" w:lastRowLastColumn="0"/>
            </w:pPr>
            <w:r>
              <w:t>Competency and probity of the private security industry</w:t>
            </w:r>
          </w:p>
        </w:tc>
        <w:tc>
          <w:tcPr>
            <w:tcW w:w="4602" w:type="dxa"/>
          </w:tcPr>
          <w:p w14:paraId="7DC30CFF" w14:textId="3A9614EB" w:rsidR="00E64BCF" w:rsidRDefault="00E64BCF" w:rsidP="00E64BCF">
            <w:pPr>
              <w:cnfStyle w:val="100000000000" w:firstRow="1" w:lastRow="0" w:firstColumn="0" w:lastColumn="0" w:oddVBand="0" w:evenVBand="0" w:oddHBand="0" w:evenHBand="0" w:firstRowFirstColumn="0" w:firstRowLastColumn="0" w:lastRowFirstColumn="0" w:lastRowLastColumn="0"/>
            </w:pPr>
            <w:r w:rsidRPr="001C21D3">
              <w:t xml:space="preserve">The extent to which the option </w:t>
            </w:r>
            <w:r w:rsidR="00327E5D">
              <w:t xml:space="preserve">helps mitigate </w:t>
            </w:r>
            <w:r w:rsidRPr="001C21D3">
              <w:t>potential risks posed by the private security industry to community safety and enables confirmation that only appropriate persons and businesses are allowed to operate within the private security indust</w:t>
            </w:r>
            <w:r>
              <w:t>r</w:t>
            </w:r>
            <w:r w:rsidRPr="001C21D3">
              <w:t>y.</w:t>
            </w:r>
          </w:p>
        </w:tc>
        <w:tc>
          <w:tcPr>
            <w:tcW w:w="1559" w:type="dxa"/>
          </w:tcPr>
          <w:p w14:paraId="3ED6916A" w14:textId="2CA66A6B" w:rsidR="00E64BCF" w:rsidRDefault="00E64BCF" w:rsidP="00E64BCF">
            <w:pPr>
              <w:cnfStyle w:val="100000000000" w:firstRow="1" w:lastRow="0" w:firstColumn="0" w:lastColumn="0" w:oddVBand="0" w:evenVBand="0" w:oddHBand="0" w:evenHBand="0" w:firstRowFirstColumn="0" w:firstRowLastColumn="0" w:lastRowFirstColumn="0" w:lastRowLastColumn="0"/>
            </w:pPr>
            <w:r>
              <w:t>50</w:t>
            </w:r>
            <w:r w:rsidR="005B1186">
              <w:t xml:space="preserve"> per cent</w:t>
            </w:r>
          </w:p>
        </w:tc>
      </w:tr>
      <w:tr w:rsidR="00E64BCF" w14:paraId="2362D2D4" w14:textId="77777777" w:rsidTr="0063204F">
        <w:trPr>
          <w:tblHeader/>
        </w:trPr>
        <w:tc>
          <w:tcPr>
            <w:tcW w:w="3195" w:type="dxa"/>
          </w:tcPr>
          <w:p w14:paraId="28E5B6C3" w14:textId="6649724D" w:rsidR="00E64BCF" w:rsidRDefault="0086227C" w:rsidP="00E64BCF">
            <w:pPr>
              <w:cnfStyle w:val="100000000000" w:firstRow="1" w:lastRow="0" w:firstColumn="0" w:lastColumn="0" w:oddVBand="0" w:evenVBand="0" w:oddHBand="0" w:evenHBand="0" w:firstRowFirstColumn="0" w:firstRowLastColumn="0" w:lastRowFirstColumn="0" w:lastRowLastColumn="0"/>
            </w:pPr>
            <w:r>
              <w:t>Costs to industry</w:t>
            </w:r>
            <w:r w:rsidR="00E64BCF">
              <w:t xml:space="preserve"> </w:t>
            </w:r>
          </w:p>
        </w:tc>
        <w:tc>
          <w:tcPr>
            <w:tcW w:w="4602" w:type="dxa"/>
          </w:tcPr>
          <w:p w14:paraId="0FA11DF3" w14:textId="2AAD6087" w:rsidR="00E64BCF" w:rsidRDefault="00E64BCF" w:rsidP="00E64BCF">
            <w:pPr>
              <w:cnfStyle w:val="100000000000" w:firstRow="1" w:lastRow="0" w:firstColumn="0" w:lastColumn="0" w:oddVBand="0" w:evenVBand="0" w:oddHBand="0" w:evenHBand="0" w:firstRowFirstColumn="0" w:firstRowLastColumn="0" w:lastRowFirstColumn="0" w:lastRowLastColumn="0"/>
            </w:pPr>
            <w:r w:rsidRPr="000F293C">
              <w:t>The extent to which the option imposes costs on the individuals and businesses within the private security industry</w:t>
            </w:r>
            <w:r w:rsidR="00741E49">
              <w:t>.</w:t>
            </w:r>
          </w:p>
        </w:tc>
        <w:tc>
          <w:tcPr>
            <w:tcW w:w="1559" w:type="dxa"/>
          </w:tcPr>
          <w:p w14:paraId="3306B537" w14:textId="62328B0D" w:rsidR="00E64BCF" w:rsidRDefault="00E64BCF" w:rsidP="00E64BCF">
            <w:pPr>
              <w:cnfStyle w:val="100000000000" w:firstRow="1" w:lastRow="0" w:firstColumn="0" w:lastColumn="0" w:oddVBand="0" w:evenVBand="0" w:oddHBand="0" w:evenHBand="0" w:firstRowFirstColumn="0" w:firstRowLastColumn="0" w:lastRowFirstColumn="0" w:lastRowLastColumn="0"/>
            </w:pPr>
            <w:r>
              <w:t>25</w:t>
            </w:r>
            <w:r w:rsidR="005B1186">
              <w:t xml:space="preserve"> per cent</w:t>
            </w:r>
          </w:p>
        </w:tc>
      </w:tr>
      <w:tr w:rsidR="00E64BCF" w14:paraId="6A40829F" w14:textId="77777777" w:rsidTr="0063204F">
        <w:trPr>
          <w:tblHeader/>
        </w:trPr>
        <w:tc>
          <w:tcPr>
            <w:tcW w:w="3195" w:type="dxa"/>
          </w:tcPr>
          <w:p w14:paraId="213ECC4F" w14:textId="36A0922C" w:rsidR="00E64BCF" w:rsidRDefault="0086227C" w:rsidP="00E64BCF">
            <w:pPr>
              <w:cnfStyle w:val="100000000000" w:firstRow="1" w:lastRow="0" w:firstColumn="0" w:lastColumn="0" w:oddVBand="0" w:evenVBand="0" w:oddHBand="0" w:evenHBand="0" w:firstRowFirstColumn="0" w:firstRowLastColumn="0" w:lastRowFirstColumn="0" w:lastRowLastColumn="0"/>
            </w:pPr>
            <w:r>
              <w:t>Costs to government</w:t>
            </w:r>
            <w:r w:rsidR="00E64BCF">
              <w:t xml:space="preserve"> </w:t>
            </w:r>
          </w:p>
        </w:tc>
        <w:tc>
          <w:tcPr>
            <w:tcW w:w="4602" w:type="dxa"/>
          </w:tcPr>
          <w:p w14:paraId="0130BC82" w14:textId="585CD6C2" w:rsidR="00E64BCF" w:rsidRDefault="00E64BCF" w:rsidP="00E64BCF">
            <w:pPr>
              <w:cnfStyle w:val="100000000000" w:firstRow="1" w:lastRow="0" w:firstColumn="0" w:lastColumn="0" w:oddVBand="0" w:evenVBand="0" w:oddHBand="0" w:evenHBand="0" w:firstRowFirstColumn="0" w:firstRowLastColumn="0" w:lastRowFirstColumn="0" w:lastRowLastColumn="0"/>
            </w:pPr>
            <w:r w:rsidRPr="000F293C">
              <w:t xml:space="preserve">The extent to which the option </w:t>
            </w:r>
            <w:r w:rsidR="00D673E9">
              <w:t>imposes</w:t>
            </w:r>
            <w:r w:rsidRPr="000F293C">
              <w:t xml:space="preserve"> costs on government</w:t>
            </w:r>
            <w:r w:rsidR="00741E49">
              <w:t xml:space="preserve"> associated with administering the Regulations.</w:t>
            </w:r>
          </w:p>
        </w:tc>
        <w:tc>
          <w:tcPr>
            <w:tcW w:w="1559" w:type="dxa"/>
          </w:tcPr>
          <w:p w14:paraId="45BC777B" w14:textId="18BEB6B4" w:rsidR="00E64BCF" w:rsidRDefault="00E64BCF">
            <w:pPr>
              <w:cnfStyle w:val="100000000000" w:firstRow="1" w:lastRow="0" w:firstColumn="0" w:lastColumn="0" w:oddVBand="0" w:evenVBand="0" w:oddHBand="0" w:evenHBand="0" w:firstRowFirstColumn="0" w:firstRowLastColumn="0" w:lastRowFirstColumn="0" w:lastRowLastColumn="0"/>
            </w:pPr>
            <w:r>
              <w:t>25</w:t>
            </w:r>
            <w:r w:rsidR="005B1186">
              <w:t xml:space="preserve"> per cent</w:t>
            </w:r>
          </w:p>
        </w:tc>
      </w:tr>
      <w:tr w:rsidR="00E64BCF" w14:paraId="40BC6FC4" w14:textId="77777777" w:rsidTr="0063204F">
        <w:trPr>
          <w:tblHeader/>
        </w:trPr>
        <w:tc>
          <w:tcPr>
            <w:tcW w:w="3195" w:type="dxa"/>
          </w:tcPr>
          <w:p w14:paraId="47E00A5E" w14:textId="77777777" w:rsidR="00E64BCF" w:rsidRPr="00703C27" w:rsidRDefault="00E64BCF">
            <w:pPr>
              <w:cnfStyle w:val="100000000000" w:firstRow="1" w:lastRow="0" w:firstColumn="0" w:lastColumn="0" w:oddVBand="0" w:evenVBand="0" w:oddHBand="0" w:evenHBand="0" w:firstRowFirstColumn="0" w:firstRowLastColumn="0" w:lastRowFirstColumn="0" w:lastRowLastColumn="0"/>
              <w:rPr>
                <w:b/>
                <w:bCs/>
              </w:rPr>
            </w:pPr>
            <w:r w:rsidRPr="00703C27">
              <w:rPr>
                <w:b/>
                <w:bCs/>
              </w:rPr>
              <w:t>Total</w:t>
            </w:r>
          </w:p>
        </w:tc>
        <w:tc>
          <w:tcPr>
            <w:tcW w:w="4602" w:type="dxa"/>
          </w:tcPr>
          <w:p w14:paraId="78FA949B" w14:textId="77777777" w:rsidR="00E64BCF" w:rsidRPr="00703C27" w:rsidRDefault="00E64BCF">
            <w:pPr>
              <w:cnfStyle w:val="100000000000" w:firstRow="1" w:lastRow="0" w:firstColumn="0" w:lastColumn="0" w:oddVBand="0" w:evenVBand="0" w:oddHBand="0" w:evenHBand="0" w:firstRowFirstColumn="0" w:firstRowLastColumn="0" w:lastRowFirstColumn="0" w:lastRowLastColumn="0"/>
              <w:rPr>
                <w:b/>
                <w:bCs/>
              </w:rPr>
            </w:pPr>
          </w:p>
        </w:tc>
        <w:tc>
          <w:tcPr>
            <w:tcW w:w="1559" w:type="dxa"/>
          </w:tcPr>
          <w:p w14:paraId="4024040E" w14:textId="67D2DB1D" w:rsidR="00E64BCF" w:rsidRPr="00703C27" w:rsidRDefault="00E64BCF">
            <w:pPr>
              <w:cnfStyle w:val="100000000000" w:firstRow="1" w:lastRow="0" w:firstColumn="0" w:lastColumn="0" w:oddVBand="0" w:evenVBand="0" w:oddHBand="0" w:evenHBand="0" w:firstRowFirstColumn="0" w:firstRowLastColumn="0" w:lastRowFirstColumn="0" w:lastRowLastColumn="0"/>
              <w:rPr>
                <w:b/>
                <w:bCs/>
              </w:rPr>
            </w:pPr>
            <w:r w:rsidRPr="00703C27">
              <w:rPr>
                <w:b/>
                <w:bCs/>
              </w:rPr>
              <w:t>100</w:t>
            </w:r>
            <w:r w:rsidR="005B1186">
              <w:rPr>
                <w:b/>
                <w:bCs/>
              </w:rPr>
              <w:t xml:space="preserve"> per cent</w:t>
            </w:r>
          </w:p>
        </w:tc>
      </w:tr>
    </w:tbl>
    <w:p w14:paraId="02D2C140" w14:textId="40524897" w:rsidR="005839D6" w:rsidRPr="00EA4FE9" w:rsidRDefault="005839D6" w:rsidP="000C67F8">
      <w:pPr>
        <w:spacing w:before="120"/>
      </w:pPr>
      <w:bookmarkStart w:id="26" w:name="_Ref174005769"/>
      <w:r>
        <w:t xml:space="preserve">The MCA criteria were used to determine the preferred policy </w:t>
      </w:r>
      <w:r w:rsidR="006D3EDD">
        <w:t>option</w:t>
      </w:r>
      <w:r>
        <w:t xml:space="preserve">. </w:t>
      </w:r>
      <w:r w:rsidR="006D3EDD">
        <w:t xml:space="preserve">The results of the MCA show that </w:t>
      </w:r>
      <w:r>
        <w:t xml:space="preserve">Option 1 scored positively compared to the </w:t>
      </w:r>
      <w:r w:rsidR="00FE028F">
        <w:t>Reference Case</w:t>
      </w:r>
      <w:r>
        <w:t xml:space="preserve">, meaning it would be more likely to deliver a net benefit to the community than </w:t>
      </w:r>
      <w:r w:rsidR="00CC2B20">
        <w:t xml:space="preserve">the </w:t>
      </w:r>
      <w:r w:rsidR="00FE028F">
        <w:t>Reference Case</w:t>
      </w:r>
      <w:r>
        <w:t xml:space="preserve">. </w:t>
      </w:r>
      <w:r w:rsidR="00800B0D">
        <w:t xml:space="preserve">In considering all additional requirements posed by the Regulations, the total annual average cost to industry from the Regulations </w:t>
      </w:r>
      <w:r w:rsidR="00076797">
        <w:t xml:space="preserve">is </w:t>
      </w:r>
      <w:r w:rsidR="00800B0D">
        <w:t xml:space="preserve">estimated to be $1.6 million (undiscounted), with the total net present value of $13.27 million over ten years. </w:t>
      </w:r>
      <w:r>
        <w:t xml:space="preserve">While there are higher compliance costs for industry and </w:t>
      </w:r>
      <w:r w:rsidR="006112FC">
        <w:t>administrative costs for</w:t>
      </w:r>
      <w:r>
        <w:t xml:space="preserve"> government under Option 1, the benefits provided by this option in terms of the competency and probity of the industry outweigh these costs. The MCA scores are summarised in </w:t>
      </w:r>
      <w:r>
        <w:fldChar w:fldCharType="begin"/>
      </w:r>
      <w:r>
        <w:instrText xml:space="preserve"> REF _Ref174005804 \h </w:instrText>
      </w:r>
      <w:r>
        <w:fldChar w:fldCharType="separate"/>
      </w:r>
      <w:r w:rsidR="009D133E">
        <w:t xml:space="preserve">Table </w:t>
      </w:r>
      <w:r w:rsidR="009D133E">
        <w:rPr>
          <w:noProof/>
        </w:rPr>
        <w:t>ii</w:t>
      </w:r>
      <w:r>
        <w:fldChar w:fldCharType="end"/>
      </w:r>
      <w:r>
        <w:t xml:space="preserve"> below. </w:t>
      </w:r>
    </w:p>
    <w:p w14:paraId="6A4C7297" w14:textId="01F04CD1" w:rsidR="005839D6" w:rsidRDefault="005839D6" w:rsidP="005839D6">
      <w:pPr>
        <w:pStyle w:val="Caption"/>
      </w:pPr>
      <w:bookmarkStart w:id="27" w:name="_Ref174005804"/>
      <w:r>
        <w:t xml:space="preserve">Table </w:t>
      </w:r>
      <w:r>
        <w:fldChar w:fldCharType="begin"/>
      </w:r>
      <w:r>
        <w:instrText xml:space="preserve"> SEQ Executive_Summary_Table \* roman </w:instrText>
      </w:r>
      <w:r>
        <w:fldChar w:fldCharType="separate"/>
      </w:r>
      <w:r w:rsidR="009D133E">
        <w:rPr>
          <w:noProof/>
        </w:rPr>
        <w:t>ii</w:t>
      </w:r>
      <w:r>
        <w:fldChar w:fldCharType="end"/>
      </w:r>
      <w:bookmarkEnd w:id="27"/>
      <w:r>
        <w:t>: MCA results for remaking the Regulations</w:t>
      </w:r>
    </w:p>
    <w:tbl>
      <w:tblPr>
        <w:tblW w:w="478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4"/>
        <w:gridCol w:w="1240"/>
        <w:gridCol w:w="2197"/>
        <w:gridCol w:w="61"/>
        <w:gridCol w:w="1832"/>
      </w:tblGrid>
      <w:tr w:rsidR="005839D6" w:rsidRPr="00535D1A" w14:paraId="1320A7E3" w14:textId="77777777" w:rsidTr="0063204F">
        <w:trPr>
          <w:trHeight w:val="315"/>
        </w:trPr>
        <w:tc>
          <w:tcPr>
            <w:tcW w:w="2108" w:type="pct"/>
            <w:tcBorders>
              <w:top w:val="single" w:sz="24" w:space="0" w:color="62B5E5"/>
              <w:left w:val="nil"/>
              <w:bottom w:val="single" w:sz="6" w:space="0" w:color="000000"/>
              <w:right w:val="nil"/>
            </w:tcBorders>
            <w:shd w:val="clear" w:color="auto" w:fill="auto"/>
            <w:hideMark/>
          </w:tcPr>
          <w:p w14:paraId="11D4E97F" w14:textId="77777777" w:rsidR="005839D6" w:rsidRPr="000C7CF4" w:rsidRDefault="005839D6" w:rsidP="00F10D42">
            <w:pPr>
              <w:ind w:left="57" w:right="57"/>
              <w:rPr>
                <w:b/>
                <w:bCs/>
                <w:sz w:val="17"/>
              </w:rPr>
            </w:pPr>
            <w:r w:rsidRPr="000C7CF4">
              <w:rPr>
                <w:b/>
                <w:bCs/>
                <w:sz w:val="17"/>
              </w:rPr>
              <w:t>Criterion </w:t>
            </w:r>
          </w:p>
        </w:tc>
        <w:tc>
          <w:tcPr>
            <w:tcW w:w="673" w:type="pct"/>
            <w:tcBorders>
              <w:top w:val="single" w:sz="24" w:space="0" w:color="62B5E5"/>
              <w:left w:val="nil"/>
              <w:bottom w:val="single" w:sz="6" w:space="0" w:color="000000"/>
              <w:right w:val="nil"/>
            </w:tcBorders>
          </w:tcPr>
          <w:p w14:paraId="300E6110" w14:textId="77777777" w:rsidR="005839D6" w:rsidRPr="000C7CF4" w:rsidRDefault="005839D6" w:rsidP="00F10D42">
            <w:pPr>
              <w:ind w:left="57" w:right="57"/>
              <w:jc w:val="center"/>
              <w:rPr>
                <w:b/>
                <w:bCs/>
                <w:sz w:val="17"/>
              </w:rPr>
            </w:pPr>
            <w:r w:rsidRPr="000C7CF4">
              <w:rPr>
                <w:b/>
                <w:bCs/>
                <w:sz w:val="17"/>
              </w:rPr>
              <w:t>Weighting</w:t>
            </w:r>
          </w:p>
        </w:tc>
        <w:tc>
          <w:tcPr>
            <w:tcW w:w="1192" w:type="pct"/>
            <w:tcBorders>
              <w:top w:val="single" w:sz="24" w:space="0" w:color="62B5E5"/>
              <w:left w:val="nil"/>
              <w:bottom w:val="single" w:sz="6" w:space="0" w:color="000000"/>
              <w:right w:val="nil"/>
            </w:tcBorders>
            <w:shd w:val="clear" w:color="auto" w:fill="auto"/>
            <w:hideMark/>
          </w:tcPr>
          <w:p w14:paraId="32AE77EF" w14:textId="086CE3FA" w:rsidR="005839D6" w:rsidRPr="000C7CF4" w:rsidRDefault="00FE028F" w:rsidP="00F10D42">
            <w:pPr>
              <w:ind w:left="57" w:right="57"/>
              <w:jc w:val="center"/>
              <w:rPr>
                <w:b/>
                <w:bCs/>
                <w:sz w:val="17"/>
              </w:rPr>
            </w:pPr>
            <w:r>
              <w:rPr>
                <w:b/>
                <w:bCs/>
                <w:sz w:val="17"/>
              </w:rPr>
              <w:t>Reference</w:t>
            </w:r>
            <w:r w:rsidRPr="000C7CF4">
              <w:rPr>
                <w:b/>
                <w:bCs/>
                <w:sz w:val="17"/>
              </w:rPr>
              <w:t xml:space="preserve"> </w:t>
            </w:r>
            <w:r w:rsidR="005839D6" w:rsidRPr="000C7CF4">
              <w:rPr>
                <w:b/>
                <w:bCs/>
                <w:sz w:val="17"/>
              </w:rPr>
              <w:t>Case</w:t>
            </w:r>
          </w:p>
        </w:tc>
        <w:tc>
          <w:tcPr>
            <w:tcW w:w="1027" w:type="pct"/>
            <w:gridSpan w:val="2"/>
            <w:tcBorders>
              <w:top w:val="single" w:sz="24" w:space="0" w:color="62B5E5"/>
              <w:left w:val="nil"/>
              <w:bottom w:val="single" w:sz="6" w:space="0" w:color="000000"/>
              <w:right w:val="nil"/>
            </w:tcBorders>
            <w:shd w:val="clear" w:color="auto" w:fill="auto"/>
            <w:hideMark/>
          </w:tcPr>
          <w:p w14:paraId="6A3BCC7C" w14:textId="5472B467" w:rsidR="005839D6" w:rsidRPr="000C7CF4" w:rsidRDefault="005839D6" w:rsidP="00F10D42">
            <w:pPr>
              <w:ind w:left="57" w:right="57"/>
              <w:jc w:val="center"/>
              <w:rPr>
                <w:b/>
                <w:bCs/>
                <w:sz w:val="17"/>
              </w:rPr>
            </w:pPr>
            <w:r w:rsidRPr="000C7CF4">
              <w:rPr>
                <w:b/>
                <w:bCs/>
                <w:sz w:val="17"/>
              </w:rPr>
              <w:t xml:space="preserve">Option 1 – Impact of Status Quo relative to the </w:t>
            </w:r>
            <w:r w:rsidR="00FE028F">
              <w:rPr>
                <w:b/>
                <w:bCs/>
                <w:sz w:val="17"/>
              </w:rPr>
              <w:t>Reference Case</w:t>
            </w:r>
            <w:r w:rsidRPr="000C7CF4">
              <w:rPr>
                <w:b/>
                <w:bCs/>
                <w:sz w:val="17"/>
              </w:rPr>
              <w:t xml:space="preserve"> </w:t>
            </w:r>
          </w:p>
        </w:tc>
      </w:tr>
      <w:tr w:rsidR="005839D6" w:rsidRPr="00535D1A" w14:paraId="745C61F2" w14:textId="77777777" w:rsidTr="0063204F">
        <w:trPr>
          <w:trHeight w:val="315"/>
        </w:trPr>
        <w:tc>
          <w:tcPr>
            <w:tcW w:w="2108" w:type="pct"/>
            <w:tcBorders>
              <w:top w:val="single" w:sz="24" w:space="0" w:color="62B5E5"/>
              <w:left w:val="nil"/>
              <w:bottom w:val="single" w:sz="6" w:space="0" w:color="000000"/>
              <w:right w:val="nil"/>
            </w:tcBorders>
            <w:shd w:val="clear" w:color="auto" w:fill="auto"/>
          </w:tcPr>
          <w:p w14:paraId="66D56616" w14:textId="77777777" w:rsidR="005839D6" w:rsidRPr="000C7CF4" w:rsidRDefault="005839D6" w:rsidP="00F10D42">
            <w:pPr>
              <w:spacing w:line="240" w:lineRule="auto"/>
              <w:textAlignment w:val="baseline"/>
              <w:rPr>
                <w:rFonts w:eastAsia="Times New Roman" w:cs="Calibri Light"/>
                <w:b/>
                <w:color w:val="000000"/>
                <w:sz w:val="17"/>
                <w:szCs w:val="17"/>
                <w:lang w:val="en-GB" w:eastAsia="en-AU"/>
              </w:rPr>
            </w:pPr>
          </w:p>
        </w:tc>
        <w:tc>
          <w:tcPr>
            <w:tcW w:w="673" w:type="pct"/>
            <w:tcBorders>
              <w:top w:val="single" w:sz="24" w:space="0" w:color="62B5E5"/>
              <w:left w:val="nil"/>
              <w:bottom w:val="single" w:sz="6" w:space="0" w:color="000000"/>
              <w:right w:val="nil"/>
            </w:tcBorders>
          </w:tcPr>
          <w:p w14:paraId="23BA43CB" w14:textId="77777777" w:rsidR="005839D6" w:rsidRPr="000C7CF4" w:rsidRDefault="005839D6" w:rsidP="00F10D42">
            <w:pPr>
              <w:spacing w:line="240" w:lineRule="auto"/>
              <w:jc w:val="center"/>
              <w:textAlignment w:val="baseline"/>
              <w:rPr>
                <w:rFonts w:eastAsia="Times New Roman" w:cs="Calibri Light"/>
                <w:b/>
                <w:color w:val="000000"/>
                <w:sz w:val="17"/>
                <w:szCs w:val="17"/>
                <w:lang w:val="en-GB" w:eastAsia="en-AU"/>
              </w:rPr>
            </w:pPr>
          </w:p>
        </w:tc>
        <w:tc>
          <w:tcPr>
            <w:tcW w:w="1225" w:type="pct"/>
            <w:gridSpan w:val="2"/>
            <w:tcBorders>
              <w:top w:val="single" w:sz="24" w:space="0" w:color="62B5E5"/>
              <w:left w:val="nil"/>
              <w:bottom w:val="single" w:sz="6" w:space="0" w:color="000000"/>
              <w:right w:val="nil"/>
            </w:tcBorders>
            <w:shd w:val="clear" w:color="auto" w:fill="auto"/>
          </w:tcPr>
          <w:p w14:paraId="3BC78881" w14:textId="77777777" w:rsidR="005839D6" w:rsidRPr="000C7CF4" w:rsidRDefault="005839D6" w:rsidP="00F10D42">
            <w:pPr>
              <w:spacing w:line="240" w:lineRule="auto"/>
              <w:jc w:val="center"/>
              <w:textAlignment w:val="baseline"/>
              <w:rPr>
                <w:rFonts w:eastAsia="Times New Roman" w:cs="Calibri Light"/>
                <w:b/>
                <w:color w:val="000000"/>
                <w:sz w:val="17"/>
                <w:szCs w:val="17"/>
                <w:lang w:val="en-GB" w:eastAsia="en-AU"/>
              </w:rPr>
            </w:pPr>
          </w:p>
        </w:tc>
        <w:tc>
          <w:tcPr>
            <w:tcW w:w="994" w:type="pct"/>
            <w:tcBorders>
              <w:top w:val="single" w:sz="24" w:space="0" w:color="62B5E5"/>
              <w:left w:val="nil"/>
              <w:bottom w:val="single" w:sz="6" w:space="0" w:color="000000"/>
              <w:right w:val="nil"/>
            </w:tcBorders>
            <w:shd w:val="clear" w:color="auto" w:fill="auto"/>
          </w:tcPr>
          <w:p w14:paraId="70CC9AD2" w14:textId="77777777" w:rsidR="005839D6" w:rsidRPr="000C7CF4" w:rsidRDefault="005839D6" w:rsidP="00F10D42">
            <w:pPr>
              <w:spacing w:line="240" w:lineRule="auto"/>
              <w:jc w:val="center"/>
              <w:textAlignment w:val="baseline"/>
              <w:rPr>
                <w:rFonts w:eastAsia="Times New Roman" w:cs="Calibri Light"/>
                <w:b/>
                <w:color w:val="000000"/>
                <w:sz w:val="17"/>
                <w:szCs w:val="17"/>
                <w:lang w:val="en-GB" w:eastAsia="en-AU"/>
              </w:rPr>
            </w:pPr>
            <w:r w:rsidRPr="000C7CF4">
              <w:rPr>
                <w:rFonts w:eastAsia="Times New Roman" w:cs="Calibri Light"/>
                <w:b/>
                <w:color w:val="000000"/>
                <w:sz w:val="17"/>
                <w:szCs w:val="17"/>
                <w:lang w:val="en-GB" w:eastAsia="en-AU"/>
              </w:rPr>
              <w:t>Raw score</w:t>
            </w:r>
          </w:p>
        </w:tc>
      </w:tr>
      <w:tr w:rsidR="005839D6" w:rsidRPr="006C072E" w14:paraId="21266FF8" w14:textId="77777777" w:rsidTr="0063204F">
        <w:trPr>
          <w:trHeight w:val="420"/>
        </w:trPr>
        <w:tc>
          <w:tcPr>
            <w:tcW w:w="2108" w:type="pct"/>
            <w:tcBorders>
              <w:top w:val="single" w:sz="6" w:space="0" w:color="000000"/>
              <w:left w:val="nil"/>
              <w:bottom w:val="single" w:sz="6" w:space="0" w:color="000000"/>
              <w:right w:val="nil"/>
            </w:tcBorders>
            <w:shd w:val="clear" w:color="auto" w:fill="auto"/>
            <w:vAlign w:val="center"/>
            <w:hideMark/>
          </w:tcPr>
          <w:p w14:paraId="17268444" w14:textId="77777777" w:rsidR="005839D6" w:rsidRPr="000C7CF4" w:rsidRDefault="005839D6" w:rsidP="00F10D42">
            <w:pPr>
              <w:ind w:left="57" w:right="57"/>
              <w:rPr>
                <w:sz w:val="17"/>
                <w:szCs w:val="20"/>
              </w:rPr>
            </w:pPr>
            <w:r w:rsidRPr="000C7CF4">
              <w:rPr>
                <w:sz w:val="17"/>
                <w:szCs w:val="20"/>
              </w:rPr>
              <w:t>Competency and probity of the private security industry</w:t>
            </w:r>
          </w:p>
        </w:tc>
        <w:tc>
          <w:tcPr>
            <w:tcW w:w="673" w:type="pct"/>
            <w:tcBorders>
              <w:top w:val="single" w:sz="6" w:space="0" w:color="000000"/>
              <w:left w:val="nil"/>
              <w:bottom w:val="single" w:sz="6" w:space="0" w:color="000000"/>
              <w:right w:val="nil"/>
            </w:tcBorders>
            <w:vAlign w:val="center"/>
          </w:tcPr>
          <w:p w14:paraId="3BACE837" w14:textId="77777777" w:rsidR="005839D6" w:rsidRPr="000C7CF4" w:rsidRDefault="005839D6" w:rsidP="00F10D42">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50%</w:t>
            </w:r>
          </w:p>
        </w:tc>
        <w:tc>
          <w:tcPr>
            <w:tcW w:w="1225" w:type="pct"/>
            <w:gridSpan w:val="2"/>
            <w:tcBorders>
              <w:top w:val="single" w:sz="6" w:space="0" w:color="000000"/>
              <w:left w:val="nil"/>
              <w:bottom w:val="single" w:sz="6" w:space="0" w:color="000000"/>
              <w:right w:val="nil"/>
            </w:tcBorders>
            <w:shd w:val="clear" w:color="auto" w:fill="auto"/>
            <w:vAlign w:val="center"/>
            <w:hideMark/>
          </w:tcPr>
          <w:p w14:paraId="735552B4" w14:textId="77777777" w:rsidR="005839D6" w:rsidRPr="000C7CF4" w:rsidRDefault="005839D6" w:rsidP="00F10D42">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0</w:t>
            </w:r>
          </w:p>
        </w:tc>
        <w:tc>
          <w:tcPr>
            <w:tcW w:w="994" w:type="pct"/>
            <w:tcBorders>
              <w:top w:val="single" w:sz="6" w:space="0" w:color="000000"/>
              <w:left w:val="nil"/>
              <w:bottom w:val="single" w:sz="6" w:space="0" w:color="000000"/>
              <w:right w:val="nil"/>
            </w:tcBorders>
            <w:shd w:val="clear" w:color="auto" w:fill="auto"/>
            <w:vAlign w:val="center"/>
          </w:tcPr>
          <w:p w14:paraId="2B52C398" w14:textId="77777777" w:rsidR="005839D6" w:rsidRPr="000C7CF4" w:rsidRDefault="005839D6" w:rsidP="00F10D42">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5</w:t>
            </w:r>
          </w:p>
        </w:tc>
      </w:tr>
      <w:tr w:rsidR="005839D6" w:rsidRPr="006C072E" w14:paraId="2C31E4FF" w14:textId="77777777" w:rsidTr="0063204F">
        <w:trPr>
          <w:trHeight w:val="375"/>
        </w:trPr>
        <w:tc>
          <w:tcPr>
            <w:tcW w:w="2108" w:type="pct"/>
            <w:tcBorders>
              <w:top w:val="single" w:sz="6" w:space="0" w:color="000000"/>
              <w:left w:val="nil"/>
              <w:bottom w:val="single" w:sz="6" w:space="0" w:color="000000"/>
              <w:right w:val="nil"/>
            </w:tcBorders>
            <w:shd w:val="clear" w:color="auto" w:fill="auto"/>
            <w:vAlign w:val="center"/>
            <w:hideMark/>
          </w:tcPr>
          <w:p w14:paraId="5AA23716" w14:textId="7433E3F2" w:rsidR="005839D6" w:rsidRPr="000C7CF4" w:rsidRDefault="0086227C" w:rsidP="00F10D42">
            <w:pPr>
              <w:ind w:left="57" w:right="57"/>
              <w:rPr>
                <w:sz w:val="17"/>
                <w:szCs w:val="20"/>
              </w:rPr>
            </w:pPr>
            <w:r>
              <w:rPr>
                <w:sz w:val="17"/>
                <w:szCs w:val="20"/>
              </w:rPr>
              <w:t>Costs to industry</w:t>
            </w:r>
          </w:p>
        </w:tc>
        <w:tc>
          <w:tcPr>
            <w:tcW w:w="673" w:type="pct"/>
            <w:tcBorders>
              <w:top w:val="single" w:sz="6" w:space="0" w:color="000000"/>
              <w:left w:val="nil"/>
              <w:bottom w:val="single" w:sz="6" w:space="0" w:color="000000"/>
              <w:right w:val="nil"/>
            </w:tcBorders>
            <w:vAlign w:val="center"/>
          </w:tcPr>
          <w:p w14:paraId="1C283776" w14:textId="77777777" w:rsidR="005839D6" w:rsidRPr="000C7CF4" w:rsidRDefault="005839D6" w:rsidP="00F10D42">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25%</w:t>
            </w:r>
          </w:p>
        </w:tc>
        <w:tc>
          <w:tcPr>
            <w:tcW w:w="1225" w:type="pct"/>
            <w:gridSpan w:val="2"/>
            <w:tcBorders>
              <w:top w:val="single" w:sz="6" w:space="0" w:color="000000"/>
              <w:left w:val="nil"/>
              <w:bottom w:val="single" w:sz="6" w:space="0" w:color="000000"/>
              <w:right w:val="nil"/>
            </w:tcBorders>
            <w:shd w:val="clear" w:color="auto" w:fill="auto"/>
            <w:vAlign w:val="center"/>
            <w:hideMark/>
          </w:tcPr>
          <w:p w14:paraId="4DE475FE" w14:textId="77777777" w:rsidR="005839D6" w:rsidRPr="000C7CF4" w:rsidRDefault="005839D6" w:rsidP="00F10D42">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0</w:t>
            </w:r>
          </w:p>
        </w:tc>
        <w:tc>
          <w:tcPr>
            <w:tcW w:w="994" w:type="pct"/>
            <w:tcBorders>
              <w:top w:val="single" w:sz="6" w:space="0" w:color="000000"/>
              <w:left w:val="nil"/>
              <w:bottom w:val="single" w:sz="6" w:space="0" w:color="000000"/>
              <w:right w:val="nil"/>
            </w:tcBorders>
            <w:shd w:val="clear" w:color="auto" w:fill="auto"/>
            <w:vAlign w:val="center"/>
          </w:tcPr>
          <w:p w14:paraId="508F8017" w14:textId="77777777" w:rsidR="005839D6" w:rsidRPr="000C7CF4" w:rsidRDefault="005839D6" w:rsidP="00F10D42">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-2</w:t>
            </w:r>
          </w:p>
        </w:tc>
      </w:tr>
      <w:tr w:rsidR="005839D6" w:rsidRPr="006C072E" w14:paraId="719F3953" w14:textId="77777777" w:rsidTr="0063204F">
        <w:trPr>
          <w:trHeight w:val="375"/>
        </w:trPr>
        <w:tc>
          <w:tcPr>
            <w:tcW w:w="2108" w:type="pct"/>
            <w:tcBorders>
              <w:top w:val="single" w:sz="6" w:space="0" w:color="000000"/>
              <w:left w:val="nil"/>
              <w:bottom w:val="single" w:sz="6" w:space="0" w:color="000000"/>
              <w:right w:val="nil"/>
            </w:tcBorders>
            <w:shd w:val="clear" w:color="auto" w:fill="auto"/>
            <w:vAlign w:val="center"/>
            <w:hideMark/>
          </w:tcPr>
          <w:p w14:paraId="112AE108" w14:textId="67DFE6FC" w:rsidR="005839D6" w:rsidRPr="000C7CF4" w:rsidRDefault="0086227C" w:rsidP="00F10D42">
            <w:pPr>
              <w:ind w:left="57" w:right="57"/>
              <w:rPr>
                <w:sz w:val="17"/>
                <w:szCs w:val="20"/>
              </w:rPr>
            </w:pPr>
            <w:r>
              <w:rPr>
                <w:sz w:val="17"/>
                <w:szCs w:val="20"/>
              </w:rPr>
              <w:t>Costs to government</w:t>
            </w:r>
            <w:r w:rsidR="005839D6" w:rsidRPr="000C7CF4">
              <w:rPr>
                <w:sz w:val="17"/>
                <w:szCs w:val="20"/>
              </w:rPr>
              <w:t xml:space="preserve"> </w:t>
            </w:r>
          </w:p>
        </w:tc>
        <w:tc>
          <w:tcPr>
            <w:tcW w:w="673" w:type="pct"/>
            <w:tcBorders>
              <w:top w:val="single" w:sz="6" w:space="0" w:color="000000"/>
              <w:left w:val="nil"/>
              <w:bottom w:val="single" w:sz="6" w:space="0" w:color="000000"/>
              <w:right w:val="nil"/>
            </w:tcBorders>
            <w:vAlign w:val="center"/>
          </w:tcPr>
          <w:p w14:paraId="3507B3F1" w14:textId="77777777" w:rsidR="005839D6" w:rsidRPr="000C7CF4" w:rsidRDefault="005839D6" w:rsidP="00F10D42">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25%</w:t>
            </w:r>
          </w:p>
        </w:tc>
        <w:tc>
          <w:tcPr>
            <w:tcW w:w="1225" w:type="pct"/>
            <w:gridSpan w:val="2"/>
            <w:tcBorders>
              <w:top w:val="single" w:sz="6" w:space="0" w:color="000000"/>
              <w:left w:val="nil"/>
              <w:bottom w:val="single" w:sz="6" w:space="0" w:color="000000"/>
              <w:right w:val="nil"/>
            </w:tcBorders>
            <w:shd w:val="clear" w:color="auto" w:fill="auto"/>
            <w:vAlign w:val="center"/>
            <w:hideMark/>
          </w:tcPr>
          <w:p w14:paraId="038EFBB2" w14:textId="77777777" w:rsidR="005839D6" w:rsidRPr="000C7CF4" w:rsidRDefault="005839D6" w:rsidP="00F10D42">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0</w:t>
            </w:r>
          </w:p>
        </w:tc>
        <w:tc>
          <w:tcPr>
            <w:tcW w:w="994" w:type="pct"/>
            <w:tcBorders>
              <w:top w:val="single" w:sz="6" w:space="0" w:color="000000"/>
              <w:left w:val="nil"/>
              <w:bottom w:val="single" w:sz="6" w:space="0" w:color="000000"/>
              <w:right w:val="nil"/>
            </w:tcBorders>
            <w:shd w:val="clear" w:color="auto" w:fill="auto"/>
            <w:vAlign w:val="center"/>
          </w:tcPr>
          <w:p w14:paraId="1F5A98A8" w14:textId="77777777" w:rsidR="005839D6" w:rsidRPr="000C7CF4" w:rsidRDefault="005839D6" w:rsidP="00F10D42">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-1</w:t>
            </w:r>
          </w:p>
        </w:tc>
      </w:tr>
      <w:tr w:rsidR="005839D6" w:rsidRPr="00BE0334" w14:paraId="6CF7A4C3" w14:textId="77777777" w:rsidTr="0063204F">
        <w:trPr>
          <w:trHeight w:val="375"/>
        </w:trPr>
        <w:tc>
          <w:tcPr>
            <w:tcW w:w="2108" w:type="pct"/>
            <w:tcBorders>
              <w:top w:val="single" w:sz="6" w:space="0" w:color="000000"/>
              <w:left w:val="nil"/>
              <w:bottom w:val="single" w:sz="6" w:space="0" w:color="000000"/>
              <w:right w:val="nil"/>
            </w:tcBorders>
            <w:shd w:val="clear" w:color="auto" w:fill="auto"/>
            <w:vAlign w:val="center"/>
          </w:tcPr>
          <w:p w14:paraId="04670C42" w14:textId="77777777" w:rsidR="005839D6" w:rsidRPr="000C7CF4" w:rsidRDefault="005839D6" w:rsidP="00F10D42">
            <w:pPr>
              <w:spacing w:line="240" w:lineRule="auto"/>
              <w:textAlignment w:val="baseline"/>
              <w:rPr>
                <w:rFonts w:eastAsia="Times New Roman" w:cs="Calibri Light"/>
                <w:b/>
                <w:color w:val="000000"/>
                <w:sz w:val="17"/>
                <w:szCs w:val="17"/>
                <w:lang w:val="en-GB" w:eastAsia="en-AU"/>
              </w:rPr>
            </w:pPr>
            <w:r w:rsidRPr="000C7CF4">
              <w:rPr>
                <w:rFonts w:eastAsia="Times New Roman" w:cs="Calibri Light"/>
                <w:b/>
                <w:color w:val="000000"/>
                <w:sz w:val="17"/>
                <w:szCs w:val="17"/>
                <w:lang w:val="en-GB" w:eastAsia="en-AU"/>
              </w:rPr>
              <w:t>Total Weighted Score</w:t>
            </w:r>
          </w:p>
        </w:tc>
        <w:tc>
          <w:tcPr>
            <w:tcW w:w="673" w:type="pct"/>
            <w:tcBorders>
              <w:top w:val="single" w:sz="6" w:space="0" w:color="000000"/>
              <w:left w:val="nil"/>
              <w:bottom w:val="single" w:sz="6" w:space="0" w:color="000000"/>
              <w:right w:val="nil"/>
            </w:tcBorders>
          </w:tcPr>
          <w:p w14:paraId="004DF10F" w14:textId="77777777" w:rsidR="005839D6" w:rsidRPr="000C7CF4" w:rsidRDefault="005839D6" w:rsidP="00F10D42">
            <w:pPr>
              <w:spacing w:line="240" w:lineRule="auto"/>
              <w:jc w:val="center"/>
              <w:textAlignment w:val="baseline"/>
              <w:rPr>
                <w:rFonts w:eastAsia="Times New Roman" w:cs="Calibri Light"/>
                <w:b/>
                <w:color w:val="000000"/>
                <w:sz w:val="17"/>
                <w:szCs w:val="17"/>
                <w:lang w:val="en-GB" w:eastAsia="en-AU"/>
              </w:rPr>
            </w:pPr>
          </w:p>
        </w:tc>
        <w:tc>
          <w:tcPr>
            <w:tcW w:w="1225" w:type="pct"/>
            <w:gridSpan w:val="2"/>
            <w:tcBorders>
              <w:top w:val="single" w:sz="6" w:space="0" w:color="000000"/>
              <w:left w:val="nil"/>
              <w:bottom w:val="single" w:sz="6" w:space="0" w:color="000000"/>
              <w:right w:val="nil"/>
            </w:tcBorders>
            <w:shd w:val="clear" w:color="auto" w:fill="auto"/>
            <w:vAlign w:val="center"/>
          </w:tcPr>
          <w:p w14:paraId="49257EF3" w14:textId="77777777" w:rsidR="005839D6" w:rsidRPr="000C7CF4" w:rsidRDefault="005839D6" w:rsidP="00F10D42">
            <w:pPr>
              <w:spacing w:line="240" w:lineRule="auto"/>
              <w:jc w:val="center"/>
              <w:textAlignment w:val="baseline"/>
              <w:rPr>
                <w:rFonts w:eastAsia="Times New Roman" w:cs="Calibri Light"/>
                <w:b/>
                <w:color w:val="000000"/>
                <w:sz w:val="17"/>
                <w:szCs w:val="17"/>
                <w:lang w:val="en-GB" w:eastAsia="en-AU"/>
              </w:rPr>
            </w:pPr>
            <w:r w:rsidRPr="000C7CF4">
              <w:rPr>
                <w:rFonts w:eastAsia="Times New Roman" w:cs="Calibri Light"/>
                <w:b/>
                <w:color w:val="000000"/>
                <w:sz w:val="17"/>
                <w:szCs w:val="17"/>
                <w:lang w:val="en-GB" w:eastAsia="en-AU"/>
              </w:rPr>
              <w:t>0</w:t>
            </w:r>
          </w:p>
        </w:tc>
        <w:tc>
          <w:tcPr>
            <w:tcW w:w="994" w:type="pct"/>
            <w:tcBorders>
              <w:top w:val="single" w:sz="6" w:space="0" w:color="000000"/>
              <w:left w:val="nil"/>
              <w:bottom w:val="single" w:sz="6" w:space="0" w:color="000000"/>
              <w:right w:val="nil"/>
            </w:tcBorders>
            <w:shd w:val="clear" w:color="auto" w:fill="auto"/>
            <w:vAlign w:val="center"/>
          </w:tcPr>
          <w:p w14:paraId="3E841A74" w14:textId="77777777" w:rsidR="005839D6" w:rsidRPr="000C7CF4" w:rsidRDefault="005839D6" w:rsidP="00F10D42">
            <w:pPr>
              <w:spacing w:line="240" w:lineRule="auto"/>
              <w:jc w:val="center"/>
              <w:textAlignment w:val="baseline"/>
              <w:rPr>
                <w:rFonts w:eastAsia="Times New Roman" w:cs="Calibri Light"/>
                <w:b/>
                <w:color w:val="000000"/>
                <w:sz w:val="17"/>
                <w:szCs w:val="17"/>
                <w:lang w:val="en-GB" w:eastAsia="en-AU"/>
              </w:rPr>
            </w:pPr>
            <w:r w:rsidRPr="000C7CF4">
              <w:rPr>
                <w:rFonts w:eastAsia="Times New Roman" w:cs="Calibri Light"/>
                <w:b/>
                <w:color w:val="000000"/>
                <w:sz w:val="17"/>
                <w:szCs w:val="17"/>
                <w:lang w:val="en-GB" w:eastAsia="en-AU"/>
              </w:rPr>
              <w:t>1.75</w:t>
            </w:r>
          </w:p>
        </w:tc>
      </w:tr>
    </w:tbl>
    <w:p w14:paraId="1BEA5DB3" w14:textId="77777777" w:rsidR="009C2C27" w:rsidRDefault="009C2C27" w:rsidP="00E64BCF">
      <w:pPr>
        <w:pStyle w:val="Caption"/>
        <w:rPr>
          <w:iCs w:val="0"/>
          <w:color w:val="auto"/>
          <w:sz w:val="18"/>
        </w:rPr>
      </w:pPr>
    </w:p>
    <w:p w14:paraId="34440E0F" w14:textId="379400C1" w:rsidR="00962145" w:rsidRPr="00962145" w:rsidRDefault="00B411C1" w:rsidP="000C67F8">
      <w:pPr>
        <w:pStyle w:val="Caption"/>
        <w:rPr>
          <w:iCs w:val="0"/>
          <w:color w:val="auto"/>
          <w:sz w:val="18"/>
        </w:rPr>
      </w:pPr>
      <w:r w:rsidRPr="00B411C1">
        <w:rPr>
          <w:iCs w:val="0"/>
          <w:color w:val="auto"/>
          <w:sz w:val="18"/>
        </w:rPr>
        <w:t xml:space="preserve">A separate MCA </w:t>
      </w:r>
      <w:r>
        <w:rPr>
          <w:iCs w:val="0"/>
          <w:color w:val="auto"/>
          <w:sz w:val="18"/>
        </w:rPr>
        <w:t>was</w:t>
      </w:r>
      <w:r w:rsidRPr="00B411C1">
        <w:rPr>
          <w:iCs w:val="0"/>
          <w:color w:val="auto"/>
          <w:sz w:val="18"/>
        </w:rPr>
        <w:t xml:space="preserve"> used for</w:t>
      </w:r>
      <w:r>
        <w:rPr>
          <w:iCs w:val="0"/>
          <w:color w:val="auto"/>
          <w:sz w:val="18"/>
        </w:rPr>
        <w:t xml:space="preserve"> the</w:t>
      </w:r>
      <w:r w:rsidRPr="00B411C1">
        <w:rPr>
          <w:iCs w:val="0"/>
          <w:color w:val="auto"/>
          <w:sz w:val="18"/>
        </w:rPr>
        <w:t xml:space="preserve"> fee options</w:t>
      </w:r>
      <w:r w:rsidR="0073219A">
        <w:rPr>
          <w:iCs w:val="0"/>
          <w:color w:val="auto"/>
          <w:sz w:val="18"/>
        </w:rPr>
        <w:t xml:space="preserve">. </w:t>
      </w:r>
      <w:r w:rsidR="00962145" w:rsidRPr="00962145">
        <w:rPr>
          <w:iCs w:val="0"/>
          <w:color w:val="auto"/>
          <w:sz w:val="18"/>
        </w:rPr>
        <w:t xml:space="preserve">The criteria for assessing fee options have been informed by the Victorian Government’s pricing principles outlined in </w:t>
      </w:r>
      <w:r w:rsidR="00962145" w:rsidRPr="00B411C1">
        <w:rPr>
          <w:i/>
          <w:color w:val="auto"/>
          <w:sz w:val="18"/>
        </w:rPr>
        <w:t xml:space="preserve">Pricing for </w:t>
      </w:r>
      <w:r w:rsidR="00E630F7" w:rsidRPr="00B411C1">
        <w:rPr>
          <w:i/>
          <w:color w:val="auto"/>
          <w:sz w:val="18"/>
        </w:rPr>
        <w:t>Value</w:t>
      </w:r>
      <w:r w:rsidR="00E630F7">
        <w:rPr>
          <w:iCs w:val="0"/>
          <w:color w:val="auto"/>
          <w:sz w:val="18"/>
        </w:rPr>
        <w:t xml:space="preserve"> and</w:t>
      </w:r>
      <w:r w:rsidR="0073219A">
        <w:rPr>
          <w:iCs w:val="0"/>
          <w:color w:val="auto"/>
          <w:sz w:val="18"/>
        </w:rPr>
        <w:t xml:space="preserve"> are</w:t>
      </w:r>
      <w:r w:rsidR="0073219A" w:rsidRPr="00B411C1">
        <w:rPr>
          <w:iCs w:val="0"/>
          <w:color w:val="auto"/>
          <w:sz w:val="18"/>
        </w:rPr>
        <w:t xml:space="preserve"> outlined in Table ii.</w:t>
      </w:r>
    </w:p>
    <w:p w14:paraId="19D5DE78" w14:textId="5CF7F4F7" w:rsidR="00E64BCF" w:rsidRDefault="00E64BCF" w:rsidP="00E64BCF">
      <w:pPr>
        <w:pStyle w:val="Caption"/>
      </w:pPr>
      <w:r>
        <w:t xml:space="preserve">Table </w:t>
      </w:r>
      <w:r>
        <w:fldChar w:fldCharType="begin"/>
      </w:r>
      <w:r>
        <w:instrText xml:space="preserve"> SEQ Executive_Summary_Table \* roman </w:instrText>
      </w:r>
      <w:r>
        <w:fldChar w:fldCharType="separate"/>
      </w:r>
      <w:r w:rsidR="009D133E">
        <w:rPr>
          <w:noProof/>
        </w:rPr>
        <w:t>iii</w:t>
      </w:r>
      <w:r>
        <w:fldChar w:fldCharType="end"/>
      </w:r>
      <w:bookmarkEnd w:id="26"/>
      <w:r>
        <w:t xml:space="preserve">: MCA </w:t>
      </w:r>
      <w:r w:rsidR="0073219A">
        <w:t xml:space="preserve">criteria </w:t>
      </w:r>
      <w:r>
        <w:t>for the fee options</w:t>
      </w:r>
    </w:p>
    <w:tbl>
      <w:tblPr>
        <w:tblStyle w:val="Deloittetable"/>
        <w:tblW w:w="0" w:type="auto"/>
        <w:tblLook w:val="04A0" w:firstRow="1" w:lastRow="0" w:firstColumn="1" w:lastColumn="0" w:noHBand="0" w:noVBand="1"/>
      </w:tblPr>
      <w:tblGrid>
        <w:gridCol w:w="1985"/>
        <w:gridCol w:w="5812"/>
        <w:gridCol w:w="1229"/>
      </w:tblGrid>
      <w:tr w:rsidR="00E64BCF" w14:paraId="23C1D0D5" w14:textId="77777777" w:rsidTr="00EB39D8">
        <w:trPr>
          <w:cnfStyle w:val="100000000000" w:firstRow="1" w:lastRow="0" w:firstColumn="0" w:lastColumn="0" w:oddVBand="0" w:evenVBand="0" w:oddHBand="0" w:evenHBand="0" w:firstRowFirstColumn="0" w:firstRowLastColumn="0" w:lastRowFirstColumn="0" w:lastRowLastColumn="0"/>
          <w:tblHeader/>
        </w:trPr>
        <w:tc>
          <w:tcPr>
            <w:tcW w:w="1985" w:type="dxa"/>
          </w:tcPr>
          <w:p w14:paraId="01174182" w14:textId="77777777" w:rsidR="00E64BCF" w:rsidRPr="004E7D2E" w:rsidRDefault="00E64BCF" w:rsidP="00E64BCF">
            <w:pPr>
              <w:rPr>
                <w:b/>
                <w:bCs/>
              </w:rPr>
            </w:pPr>
            <w:r w:rsidRPr="004E7D2E">
              <w:rPr>
                <w:b/>
                <w:bCs/>
              </w:rPr>
              <w:t>Criterion</w:t>
            </w:r>
          </w:p>
        </w:tc>
        <w:tc>
          <w:tcPr>
            <w:tcW w:w="5812" w:type="dxa"/>
          </w:tcPr>
          <w:p w14:paraId="7438C628" w14:textId="77777777" w:rsidR="00E64BCF" w:rsidRPr="004E7D2E" w:rsidRDefault="00E64BCF" w:rsidP="00E64BCF">
            <w:pPr>
              <w:rPr>
                <w:b/>
                <w:bCs/>
              </w:rPr>
            </w:pPr>
            <w:r w:rsidRPr="004E7D2E">
              <w:rPr>
                <w:b/>
                <w:bCs/>
              </w:rPr>
              <w:t xml:space="preserve">Description </w:t>
            </w:r>
          </w:p>
        </w:tc>
        <w:tc>
          <w:tcPr>
            <w:tcW w:w="1229" w:type="dxa"/>
          </w:tcPr>
          <w:p w14:paraId="4116D3A2" w14:textId="77777777" w:rsidR="00E64BCF" w:rsidRPr="004E7D2E" w:rsidRDefault="00E64BCF" w:rsidP="00E64BCF">
            <w:pPr>
              <w:rPr>
                <w:b/>
                <w:bCs/>
              </w:rPr>
            </w:pPr>
            <w:r w:rsidRPr="004E7D2E">
              <w:rPr>
                <w:b/>
                <w:bCs/>
              </w:rPr>
              <w:t>Weighting</w:t>
            </w:r>
          </w:p>
        </w:tc>
      </w:tr>
      <w:tr w:rsidR="00E64BCF" w14:paraId="72777231" w14:textId="77777777" w:rsidTr="00EB39D8">
        <w:trPr>
          <w:tblHeader/>
        </w:trPr>
        <w:tc>
          <w:tcPr>
            <w:tcW w:w="1985" w:type="dxa"/>
          </w:tcPr>
          <w:p w14:paraId="5D755332" w14:textId="77777777" w:rsidR="00E64BCF" w:rsidRPr="00CA34FD" w:rsidRDefault="00E64BCF" w:rsidP="00E64BCF">
            <w:pPr>
              <w:cnfStyle w:val="100000000000" w:firstRow="1" w:lastRow="0" w:firstColumn="0" w:lastColumn="0" w:oddVBand="0" w:evenVBand="0" w:oddHBand="0" w:evenHBand="0" w:firstRowFirstColumn="0" w:firstRowLastColumn="0" w:lastRowFirstColumn="0" w:lastRowLastColumn="0"/>
              <w:rPr>
                <w:sz w:val="18"/>
                <w:szCs w:val="20"/>
              </w:rPr>
            </w:pPr>
            <w:r w:rsidRPr="004E7D2E">
              <w:rPr>
                <w:szCs w:val="20"/>
              </w:rPr>
              <w:t>Effectiveness</w:t>
            </w:r>
          </w:p>
        </w:tc>
        <w:tc>
          <w:tcPr>
            <w:tcW w:w="5812" w:type="dxa"/>
          </w:tcPr>
          <w:p w14:paraId="18F42148" w14:textId="113519BB" w:rsidR="00B47E46" w:rsidRDefault="00B47E46" w:rsidP="00B47E46">
            <w:pPr>
              <w:cnfStyle w:val="100000000000" w:firstRow="1" w:lastRow="0" w:firstColumn="0" w:lastColumn="0" w:oddVBand="0" w:evenVBand="0" w:oddHBand="0" w:evenHBand="0" w:firstRowFirstColumn="0" w:firstRowLastColumn="0" w:lastRowFirstColumn="0" w:lastRowLastColumn="0"/>
              <w:rPr>
                <w:szCs w:val="20"/>
              </w:rPr>
            </w:pPr>
            <w:r w:rsidRPr="002B7444">
              <w:rPr>
                <w:szCs w:val="20"/>
              </w:rPr>
              <w:t>The extent to which the option supports the overarching objectives of the Regulations and avoids unintended negative consequences. Th</w:t>
            </w:r>
            <w:r w:rsidR="00083E48">
              <w:rPr>
                <w:szCs w:val="20"/>
              </w:rPr>
              <w:t>is</w:t>
            </w:r>
            <w:r w:rsidRPr="002B7444">
              <w:rPr>
                <w:szCs w:val="20"/>
              </w:rPr>
              <w:t xml:space="preserve"> criterion considers the impacts each fee option would have on the broader regulation of the private security industry, as well as the possible impact that each option may have on industry compliance with the Regulations.</w:t>
            </w:r>
          </w:p>
          <w:p w14:paraId="6239A2CB" w14:textId="21FC9900" w:rsidR="00E64BCF" w:rsidRPr="002B7444" w:rsidRDefault="00E64BCF" w:rsidP="00E64BCF">
            <w:pPr>
              <w:cnfStyle w:val="100000000000" w:firstRow="1" w:lastRow="0" w:firstColumn="0" w:lastColumn="0" w:oddVBand="0" w:evenVBand="0" w:oddHBand="0" w:evenHBand="0" w:firstRowFirstColumn="0" w:firstRowLastColumn="0" w:lastRowFirstColumn="0" w:lastRowLastColumn="0"/>
              <w:rPr>
                <w:b/>
                <w:bCs/>
                <w:szCs w:val="20"/>
              </w:rPr>
            </w:pPr>
            <w:r w:rsidRPr="002B7444">
              <w:rPr>
                <w:b/>
                <w:bCs/>
                <w:szCs w:val="20"/>
              </w:rPr>
              <w:t xml:space="preserve">This criterion is based on Pricing Principles 1 </w:t>
            </w:r>
            <w:r w:rsidR="008D5CFF">
              <w:rPr>
                <w:b/>
                <w:bCs/>
                <w:szCs w:val="20"/>
              </w:rPr>
              <w:t xml:space="preserve">(agencies should aim to recover the full costs of service provision) </w:t>
            </w:r>
            <w:r w:rsidRPr="002B7444">
              <w:rPr>
                <w:b/>
                <w:bCs/>
                <w:szCs w:val="20"/>
              </w:rPr>
              <w:t>and 8</w:t>
            </w:r>
            <w:r w:rsidR="008D5CFF">
              <w:rPr>
                <w:b/>
                <w:bCs/>
                <w:szCs w:val="20"/>
              </w:rPr>
              <w:t xml:space="preserve"> (pricing should support positive behaviours)</w:t>
            </w:r>
            <w:r w:rsidRPr="002B7444">
              <w:rPr>
                <w:b/>
                <w:bCs/>
                <w:szCs w:val="20"/>
              </w:rPr>
              <w:t xml:space="preserve">. </w:t>
            </w:r>
          </w:p>
        </w:tc>
        <w:tc>
          <w:tcPr>
            <w:tcW w:w="1229" w:type="dxa"/>
          </w:tcPr>
          <w:p w14:paraId="5827305E" w14:textId="77777777" w:rsidR="00E64BCF" w:rsidRPr="004E7D2E" w:rsidRDefault="00E64BCF" w:rsidP="00E64BCF">
            <w:pPr>
              <w:cnfStyle w:val="100000000000" w:firstRow="1" w:lastRow="0" w:firstColumn="0" w:lastColumn="0" w:oddVBand="0" w:evenVBand="0" w:oddHBand="0" w:evenHBand="0" w:firstRowFirstColumn="0" w:firstRowLastColumn="0" w:lastRowFirstColumn="0" w:lastRowLastColumn="0"/>
            </w:pPr>
            <w:r w:rsidRPr="004E7D2E">
              <w:t>40 per cent</w:t>
            </w:r>
          </w:p>
        </w:tc>
      </w:tr>
      <w:tr w:rsidR="00E64BCF" w14:paraId="25F7DA96" w14:textId="77777777" w:rsidTr="00EB39D8">
        <w:trPr>
          <w:tblHeader/>
        </w:trPr>
        <w:tc>
          <w:tcPr>
            <w:tcW w:w="1985" w:type="dxa"/>
          </w:tcPr>
          <w:p w14:paraId="6B64BF27" w14:textId="77777777" w:rsidR="00E64BCF" w:rsidRPr="00CA34FD" w:rsidRDefault="00E64BCF" w:rsidP="00E64BCF">
            <w:pPr>
              <w:cnfStyle w:val="100000000000" w:firstRow="1" w:lastRow="0" w:firstColumn="0" w:lastColumn="0" w:oddVBand="0" w:evenVBand="0" w:oddHBand="0" w:evenHBand="0" w:firstRowFirstColumn="0" w:firstRowLastColumn="0" w:lastRowFirstColumn="0" w:lastRowLastColumn="0"/>
              <w:rPr>
                <w:sz w:val="18"/>
                <w:szCs w:val="20"/>
              </w:rPr>
            </w:pPr>
            <w:r w:rsidRPr="004E7D2E">
              <w:rPr>
                <w:szCs w:val="20"/>
              </w:rPr>
              <w:t>Equity</w:t>
            </w:r>
          </w:p>
        </w:tc>
        <w:tc>
          <w:tcPr>
            <w:tcW w:w="5812" w:type="dxa"/>
          </w:tcPr>
          <w:p w14:paraId="13063707" w14:textId="77777777" w:rsidR="00E64BCF" w:rsidRPr="00590623" w:rsidRDefault="00E64BCF" w:rsidP="00E64BCF">
            <w:pPr>
              <w:cnfStyle w:val="100000000000" w:firstRow="1" w:lastRow="0" w:firstColumn="0" w:lastColumn="0" w:oddVBand="0" w:evenVBand="0" w:oddHBand="0" w:evenHBand="0" w:firstRowFirstColumn="0" w:firstRowLastColumn="0" w:lastRowFirstColumn="0" w:lastRowLastColumn="0"/>
              <w:rPr>
                <w:szCs w:val="20"/>
              </w:rPr>
            </w:pPr>
            <w:r w:rsidRPr="00590623">
              <w:rPr>
                <w:szCs w:val="20"/>
              </w:rPr>
              <w:t>The degree to which an option represents an equitable fee structure and fee values. This criterion implicitly aims to avoid cross-subsidisation as far as practicable by attributing the fees and charges directly to those who trigger the need for the service. This criterion also reflects the objective of setting fees at levels that do not limit accessibility or capacity to pay.</w:t>
            </w:r>
          </w:p>
          <w:p w14:paraId="7079C4C2" w14:textId="65632430" w:rsidR="00E64BCF" w:rsidRDefault="00E64BCF" w:rsidP="00E64BCF">
            <w:pPr>
              <w:cnfStyle w:val="100000000000" w:firstRow="1" w:lastRow="0" w:firstColumn="0" w:lastColumn="0" w:oddVBand="0" w:evenVBand="0" w:oddHBand="0" w:evenHBand="0" w:firstRowFirstColumn="0" w:firstRowLastColumn="0" w:lastRowFirstColumn="0" w:lastRowLastColumn="0"/>
              <w:rPr>
                <w:szCs w:val="20"/>
              </w:rPr>
            </w:pPr>
            <w:r w:rsidRPr="00590623">
              <w:rPr>
                <w:b/>
                <w:bCs/>
                <w:szCs w:val="20"/>
              </w:rPr>
              <w:t>This criterion is based on Pricing Principles 2</w:t>
            </w:r>
            <w:r w:rsidR="008D5CFF">
              <w:rPr>
                <w:b/>
                <w:bCs/>
                <w:szCs w:val="20"/>
              </w:rPr>
              <w:t xml:space="preserve"> (cost of service provision </w:t>
            </w:r>
            <w:r w:rsidR="00DC31BB">
              <w:rPr>
                <w:b/>
                <w:bCs/>
                <w:szCs w:val="20"/>
              </w:rPr>
              <w:t>should be borne by those who benefit from the service)</w:t>
            </w:r>
            <w:r w:rsidRPr="00590623">
              <w:rPr>
                <w:b/>
                <w:bCs/>
                <w:szCs w:val="20"/>
              </w:rPr>
              <w:t xml:space="preserve"> and 5</w:t>
            </w:r>
            <w:r w:rsidR="00DC31BB">
              <w:rPr>
                <w:b/>
                <w:bCs/>
                <w:szCs w:val="20"/>
              </w:rPr>
              <w:t xml:space="preserve"> (pricing should not limit access to those with a lower ability to pay)</w:t>
            </w:r>
            <w:r>
              <w:rPr>
                <w:szCs w:val="20"/>
              </w:rPr>
              <w:t xml:space="preserve">. </w:t>
            </w:r>
          </w:p>
        </w:tc>
        <w:tc>
          <w:tcPr>
            <w:tcW w:w="1229" w:type="dxa"/>
          </w:tcPr>
          <w:p w14:paraId="0A7E2FAE" w14:textId="77777777" w:rsidR="00E64BCF" w:rsidRPr="004E7D2E" w:rsidRDefault="00E64BCF" w:rsidP="00E64BCF">
            <w:pPr>
              <w:cnfStyle w:val="100000000000" w:firstRow="1" w:lastRow="0" w:firstColumn="0" w:lastColumn="0" w:oddVBand="0" w:evenVBand="0" w:oddHBand="0" w:evenHBand="0" w:firstRowFirstColumn="0" w:firstRowLastColumn="0" w:lastRowFirstColumn="0" w:lastRowLastColumn="0"/>
            </w:pPr>
            <w:r w:rsidRPr="004E7D2E">
              <w:t>40 per cent</w:t>
            </w:r>
          </w:p>
        </w:tc>
      </w:tr>
      <w:tr w:rsidR="00E64BCF" w14:paraId="1218DFD3" w14:textId="77777777" w:rsidTr="00EB39D8">
        <w:trPr>
          <w:tblHeader/>
        </w:trPr>
        <w:tc>
          <w:tcPr>
            <w:tcW w:w="1985" w:type="dxa"/>
          </w:tcPr>
          <w:p w14:paraId="3089850F" w14:textId="77777777" w:rsidR="00E64BCF" w:rsidRPr="00CA34FD" w:rsidRDefault="00E64BCF" w:rsidP="00E64BCF">
            <w:pPr>
              <w:cnfStyle w:val="100000000000" w:firstRow="1" w:lastRow="0" w:firstColumn="0" w:lastColumn="0" w:oddVBand="0" w:evenVBand="0" w:oddHBand="0" w:evenHBand="0" w:firstRowFirstColumn="0" w:firstRowLastColumn="0" w:lastRowFirstColumn="0" w:lastRowLastColumn="0"/>
              <w:rPr>
                <w:sz w:val="18"/>
                <w:szCs w:val="20"/>
              </w:rPr>
            </w:pPr>
            <w:r w:rsidRPr="004E7D2E">
              <w:rPr>
                <w:szCs w:val="20"/>
              </w:rPr>
              <w:t>Simplicity</w:t>
            </w:r>
          </w:p>
        </w:tc>
        <w:tc>
          <w:tcPr>
            <w:tcW w:w="5812" w:type="dxa"/>
          </w:tcPr>
          <w:p w14:paraId="26C25EC0" w14:textId="397ECB94" w:rsidR="00E64BCF" w:rsidRPr="0089707B" w:rsidRDefault="00E64BCF" w:rsidP="00E64BCF">
            <w:pPr>
              <w:cnfStyle w:val="100000000000" w:firstRow="1" w:lastRow="0" w:firstColumn="0" w:lastColumn="0" w:oddVBand="0" w:evenVBand="0" w:oddHBand="0" w:evenHBand="0" w:firstRowFirstColumn="0" w:firstRowLastColumn="0" w:lastRowFirstColumn="0" w:lastRowLastColumn="0"/>
              <w:rPr>
                <w:szCs w:val="20"/>
              </w:rPr>
            </w:pPr>
            <w:r w:rsidRPr="0089707B">
              <w:rPr>
                <w:szCs w:val="20"/>
              </w:rPr>
              <w:t>The degree to which the option reduces complexity for the industry and results in a fee structure that is easy to understand. This criterion also considers the costs to Victoria Police for implementing the identified options and the ongoing reduction in complexity of administration.</w:t>
            </w:r>
          </w:p>
          <w:p w14:paraId="09B9BE79" w14:textId="4F2D83E1" w:rsidR="00E64BCF" w:rsidRPr="0089707B" w:rsidRDefault="00E64BCF" w:rsidP="00E64BCF">
            <w:pPr>
              <w:cnfStyle w:val="100000000000" w:firstRow="1" w:lastRow="0" w:firstColumn="0" w:lastColumn="0" w:oddVBand="0" w:evenVBand="0" w:oddHBand="0" w:evenHBand="0" w:firstRowFirstColumn="0" w:firstRowLastColumn="0" w:lastRowFirstColumn="0" w:lastRowLastColumn="0"/>
              <w:rPr>
                <w:b/>
                <w:bCs/>
                <w:szCs w:val="20"/>
              </w:rPr>
            </w:pPr>
            <w:r w:rsidRPr="0089707B">
              <w:rPr>
                <w:b/>
                <w:bCs/>
                <w:szCs w:val="20"/>
              </w:rPr>
              <w:t>This criterion is based on Pricing Principle 11</w:t>
            </w:r>
            <w:r w:rsidR="00DC31BB">
              <w:rPr>
                <w:b/>
                <w:bCs/>
                <w:szCs w:val="20"/>
              </w:rPr>
              <w:t xml:space="preserve"> (pricing structures should be easy to understand and administer)</w:t>
            </w:r>
            <w:r>
              <w:rPr>
                <w:b/>
                <w:bCs/>
                <w:szCs w:val="20"/>
              </w:rPr>
              <w:t xml:space="preserve">. </w:t>
            </w:r>
          </w:p>
        </w:tc>
        <w:tc>
          <w:tcPr>
            <w:tcW w:w="1229" w:type="dxa"/>
          </w:tcPr>
          <w:p w14:paraId="35CCEFD0" w14:textId="77777777" w:rsidR="00E64BCF" w:rsidRPr="004E7D2E" w:rsidRDefault="00E64BCF">
            <w:pPr>
              <w:cnfStyle w:val="100000000000" w:firstRow="1" w:lastRow="0" w:firstColumn="0" w:lastColumn="0" w:oddVBand="0" w:evenVBand="0" w:oddHBand="0" w:evenHBand="0" w:firstRowFirstColumn="0" w:firstRowLastColumn="0" w:lastRowFirstColumn="0" w:lastRowLastColumn="0"/>
            </w:pPr>
            <w:r w:rsidRPr="004E7D2E">
              <w:t>20 per cent</w:t>
            </w:r>
          </w:p>
        </w:tc>
      </w:tr>
      <w:tr w:rsidR="00E64BCF" w14:paraId="5E41B551" w14:textId="77777777" w:rsidTr="00EB39D8">
        <w:trPr>
          <w:tblHeader/>
        </w:trPr>
        <w:tc>
          <w:tcPr>
            <w:tcW w:w="1985" w:type="dxa"/>
          </w:tcPr>
          <w:p w14:paraId="5F4F4C49" w14:textId="77777777" w:rsidR="00E64BCF" w:rsidRPr="004E7D2E" w:rsidRDefault="00E64BCF">
            <w:pPr>
              <w:cnfStyle w:val="100000000000" w:firstRow="1" w:lastRow="0" w:firstColumn="0" w:lastColumn="0" w:oddVBand="0" w:evenVBand="0" w:oddHBand="0" w:evenHBand="0" w:firstRowFirstColumn="0" w:firstRowLastColumn="0" w:lastRowFirstColumn="0" w:lastRowLastColumn="0"/>
              <w:rPr>
                <w:b/>
                <w:bCs/>
              </w:rPr>
            </w:pPr>
            <w:r w:rsidRPr="004E7D2E">
              <w:rPr>
                <w:b/>
                <w:bCs/>
              </w:rPr>
              <w:t>Total</w:t>
            </w:r>
          </w:p>
        </w:tc>
        <w:tc>
          <w:tcPr>
            <w:tcW w:w="5812" w:type="dxa"/>
          </w:tcPr>
          <w:p w14:paraId="002E73ED" w14:textId="77777777" w:rsidR="00E64BCF" w:rsidRPr="004E7D2E" w:rsidRDefault="00E64BCF">
            <w:pPr>
              <w:cnfStyle w:val="100000000000" w:firstRow="1" w:lastRow="0" w:firstColumn="0" w:lastColumn="0" w:oddVBand="0" w:evenVBand="0" w:oddHBand="0" w:evenHBand="0" w:firstRowFirstColumn="0" w:firstRowLastColumn="0" w:lastRowFirstColumn="0" w:lastRowLastColumn="0"/>
              <w:rPr>
                <w:b/>
                <w:bCs/>
              </w:rPr>
            </w:pPr>
          </w:p>
        </w:tc>
        <w:tc>
          <w:tcPr>
            <w:tcW w:w="1229" w:type="dxa"/>
          </w:tcPr>
          <w:p w14:paraId="1121F1B0" w14:textId="5BF72D05" w:rsidR="00E64BCF" w:rsidRPr="004E7D2E" w:rsidRDefault="00E64BCF">
            <w:pPr>
              <w:cnfStyle w:val="100000000000" w:firstRow="1" w:lastRow="0" w:firstColumn="0" w:lastColumn="0" w:oddVBand="0" w:evenVBand="0" w:oddHBand="0" w:evenHBand="0" w:firstRowFirstColumn="0" w:firstRowLastColumn="0" w:lastRowFirstColumn="0" w:lastRowLastColumn="0"/>
              <w:rPr>
                <w:b/>
                <w:bCs/>
              </w:rPr>
            </w:pPr>
            <w:r w:rsidRPr="004E7D2E">
              <w:rPr>
                <w:b/>
                <w:bCs/>
              </w:rPr>
              <w:t>100</w:t>
            </w:r>
            <w:r w:rsidR="00C24F0D" w:rsidRPr="004E7D2E">
              <w:rPr>
                <w:b/>
                <w:bCs/>
              </w:rPr>
              <w:t xml:space="preserve"> per cent</w:t>
            </w:r>
          </w:p>
        </w:tc>
      </w:tr>
    </w:tbl>
    <w:p w14:paraId="793F77D6" w14:textId="77777777" w:rsidR="009D133E" w:rsidRDefault="00BD21D3" w:rsidP="001A35A4">
      <w:pPr>
        <w:spacing w:before="120"/>
      </w:pPr>
      <w:r w:rsidRPr="001A35A4">
        <w:t xml:space="preserve">For </w:t>
      </w:r>
      <w:r w:rsidR="004C28A8" w:rsidRPr="001A35A4">
        <w:t xml:space="preserve">the </w:t>
      </w:r>
      <w:r w:rsidR="003E0E74" w:rsidRPr="001A35A4">
        <w:t xml:space="preserve">fee </w:t>
      </w:r>
      <w:r w:rsidR="004C28A8" w:rsidRPr="001A35A4">
        <w:t>options, t</w:t>
      </w:r>
      <w:r w:rsidR="003E0E74" w:rsidRPr="001A35A4">
        <w:t xml:space="preserve">he MCA </w:t>
      </w:r>
      <w:r w:rsidRPr="001A35A4">
        <w:t>found</w:t>
      </w:r>
      <w:r w:rsidR="003E0E74" w:rsidRPr="001A35A4">
        <w:t xml:space="preserve"> that Option 2 is the preferr</w:t>
      </w:r>
      <w:r w:rsidR="006D3FD4" w:rsidRPr="001A35A4">
        <w:t xml:space="preserve">ed fee option. </w:t>
      </w:r>
      <w:r w:rsidR="00A01ACA" w:rsidRPr="001A35A4">
        <w:t xml:space="preserve">While both fee options score highly for their capacity to fully recover costs (depending on the fee values set) and minimise negative externalities, </w:t>
      </w:r>
      <w:r w:rsidR="005573F0" w:rsidRPr="001A35A4">
        <w:t xml:space="preserve">Option 2 allows for differential pricing based on the specific number of </w:t>
      </w:r>
      <w:r w:rsidR="00D23C4E" w:rsidRPr="001A35A4">
        <w:t>activities</w:t>
      </w:r>
      <w:r w:rsidR="005573F0" w:rsidRPr="001A35A4">
        <w:t xml:space="preserve"> a provider wishes to </w:t>
      </w:r>
      <w:r w:rsidR="00D23C4E" w:rsidRPr="001A35A4">
        <w:t>be licenced for and therefore deliver as a service in the market</w:t>
      </w:r>
      <w:r w:rsidR="00A54A85" w:rsidRPr="001A35A4">
        <w:t xml:space="preserve">. Due to this variable structure, </w:t>
      </w:r>
      <w:r w:rsidR="0023169E" w:rsidRPr="001A35A4">
        <w:t xml:space="preserve">Option 2 scores higher than Option 1 for equity due to lower levels of cross-subsidisation under Option 2. </w:t>
      </w:r>
      <w:r w:rsidR="0034721A" w:rsidRPr="001A35A4">
        <w:t xml:space="preserve">At the same time, the additional complexity introduced in the fee structure is minimal </w:t>
      </w:r>
      <w:r w:rsidR="009303E5" w:rsidRPr="001A35A4">
        <w:t>(comparing seven fee types to one) and substantial</w:t>
      </w:r>
      <w:r w:rsidR="007B492F" w:rsidRPr="001A35A4">
        <w:t xml:space="preserve"> administrative saving </w:t>
      </w:r>
      <w:r w:rsidR="00A652BB" w:rsidRPr="001A35A4">
        <w:t xml:space="preserve">is not expected </w:t>
      </w:r>
      <w:r w:rsidR="007B492F" w:rsidRPr="001A35A4">
        <w:t>under the consolidated structure. Consequently,</w:t>
      </w:r>
      <w:r w:rsidR="001F3EB6" w:rsidRPr="001A35A4" w:rsidDel="007B492F">
        <w:t xml:space="preserve"> </w:t>
      </w:r>
      <w:r w:rsidR="004F549D" w:rsidRPr="001A35A4">
        <w:t>Option 2</w:t>
      </w:r>
      <w:r w:rsidR="001F3EB6" w:rsidRPr="001A35A4">
        <w:t xml:space="preserve"> best balances</w:t>
      </w:r>
      <w:r w:rsidR="00141C3E" w:rsidRPr="001A35A4">
        <w:t xml:space="preserve"> the </w:t>
      </w:r>
      <w:r w:rsidR="00FF131C" w:rsidRPr="001A35A4">
        <w:t xml:space="preserve">objectives of </w:t>
      </w:r>
      <w:r w:rsidR="00CC35A6" w:rsidRPr="001A35A4">
        <w:t>government to recover the costs of administering the regulatory scheme</w:t>
      </w:r>
      <w:r w:rsidR="00FF131C" w:rsidRPr="001A35A4">
        <w:t xml:space="preserve"> with the need to ensure </w:t>
      </w:r>
      <w:r w:rsidR="00CC35A6" w:rsidRPr="001A35A4">
        <w:t>equitable fee structures</w:t>
      </w:r>
      <w:r w:rsidR="00FF131C" w:rsidRPr="001A35A4">
        <w:t xml:space="preserve"> </w:t>
      </w:r>
      <w:r w:rsidR="00CC35A6" w:rsidRPr="001A35A4">
        <w:t>that promote access to participation within the industry</w:t>
      </w:r>
      <w:r w:rsidR="00CC35A6">
        <w:t>.</w:t>
      </w:r>
      <w:r w:rsidR="00FF131C">
        <w:t xml:space="preserve"> </w:t>
      </w:r>
      <w:r w:rsidR="00445A81">
        <w:fldChar w:fldCharType="begin"/>
      </w:r>
      <w:r w:rsidR="00445A81">
        <w:instrText xml:space="preserve"> REF _Ref174005818 \h </w:instrText>
      </w:r>
      <w:r w:rsidR="00445A81">
        <w:fldChar w:fldCharType="separate"/>
      </w:r>
    </w:p>
    <w:p w14:paraId="1F2D84EB" w14:textId="000B0595" w:rsidR="00C8573F" w:rsidRDefault="009D133E" w:rsidP="001A35A4">
      <w:pPr>
        <w:spacing w:before="120"/>
      </w:pPr>
      <w:r>
        <w:t xml:space="preserve">Table </w:t>
      </w:r>
      <w:r>
        <w:rPr>
          <w:noProof/>
        </w:rPr>
        <w:t>iv</w:t>
      </w:r>
      <w:r w:rsidR="00445A81">
        <w:fldChar w:fldCharType="end"/>
      </w:r>
      <w:r w:rsidR="00FF131C">
        <w:t xml:space="preserve"> </w:t>
      </w:r>
      <w:r w:rsidR="00142923">
        <w:t xml:space="preserve">summaries the MCA scores for the two options. </w:t>
      </w:r>
      <w:bookmarkStart w:id="28" w:name="_Ref174005818"/>
    </w:p>
    <w:p w14:paraId="351DC85B" w14:textId="55B8DCFF" w:rsidR="00142923" w:rsidRDefault="00142923" w:rsidP="00142923">
      <w:pPr>
        <w:pStyle w:val="Caption"/>
      </w:pPr>
      <w:r>
        <w:lastRenderedPageBreak/>
        <w:t xml:space="preserve">Table </w:t>
      </w:r>
      <w:r>
        <w:fldChar w:fldCharType="begin"/>
      </w:r>
      <w:r>
        <w:instrText xml:space="preserve"> SEQ Executive_Summary_Table \* roman </w:instrText>
      </w:r>
      <w:r>
        <w:fldChar w:fldCharType="separate"/>
      </w:r>
      <w:r w:rsidR="009D133E">
        <w:rPr>
          <w:noProof/>
        </w:rPr>
        <w:t>iv</w:t>
      </w:r>
      <w:r>
        <w:fldChar w:fldCharType="end"/>
      </w:r>
      <w:bookmarkEnd w:id="28"/>
      <w:r>
        <w:t xml:space="preserve">: </w:t>
      </w:r>
      <w:r w:rsidR="007B492F">
        <w:t>MCA results for analysis of fee options</w:t>
      </w:r>
    </w:p>
    <w:tbl>
      <w:tblPr>
        <w:tblStyle w:val="Deloittetable"/>
        <w:tblW w:w="5000" w:type="pct"/>
        <w:tblLook w:val="04A0" w:firstRow="1" w:lastRow="0" w:firstColumn="1" w:lastColumn="0" w:noHBand="0" w:noVBand="1"/>
      </w:tblPr>
      <w:tblGrid>
        <w:gridCol w:w="1900"/>
        <w:gridCol w:w="2220"/>
        <w:gridCol w:w="2194"/>
        <w:gridCol w:w="1554"/>
        <w:gridCol w:w="1770"/>
      </w:tblGrid>
      <w:tr w:rsidR="00142923" w14:paraId="1654F1B9" w14:textId="77777777" w:rsidTr="00477450">
        <w:trPr>
          <w:cnfStyle w:val="100000000000" w:firstRow="1" w:lastRow="0" w:firstColumn="0" w:lastColumn="0" w:oddVBand="0" w:evenVBand="0" w:oddHBand="0" w:evenHBand="0" w:firstRowFirstColumn="0" w:firstRowLastColumn="0" w:lastRowFirstColumn="0" w:lastRowLastColumn="0"/>
          <w:tblHeader/>
        </w:trPr>
        <w:tc>
          <w:tcPr>
            <w:tcW w:w="986" w:type="pct"/>
          </w:tcPr>
          <w:p w14:paraId="627C63E3" w14:textId="77777777" w:rsidR="00142923" w:rsidRPr="004B053C" w:rsidRDefault="00142923" w:rsidP="00142923">
            <w:pPr>
              <w:rPr>
                <w:b/>
                <w:bCs/>
              </w:rPr>
            </w:pPr>
            <w:r>
              <w:rPr>
                <w:b/>
                <w:bCs/>
              </w:rPr>
              <w:t>Criterion</w:t>
            </w:r>
          </w:p>
        </w:tc>
        <w:tc>
          <w:tcPr>
            <w:tcW w:w="1152" w:type="pct"/>
          </w:tcPr>
          <w:p w14:paraId="5910DA9F" w14:textId="77777777" w:rsidR="00142923" w:rsidRPr="004B053C" w:rsidRDefault="00142923" w:rsidP="002607FD">
            <w:pPr>
              <w:jc w:val="center"/>
              <w:rPr>
                <w:b/>
                <w:bCs/>
              </w:rPr>
            </w:pPr>
            <w:r>
              <w:rPr>
                <w:b/>
                <w:bCs/>
              </w:rPr>
              <w:t>Weight</w:t>
            </w:r>
          </w:p>
        </w:tc>
        <w:tc>
          <w:tcPr>
            <w:tcW w:w="1138" w:type="pct"/>
          </w:tcPr>
          <w:p w14:paraId="769FF9D3" w14:textId="61DC7FCE" w:rsidR="00142923" w:rsidRPr="004B053C" w:rsidRDefault="00FE028F" w:rsidP="002607FD">
            <w:pPr>
              <w:jc w:val="center"/>
              <w:rPr>
                <w:b/>
                <w:bCs/>
              </w:rPr>
            </w:pPr>
            <w:r>
              <w:rPr>
                <w:b/>
                <w:bCs/>
              </w:rPr>
              <w:t>Reference Case</w:t>
            </w:r>
          </w:p>
        </w:tc>
        <w:tc>
          <w:tcPr>
            <w:tcW w:w="806" w:type="pct"/>
          </w:tcPr>
          <w:p w14:paraId="723FFB5A" w14:textId="77777777" w:rsidR="00142923" w:rsidRDefault="00142923" w:rsidP="002607FD">
            <w:pPr>
              <w:jc w:val="center"/>
              <w:rPr>
                <w:b/>
                <w:bCs/>
              </w:rPr>
            </w:pPr>
            <w:r>
              <w:rPr>
                <w:b/>
                <w:bCs/>
              </w:rPr>
              <w:t>Option 1</w:t>
            </w:r>
          </w:p>
          <w:p w14:paraId="1B9A9486" w14:textId="7B6EE520" w:rsidR="00142923" w:rsidRPr="004B053C" w:rsidRDefault="000C45AE" w:rsidP="002607FD">
            <w:pPr>
              <w:jc w:val="center"/>
              <w:rPr>
                <w:b/>
                <w:bCs/>
              </w:rPr>
            </w:pPr>
            <w:r>
              <w:rPr>
                <w:b/>
                <w:bCs/>
              </w:rPr>
              <w:t>S</w:t>
            </w:r>
            <w:r w:rsidRPr="000C45AE">
              <w:rPr>
                <w:b/>
                <w:bCs/>
              </w:rPr>
              <w:t xml:space="preserve">ingle fee for individual and a single fee for </w:t>
            </w:r>
            <w:r>
              <w:rPr>
                <w:b/>
                <w:bCs/>
              </w:rPr>
              <w:t>business</w:t>
            </w:r>
          </w:p>
        </w:tc>
        <w:tc>
          <w:tcPr>
            <w:tcW w:w="918" w:type="pct"/>
          </w:tcPr>
          <w:p w14:paraId="144090A7" w14:textId="77777777" w:rsidR="00142923" w:rsidRDefault="00142923" w:rsidP="002607FD">
            <w:pPr>
              <w:jc w:val="center"/>
              <w:rPr>
                <w:b/>
                <w:bCs/>
              </w:rPr>
            </w:pPr>
            <w:r>
              <w:rPr>
                <w:b/>
                <w:bCs/>
              </w:rPr>
              <w:t>Option 2</w:t>
            </w:r>
          </w:p>
          <w:p w14:paraId="0BFA2472" w14:textId="34E93CEE" w:rsidR="00142923" w:rsidRPr="004B053C" w:rsidRDefault="000C45AE" w:rsidP="002607FD">
            <w:pPr>
              <w:jc w:val="center"/>
              <w:rPr>
                <w:b/>
                <w:bCs/>
              </w:rPr>
            </w:pPr>
            <w:r>
              <w:rPr>
                <w:b/>
                <w:bCs/>
              </w:rPr>
              <w:t>Variable fees based on application complexity</w:t>
            </w:r>
          </w:p>
        </w:tc>
      </w:tr>
      <w:tr w:rsidR="00142923" w14:paraId="68928573" w14:textId="77777777">
        <w:tc>
          <w:tcPr>
            <w:tcW w:w="986" w:type="pct"/>
          </w:tcPr>
          <w:p w14:paraId="53CA048C" w14:textId="77777777" w:rsidR="00142923" w:rsidRDefault="00142923" w:rsidP="00142923">
            <w:r>
              <w:t>Effectiveness</w:t>
            </w:r>
          </w:p>
        </w:tc>
        <w:tc>
          <w:tcPr>
            <w:tcW w:w="1152" w:type="pct"/>
          </w:tcPr>
          <w:p w14:paraId="081D4D7F" w14:textId="77777777" w:rsidR="00142923" w:rsidRDefault="00142923" w:rsidP="002607FD">
            <w:pPr>
              <w:jc w:val="center"/>
            </w:pPr>
            <w:r>
              <w:t>40%</w:t>
            </w:r>
          </w:p>
        </w:tc>
        <w:tc>
          <w:tcPr>
            <w:tcW w:w="1138" w:type="pct"/>
          </w:tcPr>
          <w:p w14:paraId="6732C46C" w14:textId="77777777" w:rsidR="00142923" w:rsidRDefault="00142923" w:rsidP="002607FD">
            <w:pPr>
              <w:jc w:val="center"/>
            </w:pPr>
            <w:r>
              <w:t>0</w:t>
            </w:r>
          </w:p>
        </w:tc>
        <w:tc>
          <w:tcPr>
            <w:tcW w:w="806" w:type="pct"/>
          </w:tcPr>
          <w:p w14:paraId="21A6416C" w14:textId="77777777" w:rsidR="00142923" w:rsidRDefault="00142923" w:rsidP="002607FD">
            <w:pPr>
              <w:jc w:val="center"/>
            </w:pPr>
            <w:r>
              <w:t>10</w:t>
            </w:r>
          </w:p>
        </w:tc>
        <w:tc>
          <w:tcPr>
            <w:tcW w:w="918" w:type="pct"/>
          </w:tcPr>
          <w:p w14:paraId="02288C14" w14:textId="77777777" w:rsidR="00142923" w:rsidRDefault="00142923" w:rsidP="002607FD">
            <w:pPr>
              <w:jc w:val="center"/>
            </w:pPr>
            <w:r>
              <w:t>10</w:t>
            </w:r>
          </w:p>
        </w:tc>
      </w:tr>
      <w:tr w:rsidR="00142923" w14:paraId="49EEF5D2" w14:textId="77777777">
        <w:tc>
          <w:tcPr>
            <w:tcW w:w="986" w:type="pct"/>
          </w:tcPr>
          <w:p w14:paraId="581670BC" w14:textId="77777777" w:rsidR="00142923" w:rsidRDefault="00142923" w:rsidP="00142923">
            <w:r>
              <w:t>Equity</w:t>
            </w:r>
          </w:p>
        </w:tc>
        <w:tc>
          <w:tcPr>
            <w:tcW w:w="1152" w:type="pct"/>
          </w:tcPr>
          <w:p w14:paraId="6FEFB29D" w14:textId="77777777" w:rsidR="00142923" w:rsidRDefault="00142923" w:rsidP="002607FD">
            <w:pPr>
              <w:jc w:val="center"/>
            </w:pPr>
            <w:r>
              <w:t>40%</w:t>
            </w:r>
          </w:p>
        </w:tc>
        <w:tc>
          <w:tcPr>
            <w:tcW w:w="1138" w:type="pct"/>
          </w:tcPr>
          <w:p w14:paraId="59A41477" w14:textId="77777777" w:rsidR="00142923" w:rsidRDefault="00142923" w:rsidP="002607FD">
            <w:pPr>
              <w:jc w:val="center"/>
            </w:pPr>
            <w:r>
              <w:t>0</w:t>
            </w:r>
          </w:p>
        </w:tc>
        <w:tc>
          <w:tcPr>
            <w:tcW w:w="806" w:type="pct"/>
          </w:tcPr>
          <w:p w14:paraId="06B1F492" w14:textId="77777777" w:rsidR="00142923" w:rsidRDefault="00142923" w:rsidP="002607FD">
            <w:pPr>
              <w:jc w:val="center"/>
            </w:pPr>
            <w:r>
              <w:t>4</w:t>
            </w:r>
          </w:p>
        </w:tc>
        <w:tc>
          <w:tcPr>
            <w:tcW w:w="918" w:type="pct"/>
          </w:tcPr>
          <w:p w14:paraId="7400489F" w14:textId="77777777" w:rsidR="00142923" w:rsidRDefault="00142923" w:rsidP="002607FD">
            <w:pPr>
              <w:jc w:val="center"/>
            </w:pPr>
            <w:r>
              <w:t>6</w:t>
            </w:r>
          </w:p>
        </w:tc>
      </w:tr>
      <w:tr w:rsidR="00142923" w14:paraId="27F6099C" w14:textId="77777777">
        <w:tc>
          <w:tcPr>
            <w:tcW w:w="986" w:type="pct"/>
          </w:tcPr>
          <w:p w14:paraId="6F594F14" w14:textId="77777777" w:rsidR="00142923" w:rsidRDefault="00142923">
            <w:r>
              <w:t>Simplicity</w:t>
            </w:r>
          </w:p>
        </w:tc>
        <w:tc>
          <w:tcPr>
            <w:tcW w:w="1152" w:type="pct"/>
          </w:tcPr>
          <w:p w14:paraId="503BB1A5" w14:textId="77777777" w:rsidR="00142923" w:rsidRDefault="00142923" w:rsidP="002607FD">
            <w:pPr>
              <w:jc w:val="center"/>
            </w:pPr>
            <w:r>
              <w:t>20%</w:t>
            </w:r>
          </w:p>
        </w:tc>
        <w:tc>
          <w:tcPr>
            <w:tcW w:w="1138" w:type="pct"/>
          </w:tcPr>
          <w:p w14:paraId="1D1AD8B1" w14:textId="77777777" w:rsidR="00142923" w:rsidRDefault="00142923" w:rsidP="002607FD">
            <w:pPr>
              <w:jc w:val="center"/>
            </w:pPr>
            <w:r>
              <w:t>0</w:t>
            </w:r>
          </w:p>
        </w:tc>
        <w:tc>
          <w:tcPr>
            <w:tcW w:w="806" w:type="pct"/>
          </w:tcPr>
          <w:p w14:paraId="29F7B84C" w14:textId="77777777" w:rsidR="00142923" w:rsidRPr="00C56E1A" w:rsidRDefault="00142923" w:rsidP="002607FD">
            <w:pPr>
              <w:jc w:val="center"/>
            </w:pPr>
            <w:r>
              <w:t>-1</w:t>
            </w:r>
          </w:p>
        </w:tc>
        <w:tc>
          <w:tcPr>
            <w:tcW w:w="918" w:type="pct"/>
          </w:tcPr>
          <w:p w14:paraId="1F6605B7" w14:textId="77777777" w:rsidR="00142923" w:rsidRPr="00C56E1A" w:rsidRDefault="00142923" w:rsidP="002607FD">
            <w:pPr>
              <w:jc w:val="center"/>
            </w:pPr>
            <w:r>
              <w:t>-1.5</w:t>
            </w:r>
          </w:p>
        </w:tc>
      </w:tr>
      <w:tr w:rsidR="00142923" w14:paraId="7F9292FC" w14:textId="77777777">
        <w:tc>
          <w:tcPr>
            <w:tcW w:w="986" w:type="pct"/>
          </w:tcPr>
          <w:p w14:paraId="24DB6E21" w14:textId="77777777" w:rsidR="00142923" w:rsidRPr="008A7E46" w:rsidRDefault="00142923">
            <w:pPr>
              <w:rPr>
                <w:b/>
                <w:bCs/>
              </w:rPr>
            </w:pPr>
            <w:r w:rsidRPr="008A7E46">
              <w:rPr>
                <w:b/>
                <w:bCs/>
              </w:rPr>
              <w:t>Weighted score</w:t>
            </w:r>
          </w:p>
        </w:tc>
        <w:tc>
          <w:tcPr>
            <w:tcW w:w="1152" w:type="pct"/>
          </w:tcPr>
          <w:p w14:paraId="111CB445" w14:textId="77777777" w:rsidR="00142923" w:rsidRPr="008A7E46" w:rsidRDefault="00142923" w:rsidP="002607FD">
            <w:pPr>
              <w:jc w:val="center"/>
              <w:rPr>
                <w:b/>
                <w:bCs/>
              </w:rPr>
            </w:pPr>
          </w:p>
        </w:tc>
        <w:tc>
          <w:tcPr>
            <w:tcW w:w="1138" w:type="pct"/>
          </w:tcPr>
          <w:p w14:paraId="153C6B19" w14:textId="77777777" w:rsidR="00142923" w:rsidRPr="008A7E46" w:rsidRDefault="00142923" w:rsidP="002607FD">
            <w:pPr>
              <w:jc w:val="center"/>
              <w:rPr>
                <w:b/>
                <w:bCs/>
              </w:rPr>
            </w:pPr>
            <w:r>
              <w:rPr>
                <w:b/>
                <w:bCs/>
              </w:rPr>
              <w:t>0</w:t>
            </w:r>
          </w:p>
        </w:tc>
        <w:tc>
          <w:tcPr>
            <w:tcW w:w="806" w:type="pct"/>
          </w:tcPr>
          <w:p w14:paraId="49E5621E" w14:textId="77777777" w:rsidR="00142923" w:rsidRPr="008A7E46" w:rsidRDefault="00142923" w:rsidP="002607FD">
            <w:pPr>
              <w:jc w:val="center"/>
              <w:rPr>
                <w:b/>
                <w:bCs/>
              </w:rPr>
            </w:pPr>
            <w:r>
              <w:rPr>
                <w:b/>
                <w:bCs/>
              </w:rPr>
              <w:t>5.40</w:t>
            </w:r>
          </w:p>
        </w:tc>
        <w:tc>
          <w:tcPr>
            <w:tcW w:w="918" w:type="pct"/>
          </w:tcPr>
          <w:p w14:paraId="7FF1F009" w14:textId="77777777" w:rsidR="00142923" w:rsidRPr="008A7E46" w:rsidRDefault="00142923" w:rsidP="002607FD">
            <w:pPr>
              <w:jc w:val="center"/>
              <w:rPr>
                <w:b/>
                <w:bCs/>
              </w:rPr>
            </w:pPr>
            <w:r>
              <w:rPr>
                <w:b/>
                <w:bCs/>
              </w:rPr>
              <w:t>6.10</w:t>
            </w:r>
          </w:p>
        </w:tc>
      </w:tr>
    </w:tbl>
    <w:p w14:paraId="08F54A73" w14:textId="2ADF1592" w:rsidR="00E14976" w:rsidRDefault="007B492F" w:rsidP="000C67F8">
      <w:pPr>
        <w:spacing w:before="120"/>
      </w:pPr>
      <w:r>
        <w:t>The im</w:t>
      </w:r>
      <w:r w:rsidR="00083F1A">
        <w:t xml:space="preserve">pact of the preferred fee option – Option 2 – is estimated to </w:t>
      </w:r>
      <w:r w:rsidR="003A44FF">
        <w:t>assess the</w:t>
      </w:r>
      <w:r w:rsidR="00F161CD">
        <w:t xml:space="preserve"> revenue </w:t>
      </w:r>
      <w:r w:rsidR="005B4F61">
        <w:t>generated</w:t>
      </w:r>
      <w:r w:rsidR="005B4F61" w:rsidDel="005B4F61">
        <w:rPr>
          <w:rStyle w:val="CommentReference"/>
        </w:rPr>
        <w:t xml:space="preserve"> </w:t>
      </w:r>
      <w:r w:rsidR="00C305F4">
        <w:t>(as fees paid by industry) and costs to government in administration</w:t>
      </w:r>
      <w:r w:rsidR="00F161CD">
        <w:t xml:space="preserve">. </w:t>
      </w:r>
      <w:r w:rsidR="00E14976" w:rsidRPr="00505E8B">
        <w:t>To estimate the expected on-going revenue received through individual and business application fees</w:t>
      </w:r>
      <w:r w:rsidR="00E14976">
        <w:t xml:space="preserve"> under the Option 2 fee </w:t>
      </w:r>
      <w:r w:rsidR="007557CA">
        <w:t>settings</w:t>
      </w:r>
      <w:r w:rsidR="00E14976">
        <w:t xml:space="preserve"> (using current fee values)</w:t>
      </w:r>
      <w:r w:rsidR="00E14976" w:rsidRPr="00505E8B">
        <w:t>, a 10-year average annual revenue</w:t>
      </w:r>
      <w:r w:rsidR="00E14976">
        <w:t xml:space="preserve"> estimate</w:t>
      </w:r>
      <w:r w:rsidR="00E14976" w:rsidRPr="00505E8B">
        <w:t xml:space="preserve"> was calculated. The calculated </w:t>
      </w:r>
      <w:r w:rsidR="00E14976">
        <w:t xml:space="preserve">revenue </w:t>
      </w:r>
      <w:r w:rsidR="00E14976" w:rsidRPr="00505E8B">
        <w:t>assume</w:t>
      </w:r>
      <w:r w:rsidR="00E14976">
        <w:t>s</w:t>
      </w:r>
      <w:r w:rsidR="00E14976" w:rsidRPr="00505E8B">
        <w:t xml:space="preserve"> that application volumes grow annually in alignment with Victorian population growth</w:t>
      </w:r>
      <w:r w:rsidR="00E14976">
        <w:t>,</w:t>
      </w:r>
      <w:r w:rsidR="00E14976" w:rsidRPr="00505E8B">
        <w:t xml:space="preserve"> that the proportion of </w:t>
      </w:r>
      <w:r w:rsidR="006C6C8E">
        <w:t xml:space="preserve">applications </w:t>
      </w:r>
      <w:r w:rsidR="00E14976" w:rsidRPr="00505E8B">
        <w:t>approved remains constant over time</w:t>
      </w:r>
      <w:r w:rsidR="006C6C8E">
        <w:t>,</w:t>
      </w:r>
      <w:r w:rsidR="00E14976" w:rsidRPr="00505E8B">
        <w:t xml:space="preserve"> and that registration-related fees are incorporated under a single-tier licen</w:t>
      </w:r>
      <w:r w:rsidR="006C6C8E">
        <w:t>s</w:t>
      </w:r>
      <w:r w:rsidR="00E14976" w:rsidRPr="00505E8B">
        <w:t>ing system</w:t>
      </w:r>
      <w:r w:rsidR="00E14976">
        <w:t xml:space="preserve"> (with the same fee value as the current licence-related fees)</w:t>
      </w:r>
      <w:r w:rsidR="00E14976" w:rsidRPr="00505E8B">
        <w:t xml:space="preserve">. </w:t>
      </w:r>
      <w:r w:rsidR="00E14976">
        <w:t>Using</w:t>
      </w:r>
      <w:r w:rsidR="00E14976" w:rsidRPr="00505E8B">
        <w:t xml:space="preserve"> these assumptions, the estimated average annual revenue is $13.86 million. </w:t>
      </w:r>
    </w:p>
    <w:p w14:paraId="5D3E4ACD" w14:textId="5C0401EF" w:rsidR="006C3652" w:rsidRDefault="00E14976" w:rsidP="00142923">
      <w:r>
        <w:t xml:space="preserve">The average annual cost of regulating the private security industry is $15.12 million. This results in an average annual cost-recovery position of 92%. While this percentage is slightly below full cost-recovery, due to the uncertainty </w:t>
      </w:r>
      <w:r w:rsidR="000D213A">
        <w:t xml:space="preserve">of </w:t>
      </w:r>
      <w:r>
        <w:t xml:space="preserve">future costs – </w:t>
      </w:r>
      <w:r w:rsidR="002F2E58">
        <w:t>which</w:t>
      </w:r>
      <w:r>
        <w:t xml:space="preserve"> could be higher or lower based on implementation of the new legislative requirements under the amending Act and implementation of a new registry management system – </w:t>
      </w:r>
      <w:r w:rsidR="002F2E58">
        <w:t>DJCS prefers</w:t>
      </w:r>
      <w:r>
        <w:t xml:space="preserve"> to keep fee units at their current level. </w:t>
      </w:r>
      <w:r w:rsidR="008C7996">
        <w:t>DJCS plans to undertake f</w:t>
      </w:r>
      <w:r>
        <w:t>urther review of the on-going cost base within three years after implementation of the new legislation</w:t>
      </w:r>
      <w:r w:rsidR="00284759">
        <w:t>.</w:t>
      </w:r>
      <w:r w:rsidR="0036598D">
        <w:t xml:space="preserve"> </w:t>
      </w:r>
    </w:p>
    <w:p w14:paraId="4CC8D4CB" w14:textId="5E8F6991" w:rsidR="00E53BF2" w:rsidRDefault="00E53BF2" w:rsidP="00E53BF2">
      <w:pPr>
        <w:pStyle w:val="Heading2un-numbered"/>
      </w:pPr>
      <w:bookmarkStart w:id="29" w:name="_Toc189832239"/>
      <w:r>
        <w:t>Small business and competition impacts</w:t>
      </w:r>
      <w:bookmarkEnd w:id="29"/>
      <w:r>
        <w:t xml:space="preserve"> </w:t>
      </w:r>
    </w:p>
    <w:p w14:paraId="4B9315B4" w14:textId="20CB25DD" w:rsidR="00E53BF2" w:rsidRDefault="007F1CCF" w:rsidP="00E53BF2">
      <w:r>
        <w:t xml:space="preserve">The </w:t>
      </w:r>
      <w:r w:rsidR="005103CD">
        <w:t>proposed Regulations are not anticipated to have a</w:t>
      </w:r>
      <w:r w:rsidR="00D862A2">
        <w:t xml:space="preserve">ny adverse impacts on small businesses or competition in Victoria. </w:t>
      </w:r>
      <w:r w:rsidR="00132070">
        <w:t xml:space="preserve">As the proposed fees will apply to all businesses and individuals in the private security industry, there is expected to be no material impact on competition. </w:t>
      </w:r>
      <w:r w:rsidR="00B03814">
        <w:t>The Regulations also do not impose any new restrictions on the way private security businesses provide their services or on how consumers source their preferred service providers</w:t>
      </w:r>
      <w:r w:rsidR="00853A8D">
        <w:t xml:space="preserve">, beyond those requirements that are stipulated in the Act. </w:t>
      </w:r>
      <w:r w:rsidR="005779E0">
        <w:t xml:space="preserve">The incremental administrative requirements associated with applications and record keeping </w:t>
      </w:r>
      <w:r w:rsidR="001C5E21">
        <w:t xml:space="preserve">would not pose any </w:t>
      </w:r>
      <w:r w:rsidR="0092510C">
        <w:t>substantive</w:t>
      </w:r>
      <w:r w:rsidR="001C5E21">
        <w:t xml:space="preserve"> barriers to entry compared to the </w:t>
      </w:r>
      <w:r w:rsidR="00FE028F">
        <w:t>Reference Case</w:t>
      </w:r>
      <w:r w:rsidR="001C5E21">
        <w:t>.</w:t>
      </w:r>
    </w:p>
    <w:p w14:paraId="6FB50C37" w14:textId="1C94C54A" w:rsidR="006E4BFD" w:rsidRDefault="000C4965" w:rsidP="006E4BFD">
      <w:r>
        <w:t>While s</w:t>
      </w:r>
      <w:r w:rsidR="00F463E7">
        <w:t>mall businesses can experience disproportionate impacts from regulations due to relatively limited resources</w:t>
      </w:r>
      <w:r>
        <w:t>,</w:t>
      </w:r>
      <w:r w:rsidR="00F463E7">
        <w:t xml:space="preserve"> </w:t>
      </w:r>
      <w:r>
        <w:t>i</w:t>
      </w:r>
      <w:r w:rsidR="00F463E7">
        <w:t xml:space="preserve">t is not expected that the proposed Regulations will limit the ability of small businesses </w:t>
      </w:r>
      <w:r w:rsidR="00DF647C">
        <w:t xml:space="preserve">to operate in the industry. </w:t>
      </w:r>
      <w:r w:rsidR="006E4BFD">
        <w:t>The proposed fee</w:t>
      </w:r>
      <w:r w:rsidR="00E3714F">
        <w:t xml:space="preserve"> structure</w:t>
      </w:r>
      <w:r w:rsidR="006E4BFD">
        <w:t xml:space="preserve"> </w:t>
      </w:r>
      <w:r w:rsidR="009B1CAD">
        <w:t>seek</w:t>
      </w:r>
      <w:r w:rsidR="00E3714F">
        <w:t>s</w:t>
      </w:r>
      <w:r w:rsidR="009B1CAD">
        <w:t xml:space="preserve"> to differentiate</w:t>
      </w:r>
      <w:r w:rsidR="00E3714F">
        <w:t xml:space="preserve"> fee values</w:t>
      </w:r>
      <w:r w:rsidR="009B1CAD">
        <w:t xml:space="preserve"> </w:t>
      </w:r>
      <w:r w:rsidR="00570033">
        <w:t xml:space="preserve">based </w:t>
      </w:r>
      <w:r w:rsidR="00421249">
        <w:t xml:space="preserve">on the different applicant categories (individual operator, </w:t>
      </w:r>
      <w:r w:rsidR="00504070">
        <w:t>natural persons as a business, and body corporates) and number of activities applied to be licenced for</w:t>
      </w:r>
      <w:r w:rsidR="00921E3C">
        <w:t xml:space="preserve"> (with fees increasing as the number of approved activities increase).</w:t>
      </w:r>
      <w:r w:rsidR="00504070">
        <w:t xml:space="preserve"> </w:t>
      </w:r>
      <w:r w:rsidR="005742EC">
        <w:t xml:space="preserve">This </w:t>
      </w:r>
      <w:r w:rsidR="00921E3C">
        <w:t xml:space="preserve">structure </w:t>
      </w:r>
      <w:r w:rsidR="005742EC">
        <w:t xml:space="preserve">reduces cross-subsidisation </w:t>
      </w:r>
      <w:r w:rsidR="00725F8C">
        <w:t xml:space="preserve">and minimises the risk of some </w:t>
      </w:r>
      <w:r w:rsidR="008E063F" w:rsidRPr="008E063F">
        <w:t xml:space="preserve">individuals and businesses </w:t>
      </w:r>
      <w:r w:rsidR="00725F8C">
        <w:t xml:space="preserve">paying higher fees </w:t>
      </w:r>
      <w:r w:rsidR="00921E3C">
        <w:t>(e.g.</w:t>
      </w:r>
      <w:r w:rsidR="008E063F" w:rsidRPr="008E063F">
        <w:t>, independent contractors (on a natural person’s business licence) would pay a higher fee under Option 1 compared to Option 2, as they would be grouped together with body corporates under a single licence fee category</w:t>
      </w:r>
      <w:r w:rsidR="00921E3C">
        <w:t>)</w:t>
      </w:r>
      <w:r w:rsidR="008E063F" w:rsidRPr="008E063F">
        <w:t xml:space="preserve">. </w:t>
      </w:r>
      <w:r w:rsidR="006E4BFD">
        <w:t xml:space="preserve">Small businesses providing a narrower range of services will pay </w:t>
      </w:r>
      <w:r w:rsidR="00FB3EAB">
        <w:t xml:space="preserve">less </w:t>
      </w:r>
      <w:r w:rsidR="006E4BFD">
        <w:t>than businesses that have more activities approved on their li</w:t>
      </w:r>
      <w:r w:rsidR="00330FDA">
        <w:t>cence</w:t>
      </w:r>
      <w:r w:rsidR="00EE479B">
        <w:t xml:space="preserve">, while those businesses that apply for a greater number of activities have the capacity to engage in revenue generating work for those </w:t>
      </w:r>
      <w:r w:rsidR="009F2CD0">
        <w:t>corresponding services</w:t>
      </w:r>
      <w:r w:rsidR="006E4BFD">
        <w:t>. Furthermore, the move toward a single-tier licensing system will make it easier for the small businesses and natural persons that provide both Class A and Class B services</w:t>
      </w:r>
      <w:r w:rsidR="00A821C9">
        <w:t xml:space="preserve"> (as they are currently known)</w:t>
      </w:r>
      <w:r w:rsidR="006E4BFD">
        <w:t xml:space="preserve">. This is because they will not need to apply for a separate licence and registration and pay two separate fees. </w:t>
      </w:r>
    </w:p>
    <w:p w14:paraId="4C9996C0" w14:textId="57ACBA16" w:rsidR="006E4BFD" w:rsidRDefault="00226F3B" w:rsidP="006E4BFD">
      <w:pPr>
        <w:pStyle w:val="Heading2un-numbered"/>
      </w:pPr>
      <w:bookmarkStart w:id="30" w:name="_Toc189832240"/>
      <w:r>
        <w:t>Implementation and evaluation</w:t>
      </w:r>
      <w:bookmarkEnd w:id="30"/>
      <w:r>
        <w:t xml:space="preserve"> </w:t>
      </w:r>
    </w:p>
    <w:p w14:paraId="6E9E3319" w14:textId="126173A3" w:rsidR="00EC0AC9" w:rsidRDefault="00EC0AC9" w:rsidP="00EC0AC9">
      <w:r>
        <w:t xml:space="preserve">The proposed </w:t>
      </w:r>
      <w:r w:rsidR="006C4D34">
        <w:t xml:space="preserve">Regulations </w:t>
      </w:r>
      <w:r>
        <w:t xml:space="preserve">will be implemented alongside the newly amended </w:t>
      </w:r>
      <w:r w:rsidR="00D12EA9" w:rsidRPr="00D12EA9">
        <w:t>Act</w:t>
      </w:r>
      <w:r w:rsidRPr="00D12EA9">
        <w:t xml:space="preserve"> </w:t>
      </w:r>
      <w:r>
        <w:t xml:space="preserve">which will incorporate the amendments made via the </w:t>
      </w:r>
      <w:r w:rsidR="00D12EA9" w:rsidRPr="00D12EA9">
        <w:t>amending Act</w:t>
      </w:r>
      <w:r w:rsidRPr="00D12EA9">
        <w:t>.</w:t>
      </w:r>
    </w:p>
    <w:p w14:paraId="461B398C" w14:textId="3F9E0031" w:rsidR="00EC0AC9" w:rsidRDefault="00EC0AC9" w:rsidP="00EC0AC9">
      <w:r>
        <w:t xml:space="preserve">The Regulations will be settled following public consultation on the Exposure Draft that accompanies this RIS. All submissions will be considered carefully by </w:t>
      </w:r>
      <w:r w:rsidR="00BB2DEC">
        <w:t>DJCS</w:t>
      </w:r>
      <w:r>
        <w:t xml:space="preserve"> and the draft </w:t>
      </w:r>
      <w:r w:rsidR="00D43604">
        <w:t>R</w:t>
      </w:r>
      <w:r>
        <w:t xml:space="preserve">egulations amended accordingly in consultation with stakeholders. The final decision </w:t>
      </w:r>
      <w:r>
        <w:lastRenderedPageBreak/>
        <w:t xml:space="preserve">about any changes rests with the Minister for Police, who will seek Cabinet approval to ask the Governor to make the Regulations when he is satisfied with them. </w:t>
      </w:r>
    </w:p>
    <w:p w14:paraId="6A23DE05" w14:textId="2B7A38AF" w:rsidR="00EC0AC9" w:rsidRDefault="00EC0AC9" w:rsidP="00EC0AC9">
      <w:r>
        <w:t xml:space="preserve">Once the </w:t>
      </w:r>
      <w:r w:rsidR="00D43604">
        <w:t>R</w:t>
      </w:r>
      <w:r>
        <w:t xml:space="preserve">egulations are in place, Victoria Police </w:t>
      </w:r>
      <w:r w:rsidR="00BB2DEC">
        <w:t xml:space="preserve">will </w:t>
      </w:r>
      <w:r>
        <w:t xml:space="preserve">need to amend their database to accommodate the amendments, change their correspondence with applicants and licence or registration holders, and prepare for transition of those with registrations to licences. In addition, matters referred to in the Regulations will need to be developed. For example, a Code of Conduct to be published on the Victoria Police website; refresher training requirements; risk assessment and treatment templates as well as general education material. </w:t>
      </w:r>
    </w:p>
    <w:p w14:paraId="2F3108BC" w14:textId="2CC7D941" w:rsidR="00EC0AC9" w:rsidRDefault="00EC0AC9" w:rsidP="00EC0AC9">
      <w:r>
        <w:t xml:space="preserve">At the time of publication of this RIS, the amending Act and the proposed Regulations will come into effect on 19 June 2025, although it is possible that some simple provisions may come into effect at an earlier date by proclamation. </w:t>
      </w:r>
    </w:p>
    <w:p w14:paraId="68F9A7E7" w14:textId="6AA27C5C" w:rsidR="00EC0AC9" w:rsidRDefault="00EC0AC9" w:rsidP="00EC0AC9">
      <w:r>
        <w:t xml:space="preserve">Evaluation of the effectiveness and efficiency of the proposed Regulations once in effect will be carried out on an ongoing basis. </w:t>
      </w:r>
      <w:r w:rsidR="004B7324">
        <w:t>DJCS</w:t>
      </w:r>
      <w:r>
        <w:t xml:space="preserve"> already has robust reporting and consultation mechanisms in place with Victoria Police as well as the wider stakeholder group, </w:t>
      </w:r>
      <w:r w:rsidR="00F063AF">
        <w:t xml:space="preserve">the </w:t>
      </w:r>
      <w:r w:rsidR="00F063AF">
        <w:rPr>
          <w:lang w:eastAsia="en-AU"/>
        </w:rPr>
        <w:t>Victorian Security Industry Advisory Council (VSIAC)</w:t>
      </w:r>
      <w:r>
        <w:t xml:space="preserve">. </w:t>
      </w:r>
      <w:r w:rsidR="004B7324">
        <w:t xml:space="preserve">DJCS </w:t>
      </w:r>
      <w:r>
        <w:t xml:space="preserve">will monitor the impact of the amendments through these mechanisms </w:t>
      </w:r>
      <w:r w:rsidR="00A867B5">
        <w:t xml:space="preserve">including undertaking </w:t>
      </w:r>
      <w:r w:rsidR="00AE72C9" w:rsidRPr="00AE72C9">
        <w:t xml:space="preserve">further review of the on-going cost base within three years after implementation of the new legislation. </w:t>
      </w:r>
      <w:r w:rsidR="00AE72C9">
        <w:t>I</w:t>
      </w:r>
      <w:r>
        <w:t xml:space="preserve">f issues come to light, </w:t>
      </w:r>
      <w:r w:rsidR="00AE72C9">
        <w:t xml:space="preserve">DJCS </w:t>
      </w:r>
      <w:r>
        <w:t>will propose amendment to the Act or Regulations to Government, as required.</w:t>
      </w:r>
    </w:p>
    <w:p w14:paraId="60C2B409" w14:textId="7689C6DC" w:rsidR="00C00A67" w:rsidRDefault="00EC0AC9" w:rsidP="00226F3B">
      <w:r>
        <w:t xml:space="preserve">In terms of the </w:t>
      </w:r>
      <w:r w:rsidR="004B7324">
        <w:t>fee settings</w:t>
      </w:r>
      <w:r>
        <w:t xml:space="preserve">, as set out in detail in this RIS, there are </w:t>
      </w:r>
      <w:r w:rsidR="006E4B4B">
        <w:t>a range of</w:t>
      </w:r>
      <w:r w:rsidR="007232CD">
        <w:t xml:space="preserve"> operational and market uncertainties </w:t>
      </w:r>
      <w:r>
        <w:t xml:space="preserve">that could result in changes </w:t>
      </w:r>
      <w:r w:rsidR="007232CD">
        <w:t>that affect</w:t>
      </w:r>
      <w:r>
        <w:t xml:space="preserve"> the fees</w:t>
      </w:r>
      <w:r w:rsidR="006E4B4B">
        <w:t>.</w:t>
      </w:r>
      <w:r>
        <w:t xml:space="preserve"> </w:t>
      </w:r>
      <w:r w:rsidR="001454DC">
        <w:t>Due to these uncertainties</w:t>
      </w:r>
      <w:r w:rsidR="000F2B60">
        <w:t xml:space="preserve">, if there are concerns about the fee settings, </w:t>
      </w:r>
      <w:r w:rsidR="001454DC">
        <w:t>DJCS</w:t>
      </w:r>
      <w:r>
        <w:t>, Victoria Police and other stakeholders will be invited to raise</w:t>
      </w:r>
      <w:r w:rsidR="000F2B60">
        <w:t xml:space="preserve"> these</w:t>
      </w:r>
      <w:r>
        <w:t xml:space="preserve"> concerns at any time during the life of the Regulations.</w:t>
      </w:r>
      <w:r w:rsidR="0036598D">
        <w:t xml:space="preserve"> </w:t>
      </w:r>
      <w:r>
        <w:t xml:space="preserve">Once those concerns are raised, </w:t>
      </w:r>
      <w:r w:rsidR="000F2B60">
        <w:t>DJCS</w:t>
      </w:r>
      <w:r>
        <w:t xml:space="preserve"> will take whatever action is appropriate, in consultation with stakeholders, including those with expertise in developing cost benefit analyses. </w:t>
      </w:r>
    </w:p>
    <w:p w14:paraId="6E31BCF1" w14:textId="77777777" w:rsidR="00C00A67" w:rsidRPr="004E6143" w:rsidRDefault="00C00A67" w:rsidP="00093162">
      <w:pPr>
        <w:pStyle w:val="Heading2un-numbered"/>
        <w:rPr>
          <w:b w:val="0"/>
          <w:bCs w:val="0"/>
          <w:lang w:eastAsia="ja-JP"/>
        </w:rPr>
      </w:pPr>
      <w:bookmarkStart w:id="31" w:name="_Toc189832241"/>
      <w:r w:rsidRPr="004E6143">
        <w:t>Feedback on RIS and proposed Regulations</w:t>
      </w:r>
      <w:bookmarkEnd w:id="31"/>
    </w:p>
    <w:p w14:paraId="052A6EED" w14:textId="2D3EADC2" w:rsidR="00C00A67" w:rsidRPr="004E6143" w:rsidRDefault="00C00A67" w:rsidP="00C00A67">
      <w:pPr>
        <w:spacing w:line="252" w:lineRule="auto"/>
      </w:pPr>
      <w:r w:rsidRPr="004E6143">
        <w:t xml:space="preserve">To support development of the RIS, targeted consultation </w:t>
      </w:r>
      <w:r>
        <w:t xml:space="preserve">was undertaken by Deloitte </w:t>
      </w:r>
      <w:r w:rsidRPr="004E6143">
        <w:t xml:space="preserve">from </w:t>
      </w:r>
      <w:r w:rsidR="003A6A67">
        <w:t>17 June 2024</w:t>
      </w:r>
      <w:r w:rsidRPr="004E6143">
        <w:t xml:space="preserve"> until </w:t>
      </w:r>
      <w:r w:rsidR="003A6A67">
        <w:t>12 July 2024</w:t>
      </w:r>
      <w:r w:rsidRPr="004E6143">
        <w:t xml:space="preserve">. The consultation took the form of </w:t>
      </w:r>
      <w:r>
        <w:t>semi-structured interviews</w:t>
      </w:r>
      <w:r w:rsidRPr="004E6143">
        <w:t xml:space="preserve"> together with a series of questions that was distributed to key stakeholders for feedback. </w:t>
      </w:r>
      <w:r w:rsidR="008305B1">
        <w:t>Stakeholders</w:t>
      </w:r>
      <w:r w:rsidRPr="004E6143">
        <w:t xml:space="preserve"> included key peak bodies and </w:t>
      </w:r>
      <w:r w:rsidR="008305B1">
        <w:t xml:space="preserve">industry representatives </w:t>
      </w:r>
      <w:r w:rsidRPr="004E6143">
        <w:t xml:space="preserve">in Victoria across </w:t>
      </w:r>
      <w:r w:rsidR="008305B1">
        <w:t>the vario</w:t>
      </w:r>
      <w:r w:rsidR="00DE5C88">
        <w:t>u</w:t>
      </w:r>
      <w:r w:rsidR="008305B1">
        <w:t xml:space="preserve">s </w:t>
      </w:r>
      <w:r w:rsidR="00DE5C88">
        <w:t xml:space="preserve">private security professions. </w:t>
      </w:r>
      <w:r w:rsidRPr="004E6143">
        <w:t>Responses provided from these stakeholders informed policy development and formed the basis for the development of the proposed Regulations and RIS.</w:t>
      </w:r>
    </w:p>
    <w:p w14:paraId="47EE39DD" w14:textId="62242C8D" w:rsidR="00C00A67" w:rsidRPr="004E6143" w:rsidRDefault="00C00A67" w:rsidP="00C00A67">
      <w:r w:rsidRPr="004E6143">
        <w:t xml:space="preserve">The </w:t>
      </w:r>
      <w:r w:rsidRPr="00F85707">
        <w:rPr>
          <w:i/>
        </w:rPr>
        <w:t>Victorian Guide to Regulation</w:t>
      </w:r>
      <w:r w:rsidRPr="004E6143">
        <w:t xml:space="preserve"> also requires a RIS to assess the impact of regulations on the community. Regulations can affect the ability of </w:t>
      </w:r>
      <w:r w:rsidR="00DE5C88">
        <w:t xml:space="preserve">private security professionals </w:t>
      </w:r>
      <w:r w:rsidRPr="004E6143">
        <w:t xml:space="preserve">to deliver </w:t>
      </w:r>
      <w:r w:rsidR="00DE5C88">
        <w:t xml:space="preserve">essential </w:t>
      </w:r>
      <w:r w:rsidRPr="004E6143">
        <w:t xml:space="preserve">services </w:t>
      </w:r>
      <w:r w:rsidR="00DE5C88">
        <w:t>that</w:t>
      </w:r>
      <w:r w:rsidRPr="004E6143">
        <w:t xml:space="preserve"> protect the interests of the community. </w:t>
      </w:r>
      <w:r w:rsidR="001531BB">
        <w:t>Key considerations in this assessment include</w:t>
      </w:r>
      <w:r w:rsidRPr="004E6143">
        <w:t xml:space="preserve"> questions such as: </w:t>
      </w:r>
    </w:p>
    <w:p w14:paraId="192E9CDE" w14:textId="6242D2B6" w:rsidR="00C00A67" w:rsidRPr="004E6143" w:rsidRDefault="00C00A67" w:rsidP="00A91FB9">
      <w:pPr>
        <w:pStyle w:val="ListParagraph"/>
        <w:numPr>
          <w:ilvl w:val="0"/>
          <w:numId w:val="48"/>
        </w:numPr>
        <w:ind w:left="357" w:hanging="357"/>
        <w:rPr>
          <w:lang w:eastAsia="ja-JP"/>
        </w:rPr>
      </w:pPr>
      <w:r w:rsidRPr="004E6143">
        <w:rPr>
          <w:lang w:eastAsia="ja-JP"/>
        </w:rPr>
        <w:t xml:space="preserve">Are the Regulations effective in protecting </w:t>
      </w:r>
      <w:r w:rsidR="00DE5C88">
        <w:rPr>
          <w:lang w:eastAsia="ja-JP"/>
        </w:rPr>
        <w:t>the community</w:t>
      </w:r>
      <w:r w:rsidRPr="004E6143">
        <w:rPr>
          <w:lang w:eastAsia="ja-JP"/>
        </w:rPr>
        <w:t xml:space="preserve"> from harm? Will the proposed </w:t>
      </w:r>
      <w:r w:rsidR="00DE5C88">
        <w:rPr>
          <w:lang w:eastAsia="ja-JP"/>
        </w:rPr>
        <w:t xml:space="preserve">single-tier </w:t>
      </w:r>
      <w:r w:rsidR="006C6C8E">
        <w:rPr>
          <w:lang w:eastAsia="ja-JP"/>
        </w:rPr>
        <w:t xml:space="preserve">licensing </w:t>
      </w:r>
      <w:r w:rsidR="00DE5C88">
        <w:rPr>
          <w:lang w:eastAsia="ja-JP"/>
        </w:rPr>
        <w:t>scheme</w:t>
      </w:r>
      <w:r w:rsidRPr="004E6143">
        <w:rPr>
          <w:lang w:eastAsia="ja-JP"/>
        </w:rPr>
        <w:t xml:space="preserve"> impact on the risk of harm?</w:t>
      </w:r>
    </w:p>
    <w:p w14:paraId="3107A13A" w14:textId="1E9EE647" w:rsidR="00C00A67" w:rsidRPr="004E6143" w:rsidRDefault="00C00A67" w:rsidP="00A91FB9">
      <w:pPr>
        <w:pStyle w:val="ListParagraph"/>
        <w:numPr>
          <w:ilvl w:val="0"/>
          <w:numId w:val="48"/>
        </w:numPr>
        <w:ind w:left="357" w:hanging="357"/>
        <w:rPr>
          <w:lang w:eastAsia="ja-JP"/>
        </w:rPr>
      </w:pPr>
      <w:r w:rsidRPr="004E6143">
        <w:rPr>
          <w:lang w:eastAsia="ja-JP"/>
        </w:rPr>
        <w:t xml:space="preserve">Will the proposed changes impact some </w:t>
      </w:r>
      <w:r w:rsidR="00D65D26">
        <w:rPr>
          <w:lang w:eastAsia="ja-JP"/>
        </w:rPr>
        <w:t>aspects of the industry</w:t>
      </w:r>
      <w:r w:rsidRPr="004E6143">
        <w:rPr>
          <w:lang w:eastAsia="ja-JP"/>
        </w:rPr>
        <w:t xml:space="preserve"> significantly more than others (e.g. </w:t>
      </w:r>
      <w:r w:rsidR="00D65D26">
        <w:rPr>
          <w:lang w:eastAsia="ja-JP"/>
        </w:rPr>
        <w:t>sole traders and small businesses)?</w:t>
      </w:r>
      <w:r w:rsidR="0036598D">
        <w:rPr>
          <w:lang w:eastAsia="ja-JP"/>
        </w:rPr>
        <w:t xml:space="preserve"> </w:t>
      </w:r>
    </w:p>
    <w:p w14:paraId="15FAABC4" w14:textId="3A7D4852" w:rsidR="0029009C" w:rsidRDefault="00D65D26" w:rsidP="00A91FB9">
      <w:pPr>
        <w:pStyle w:val="ListParagraph"/>
        <w:numPr>
          <w:ilvl w:val="0"/>
          <w:numId w:val="48"/>
        </w:numPr>
        <w:ind w:left="357" w:hanging="357"/>
        <w:rPr>
          <w:lang w:eastAsia="ja-JP"/>
        </w:rPr>
      </w:pPr>
      <w:r>
        <w:rPr>
          <w:lang w:eastAsia="ja-JP"/>
        </w:rPr>
        <w:t xml:space="preserve">Would changing fee levels </w:t>
      </w:r>
      <w:r w:rsidR="0029009C">
        <w:rPr>
          <w:lang w:eastAsia="ja-JP"/>
        </w:rPr>
        <w:t xml:space="preserve">impact the capacity of current industry participants to continue </w:t>
      </w:r>
      <w:r w:rsidR="00360687">
        <w:rPr>
          <w:lang w:eastAsia="ja-JP"/>
        </w:rPr>
        <w:t>in their roles? Do the fee levels pose any barriers to entry for the industry?</w:t>
      </w:r>
    </w:p>
    <w:p w14:paraId="3BAC3B15" w14:textId="76BC4F57" w:rsidR="00AB2924" w:rsidRDefault="00C00A67" w:rsidP="00477450">
      <w:pPr>
        <w:rPr>
          <w:rFonts w:eastAsiaTheme="majorEastAsia" w:cstheme="majorBidi"/>
          <w:bCs/>
          <w:sz w:val="60"/>
          <w:szCs w:val="28"/>
        </w:rPr>
      </w:pPr>
      <w:r w:rsidRPr="004E6143">
        <w:rPr>
          <w:lang w:eastAsia="ja-JP"/>
        </w:rPr>
        <w:t>Public comment and submissions are invited on the questions above, this RIS, and the proposed Regulations. Submissions can be made via the Engage Victoria website.</w:t>
      </w:r>
      <w:r w:rsidR="00AB2924">
        <w:br w:type="page"/>
      </w:r>
    </w:p>
    <w:p w14:paraId="6F4F7A5F" w14:textId="77777777" w:rsidR="00B23E80" w:rsidRDefault="00B23E80" w:rsidP="00750A47">
      <w:pPr>
        <w:pStyle w:val="Heading1"/>
        <w:sectPr w:rsidR="00B23E80" w:rsidSect="00A34BCE">
          <w:footerReference w:type="even" r:id="rId26"/>
          <w:footerReference w:type="default" r:id="rId27"/>
          <w:footerReference w:type="first" r:id="rId28"/>
          <w:pgSz w:w="11906" w:h="16838" w:code="9"/>
          <w:pgMar w:top="1440" w:right="1134" w:bottom="1440" w:left="1134" w:header="680" w:footer="425" w:gutter="0"/>
          <w:pgNumType w:fmt="lowerRoman"/>
          <w:cols w:space="284"/>
          <w:docGrid w:linePitch="360"/>
        </w:sectPr>
      </w:pPr>
    </w:p>
    <w:p w14:paraId="3EAE3109" w14:textId="60C9E03C" w:rsidR="009E2515" w:rsidRDefault="00750A47" w:rsidP="00750A47">
      <w:pPr>
        <w:pStyle w:val="Heading1"/>
      </w:pPr>
      <w:bookmarkStart w:id="32" w:name="_Toc189832242"/>
      <w:r>
        <w:lastRenderedPageBreak/>
        <w:t>Background</w:t>
      </w:r>
      <w:bookmarkEnd w:id="32"/>
      <w:r>
        <w:t xml:space="preserve"> </w:t>
      </w:r>
    </w:p>
    <w:p w14:paraId="0D50C329" w14:textId="5EEC8FA6" w:rsidR="00E8340F" w:rsidRPr="00294696" w:rsidRDefault="00E8340F" w:rsidP="00E8340F">
      <w:pPr>
        <w:pStyle w:val="Sectionintro"/>
      </w:pPr>
      <w:r w:rsidRPr="00294696">
        <w:rPr>
          <w:szCs w:val="28"/>
        </w:rPr>
        <w:t xml:space="preserve">This chapter outlines the purpose of the proposed </w:t>
      </w:r>
      <w:r w:rsidR="00D43604">
        <w:rPr>
          <w:szCs w:val="28"/>
        </w:rPr>
        <w:t>R</w:t>
      </w:r>
      <w:r w:rsidRPr="00294696">
        <w:rPr>
          <w:szCs w:val="28"/>
        </w:rPr>
        <w:t>egulations and the requirement for a Regulatory Impact Statement</w:t>
      </w:r>
      <w:r w:rsidR="004D58B2">
        <w:rPr>
          <w:szCs w:val="28"/>
        </w:rPr>
        <w:t xml:space="preserve"> (RIS)</w:t>
      </w:r>
      <w:r w:rsidR="00BF69C7">
        <w:rPr>
          <w:szCs w:val="28"/>
        </w:rPr>
        <w:t>.</w:t>
      </w:r>
    </w:p>
    <w:p w14:paraId="59D01026" w14:textId="5A387319" w:rsidR="005F1544" w:rsidRDefault="005F1544" w:rsidP="005F1544">
      <w:pPr>
        <w:pStyle w:val="Heading2"/>
      </w:pPr>
      <w:bookmarkStart w:id="33" w:name="_Toc152086215"/>
      <w:bookmarkStart w:id="34" w:name="_Toc189832243"/>
      <w:r w:rsidRPr="00294696">
        <w:t xml:space="preserve">Introduction and purpose of this </w:t>
      </w:r>
      <w:bookmarkEnd w:id="33"/>
      <w:r w:rsidR="004D58B2">
        <w:t>RIS</w:t>
      </w:r>
      <w:bookmarkEnd w:id="34"/>
      <w:r w:rsidRPr="00294696">
        <w:t xml:space="preserve"> </w:t>
      </w:r>
    </w:p>
    <w:p w14:paraId="3F547382" w14:textId="1A40F9C2" w:rsidR="004C3B4F" w:rsidRDefault="001C62C8" w:rsidP="001C62C8">
      <w:r>
        <w:t xml:space="preserve">The private security </w:t>
      </w:r>
      <w:r w:rsidR="00DF18B8">
        <w:t>industry plays a critical role in ensuring the safety of the Victorian community</w:t>
      </w:r>
      <w:r w:rsidR="00441D93">
        <w:t xml:space="preserve">. </w:t>
      </w:r>
      <w:r w:rsidR="0020440D">
        <w:t>The industry provides a necessary service to individuals and businesses to mitigate their exp</w:t>
      </w:r>
      <w:r w:rsidR="00387DAA">
        <w:t xml:space="preserve">osure to crime, particularly in instances which are beyond the remit or capacity of Victoria Police. Victoria’s private security industry offers </w:t>
      </w:r>
      <w:r w:rsidR="00252F81">
        <w:t xml:space="preserve">protection for </w:t>
      </w:r>
      <w:r w:rsidR="00A821C9">
        <w:t xml:space="preserve">public and </w:t>
      </w:r>
      <w:r w:rsidR="00252F81">
        <w:t>private property, public safety, and personal security</w:t>
      </w:r>
      <w:r w:rsidR="00935D76">
        <w:t xml:space="preserve">. </w:t>
      </w:r>
      <w:r w:rsidR="004C3B4F">
        <w:t>Give</w:t>
      </w:r>
      <w:r w:rsidR="00EA39BB">
        <w:t>n</w:t>
      </w:r>
      <w:r w:rsidR="004C3B4F">
        <w:t xml:space="preserve"> the nature of services provided by the industry and the level of trust placed in security </w:t>
      </w:r>
      <w:r w:rsidR="00392D10">
        <w:t>providers</w:t>
      </w:r>
      <w:r w:rsidR="004C3B4F">
        <w:t>, it is vital to ensure that security providers meet a certain standard of competenc</w:t>
      </w:r>
      <w:r w:rsidR="00DC12FF">
        <w:t>y</w:t>
      </w:r>
      <w:r w:rsidR="004C3B4F">
        <w:t xml:space="preserve">, </w:t>
      </w:r>
      <w:r w:rsidR="00F21901">
        <w:t>legitimacy,</w:t>
      </w:r>
      <w:r w:rsidR="004C3B4F">
        <w:t xml:space="preserve"> and character.</w:t>
      </w:r>
    </w:p>
    <w:p w14:paraId="029CC77D" w14:textId="5DAEF9CF" w:rsidR="001C62C8" w:rsidRDefault="008E085D" w:rsidP="001C62C8">
      <w:r>
        <w:t xml:space="preserve">The </w:t>
      </w:r>
      <w:r w:rsidRPr="00491690">
        <w:rPr>
          <w:i/>
          <w:iCs/>
        </w:rPr>
        <w:t>Private Security Act 2004</w:t>
      </w:r>
      <w:r>
        <w:t xml:space="preserve"> </w:t>
      </w:r>
      <w:r w:rsidR="00E4488D">
        <w:t xml:space="preserve">(the Act) </w:t>
      </w:r>
      <w:r w:rsidR="0028398E">
        <w:t>sets</w:t>
      </w:r>
      <w:r w:rsidR="00A821C9">
        <w:t xml:space="preserve"> out</w:t>
      </w:r>
      <w:r w:rsidR="0028398E">
        <w:t xml:space="preserve"> the </w:t>
      </w:r>
      <w:r w:rsidR="005B2973">
        <w:t xml:space="preserve">framework </w:t>
      </w:r>
      <w:r w:rsidR="00DE74B5">
        <w:t>for licensing and registration for</w:t>
      </w:r>
      <w:r w:rsidR="00A821C9">
        <w:t xml:space="preserve"> individuals and businesses working in</w:t>
      </w:r>
      <w:r w:rsidR="00DE74B5">
        <w:t xml:space="preserve"> the private security industry. </w:t>
      </w:r>
      <w:r w:rsidR="00E67605">
        <w:t xml:space="preserve">The Act establishes the range of private security activities </w:t>
      </w:r>
      <w:r w:rsidR="00A821C9">
        <w:t xml:space="preserve">for which </w:t>
      </w:r>
      <w:r w:rsidR="00E67605">
        <w:t>an individual or business must hold a licence or registration</w:t>
      </w:r>
      <w:r w:rsidR="00A821C9">
        <w:t>.</w:t>
      </w:r>
      <w:r w:rsidR="0036598D">
        <w:t xml:space="preserve"> </w:t>
      </w:r>
      <w:r w:rsidR="00E67605">
        <w:t xml:space="preserve">Currently, the Act prescribes two classes of activities – Class A activities for licences (including crowd controllers, security guards and private investigators, among others) and Class B activities for registrations (security </w:t>
      </w:r>
      <w:r w:rsidR="00A821C9">
        <w:t>installer</w:t>
      </w:r>
      <w:r w:rsidR="00E67605">
        <w:t xml:space="preserve">s and security advisers). </w:t>
      </w:r>
      <w:r w:rsidR="00C47702">
        <w:t xml:space="preserve">The </w:t>
      </w:r>
      <w:r w:rsidR="00283407" w:rsidRPr="003051A9">
        <w:rPr>
          <w:i/>
          <w:iCs/>
        </w:rPr>
        <w:t>Private Security Regulations 2016</w:t>
      </w:r>
      <w:r w:rsidR="00B658E9">
        <w:t xml:space="preserve"> (the Regulations)</w:t>
      </w:r>
      <w:r w:rsidR="00283407">
        <w:t xml:space="preserve"> </w:t>
      </w:r>
      <w:r w:rsidR="00F87502">
        <w:t xml:space="preserve">prescribe </w:t>
      </w:r>
      <w:r w:rsidR="00F651A9">
        <w:t xml:space="preserve">the particulars, documents and fees for </w:t>
      </w:r>
      <w:r w:rsidR="00B658E9">
        <w:t>the licensing and registration</w:t>
      </w:r>
      <w:r w:rsidR="00F651A9">
        <w:t xml:space="preserve"> of security </w:t>
      </w:r>
      <w:r w:rsidR="00392D10">
        <w:t>providers</w:t>
      </w:r>
      <w:r w:rsidR="00F651A9">
        <w:t>.</w:t>
      </w:r>
      <w:r w:rsidR="00B658E9">
        <w:t xml:space="preserve"> </w:t>
      </w:r>
      <w:r w:rsidR="00E4488D">
        <w:t xml:space="preserve">The </w:t>
      </w:r>
      <w:r w:rsidR="00E4488D" w:rsidRPr="000319E3">
        <w:rPr>
          <w:i/>
          <w:iCs/>
        </w:rPr>
        <w:t>Private Security and County Court Act 2024</w:t>
      </w:r>
      <w:r w:rsidR="00E4488D">
        <w:t xml:space="preserve"> </w:t>
      </w:r>
      <w:r w:rsidR="00E67605">
        <w:t>(the amending Act)</w:t>
      </w:r>
      <w:r w:rsidR="00A821C9">
        <w:t>, which is not yet in operation but will commence no later than 19 June 2025</w:t>
      </w:r>
      <w:r w:rsidR="00E67605">
        <w:t xml:space="preserve"> </w:t>
      </w:r>
      <w:r w:rsidR="00E4488D">
        <w:t>introduce</w:t>
      </w:r>
      <w:r w:rsidR="00A821C9">
        <w:t>s</w:t>
      </w:r>
      <w:r w:rsidR="00E4488D">
        <w:t xml:space="preserve"> </w:t>
      </w:r>
      <w:r w:rsidR="007526EF">
        <w:t>several</w:t>
      </w:r>
      <w:r w:rsidR="00E4488D">
        <w:t xml:space="preserve"> amendments to the </w:t>
      </w:r>
      <w:r w:rsidR="00405A82" w:rsidRPr="00405A82">
        <w:t>Act</w:t>
      </w:r>
      <w:r w:rsidR="00E70E20">
        <w:t xml:space="preserve"> (see </w:t>
      </w:r>
      <w:r w:rsidR="0068510C">
        <w:t>S</w:t>
      </w:r>
      <w:r w:rsidR="00E70E20">
        <w:t xml:space="preserve">ection </w:t>
      </w:r>
      <w:r w:rsidR="00E70E20">
        <w:fldChar w:fldCharType="begin"/>
      </w:r>
      <w:r w:rsidR="00E70E20">
        <w:instrText xml:space="preserve"> REF _Ref168563840 \r \h </w:instrText>
      </w:r>
      <w:r w:rsidR="00E70E20">
        <w:fldChar w:fldCharType="separate"/>
      </w:r>
      <w:r w:rsidR="009D133E">
        <w:t>1.2.1.1</w:t>
      </w:r>
      <w:r w:rsidR="00E70E20">
        <w:fldChar w:fldCharType="end"/>
      </w:r>
      <w:r w:rsidR="00E70E20">
        <w:t>).</w:t>
      </w:r>
      <w:r w:rsidR="00E4488D">
        <w:t xml:space="preserve"> </w:t>
      </w:r>
      <w:r w:rsidR="00E70E20">
        <w:t>C</w:t>
      </w:r>
      <w:r w:rsidR="00AA6A5E">
        <w:t xml:space="preserve">onsequently, </w:t>
      </w:r>
      <w:r w:rsidR="00405A82">
        <w:t xml:space="preserve">the </w:t>
      </w:r>
      <w:r w:rsidR="00AA6A5E">
        <w:t>Regulations</w:t>
      </w:r>
      <w:r w:rsidR="002C62FD">
        <w:t xml:space="preserve"> </w:t>
      </w:r>
      <w:r w:rsidR="00405A82">
        <w:t xml:space="preserve">are required to be remade </w:t>
      </w:r>
      <w:r w:rsidR="002C62FD">
        <w:t xml:space="preserve">by 19 June 2025 to operationalise </w:t>
      </w:r>
      <w:r w:rsidR="00405A82">
        <w:t xml:space="preserve">required changes related to </w:t>
      </w:r>
      <w:r w:rsidR="002C62FD">
        <w:t xml:space="preserve">the amendments. </w:t>
      </w:r>
      <w:r w:rsidR="00942A3B">
        <w:t xml:space="preserve">The Regulations are currently due to sunset on 26 June 2026. </w:t>
      </w:r>
      <w:r w:rsidR="00E70E20">
        <w:t>T</w:t>
      </w:r>
      <w:r w:rsidR="00942A3B">
        <w:t>he remake of the Regulations has</w:t>
      </w:r>
      <w:r w:rsidR="00BF4228">
        <w:t xml:space="preserve"> been</w:t>
      </w:r>
      <w:r w:rsidR="00942A3B">
        <w:t xml:space="preserve"> brought </w:t>
      </w:r>
      <w:r w:rsidR="000A00FC">
        <w:t>forward</w:t>
      </w:r>
      <w:r w:rsidR="00942A3B">
        <w:t xml:space="preserve"> for </w:t>
      </w:r>
      <w:r w:rsidR="00D8494B">
        <w:t xml:space="preserve">the purpose of </w:t>
      </w:r>
      <w:r w:rsidR="00942A3B">
        <w:t xml:space="preserve">efficiency. </w:t>
      </w:r>
    </w:p>
    <w:p w14:paraId="413896BF" w14:textId="1E4A42DA" w:rsidR="009F04CF" w:rsidRPr="001C62C8" w:rsidRDefault="009F04CF" w:rsidP="001C62C8">
      <w:r>
        <w:t xml:space="preserve">The purpose of this RIS is </w:t>
      </w:r>
      <w:r w:rsidR="00BF4228">
        <w:t>to asses</w:t>
      </w:r>
      <w:r w:rsidR="009226EE">
        <w:t>s</w:t>
      </w:r>
      <w:r w:rsidR="00BF4228">
        <w:t xml:space="preserve"> the potential impacts on the Victorian community f</w:t>
      </w:r>
      <w:r w:rsidR="00B652A0">
        <w:t xml:space="preserve">rom </w:t>
      </w:r>
      <w:r w:rsidR="003057DB">
        <w:t xml:space="preserve">amending and </w:t>
      </w:r>
      <w:r w:rsidR="002D218E">
        <w:t xml:space="preserve">remaking the </w:t>
      </w:r>
      <w:r w:rsidR="00D8494B">
        <w:t>Regulations</w:t>
      </w:r>
      <w:r w:rsidR="003057DB">
        <w:t xml:space="preserve">. </w:t>
      </w:r>
    </w:p>
    <w:p w14:paraId="4097EAA5" w14:textId="73480A16" w:rsidR="005F1544" w:rsidRPr="00294696" w:rsidRDefault="005F1544" w:rsidP="005F1544">
      <w:pPr>
        <w:pStyle w:val="Heading2"/>
      </w:pPr>
      <w:bookmarkStart w:id="35" w:name="_Toc152086216"/>
      <w:bookmarkStart w:id="36" w:name="_Toc189832244"/>
      <w:r w:rsidRPr="00294696">
        <w:t xml:space="preserve">Legislative and regulatory frameworks governing </w:t>
      </w:r>
      <w:bookmarkEnd w:id="35"/>
      <w:r w:rsidR="00DE6938">
        <w:t>private security in Victoria</w:t>
      </w:r>
      <w:bookmarkEnd w:id="36"/>
      <w:r w:rsidR="00DE6938">
        <w:t xml:space="preserve"> </w:t>
      </w:r>
    </w:p>
    <w:p w14:paraId="1F119256" w14:textId="2E772941" w:rsidR="005F1544" w:rsidRDefault="00064AD5" w:rsidP="005F1544">
      <w:pPr>
        <w:pStyle w:val="Heading3"/>
        <w:rPr>
          <w:i/>
        </w:rPr>
      </w:pPr>
      <w:bookmarkStart w:id="37" w:name="_Toc151997832"/>
      <w:bookmarkStart w:id="38" w:name="_Toc152086217"/>
      <w:bookmarkStart w:id="39" w:name="_Toc155684974"/>
      <w:bookmarkStart w:id="40" w:name="_Toc156202449"/>
      <w:bookmarkStart w:id="41" w:name="_Toc159259925"/>
      <w:bookmarkStart w:id="42" w:name="_Toc161320977"/>
      <w:bookmarkStart w:id="43" w:name="_Toc165561474"/>
      <w:bookmarkStart w:id="44" w:name="_Ref169103671"/>
      <w:bookmarkStart w:id="45" w:name="_Ref169523633"/>
      <w:r>
        <w:rPr>
          <w:i/>
        </w:rPr>
        <w:t>Private Security</w:t>
      </w:r>
      <w:r w:rsidR="005F1544" w:rsidRPr="00294696">
        <w:rPr>
          <w:i/>
        </w:rPr>
        <w:t xml:space="preserve"> Act</w:t>
      </w:r>
      <w:bookmarkEnd w:id="37"/>
      <w:bookmarkEnd w:id="38"/>
      <w:bookmarkEnd w:id="39"/>
      <w:bookmarkEnd w:id="40"/>
      <w:bookmarkEnd w:id="41"/>
      <w:bookmarkEnd w:id="42"/>
      <w:bookmarkEnd w:id="43"/>
      <w:r w:rsidR="00D16BFF">
        <w:rPr>
          <w:i/>
        </w:rPr>
        <w:t xml:space="preserve"> 2004</w:t>
      </w:r>
      <w:bookmarkEnd w:id="44"/>
      <w:bookmarkEnd w:id="45"/>
    </w:p>
    <w:p w14:paraId="6F6E10E8" w14:textId="1BC74D0C" w:rsidR="00FD7FF0" w:rsidRDefault="00B27E28" w:rsidP="000556CA">
      <w:r>
        <w:t xml:space="preserve">The </w:t>
      </w:r>
      <w:r w:rsidR="00D8494B" w:rsidRPr="00D8494B">
        <w:t>Act</w:t>
      </w:r>
      <w:r w:rsidRPr="00D8494B">
        <w:t xml:space="preserve"> is the </w:t>
      </w:r>
      <w:r w:rsidR="00C70634" w:rsidRPr="00D8494B">
        <w:t xml:space="preserve">key </w:t>
      </w:r>
      <w:r w:rsidRPr="00D8494B">
        <w:t xml:space="preserve">legislation governing private security in Victoria. </w:t>
      </w:r>
      <w:r w:rsidR="005778A8" w:rsidRPr="00D8494B">
        <w:t>The purpose of the Act is to provide for the licensing and registration of</w:t>
      </w:r>
      <w:r w:rsidR="005778A8">
        <w:t xml:space="preserve"> certain participants in the private security industry and to otherwise regulate the private security industry for the purposes of ensuring public safety and peace. </w:t>
      </w:r>
      <w:r w:rsidR="00D77F7A">
        <w:t xml:space="preserve">The </w:t>
      </w:r>
      <w:r w:rsidR="00D77F7A" w:rsidRPr="00AA68C0">
        <w:t xml:space="preserve">Minister for </w:t>
      </w:r>
      <w:r w:rsidR="007953E6" w:rsidRPr="00AA68C0">
        <w:t>Police</w:t>
      </w:r>
      <w:r w:rsidR="00D77F7A" w:rsidRPr="00AA68C0">
        <w:t>, supported</w:t>
      </w:r>
      <w:r w:rsidR="00D77F7A">
        <w:t xml:space="preserve"> by the Department of Justice and Community Safety (DJCS) is </w:t>
      </w:r>
      <w:r w:rsidR="00AE132D">
        <w:t xml:space="preserve">the minister in charge of the Act. </w:t>
      </w:r>
    </w:p>
    <w:p w14:paraId="0C1F6A53" w14:textId="021950B8" w:rsidR="000556CA" w:rsidRDefault="00D13E74" w:rsidP="000556CA">
      <w:r>
        <w:t>T</w:t>
      </w:r>
      <w:r w:rsidR="005C2BD8">
        <w:t>he</w:t>
      </w:r>
      <w:r w:rsidR="005C2BD8" w:rsidDel="00CB3B1A">
        <w:t xml:space="preserve"> </w:t>
      </w:r>
      <w:r w:rsidR="00CA2B5D">
        <w:t xml:space="preserve">Act </w:t>
      </w:r>
      <w:r w:rsidR="00CB3B1A">
        <w:t xml:space="preserve">currently </w:t>
      </w:r>
      <w:r w:rsidR="00CA2B5D">
        <w:t xml:space="preserve">prescribes a licensing and registration regime </w:t>
      </w:r>
      <w:r w:rsidR="00DE228A">
        <w:t xml:space="preserve">and sets probity requirements for businesses and individuals in the private security industry. </w:t>
      </w:r>
      <w:r w:rsidR="00FB032F">
        <w:t xml:space="preserve">The Act splits </w:t>
      </w:r>
      <w:r w:rsidR="00B52B62">
        <w:t>security activities</w:t>
      </w:r>
      <w:r w:rsidR="00C50646">
        <w:t xml:space="preserve"> into</w:t>
      </w:r>
      <w:r w:rsidR="00B52B62">
        <w:t xml:space="preserve"> two classes: </w:t>
      </w:r>
      <w:r w:rsidR="00096370">
        <w:t xml:space="preserve">Class A and Class B. </w:t>
      </w:r>
      <w:r w:rsidR="00971E9D">
        <w:t xml:space="preserve">These activities are further discussed in </w:t>
      </w:r>
      <w:r w:rsidR="00C50646">
        <w:t>S</w:t>
      </w:r>
      <w:r w:rsidR="00971E9D">
        <w:t xml:space="preserve">ection </w:t>
      </w:r>
      <w:r w:rsidR="00AB74B0">
        <w:fldChar w:fldCharType="begin"/>
      </w:r>
      <w:r w:rsidR="00AB74B0">
        <w:instrText xml:space="preserve"> REF _Ref172901263 \r \h </w:instrText>
      </w:r>
      <w:r w:rsidR="00AB74B0">
        <w:fldChar w:fldCharType="separate"/>
      </w:r>
      <w:r w:rsidR="009D133E">
        <w:t>1.4</w:t>
      </w:r>
      <w:r w:rsidR="00AB74B0">
        <w:fldChar w:fldCharType="end"/>
      </w:r>
      <w:r w:rsidR="00AB74B0">
        <w:t xml:space="preserve">. </w:t>
      </w:r>
    </w:p>
    <w:p w14:paraId="76872EA2" w14:textId="34168559" w:rsidR="002C6FB8" w:rsidRDefault="002C6FB8" w:rsidP="000556CA">
      <w:r>
        <w:t xml:space="preserve">Class A security activities </w:t>
      </w:r>
      <w:r w:rsidR="00E5286D">
        <w:t xml:space="preserve">cover the following </w:t>
      </w:r>
      <w:r w:rsidR="00B35689">
        <w:t>activities:</w:t>
      </w:r>
    </w:p>
    <w:p w14:paraId="339F8FF6" w14:textId="138CB12B" w:rsidR="00B35689" w:rsidRDefault="00B35689" w:rsidP="00557ACA">
      <w:pPr>
        <w:pStyle w:val="ListParagraph"/>
        <w:numPr>
          <w:ilvl w:val="0"/>
          <w:numId w:val="23"/>
        </w:numPr>
      </w:pPr>
      <w:r>
        <w:t>acting as a</w:t>
      </w:r>
      <w:r w:rsidR="00164FE8">
        <w:t xml:space="preserve"> private</w:t>
      </w:r>
      <w:r>
        <w:t xml:space="preserve"> investigator</w:t>
      </w:r>
    </w:p>
    <w:p w14:paraId="33D4CC8D" w14:textId="7519A41E" w:rsidR="00B35689" w:rsidRDefault="00B35689" w:rsidP="00557ACA">
      <w:pPr>
        <w:pStyle w:val="ListParagraph"/>
        <w:numPr>
          <w:ilvl w:val="0"/>
          <w:numId w:val="23"/>
        </w:numPr>
      </w:pPr>
      <w:r>
        <w:t>acting as a body</w:t>
      </w:r>
      <w:r w:rsidR="00272469">
        <w:t>guard</w:t>
      </w:r>
    </w:p>
    <w:p w14:paraId="0CE04294" w14:textId="1266DE8B" w:rsidR="00B35689" w:rsidRDefault="00B35689" w:rsidP="00557ACA">
      <w:pPr>
        <w:pStyle w:val="ListParagraph"/>
        <w:numPr>
          <w:ilvl w:val="0"/>
          <w:numId w:val="23"/>
        </w:numPr>
      </w:pPr>
      <w:r>
        <w:t>acting as a crowd controller</w:t>
      </w:r>
    </w:p>
    <w:p w14:paraId="0C2E4A04" w14:textId="20D2284A" w:rsidR="00F724E9" w:rsidRDefault="00F724E9" w:rsidP="00557ACA">
      <w:pPr>
        <w:pStyle w:val="ListParagraph"/>
        <w:numPr>
          <w:ilvl w:val="0"/>
          <w:numId w:val="23"/>
        </w:numPr>
      </w:pPr>
      <w:r>
        <w:t>acting as a security guard</w:t>
      </w:r>
      <w:r w:rsidR="00AB74B0">
        <w:t xml:space="preserve"> (includes </w:t>
      </w:r>
      <w:r w:rsidR="008E0AC1">
        <w:t>u</w:t>
      </w:r>
      <w:r w:rsidR="00284124">
        <w:t xml:space="preserve">narmed guard, armed guard, cash-in-transit guard, control room operator, monitoring centre operator and guard with a dog) </w:t>
      </w:r>
    </w:p>
    <w:p w14:paraId="55E6222F" w14:textId="3754249A" w:rsidR="007D3407" w:rsidRDefault="00F724E9" w:rsidP="00557ACA">
      <w:pPr>
        <w:pStyle w:val="ListParagraph"/>
        <w:numPr>
          <w:ilvl w:val="0"/>
          <w:numId w:val="23"/>
        </w:numPr>
      </w:pPr>
      <w:r>
        <w:t>acting as a private security trainer</w:t>
      </w:r>
      <w:r w:rsidR="007D3407">
        <w:t>.</w:t>
      </w:r>
    </w:p>
    <w:p w14:paraId="49E08F02" w14:textId="77777777" w:rsidR="007D3407" w:rsidRDefault="007D3407" w:rsidP="007D3407">
      <w:r>
        <w:t>Class B security activities include the following:</w:t>
      </w:r>
    </w:p>
    <w:p w14:paraId="1603D8C4" w14:textId="78DAAB45" w:rsidR="00B35689" w:rsidRDefault="007D3407" w:rsidP="00557ACA">
      <w:pPr>
        <w:pStyle w:val="ListParagraph"/>
        <w:numPr>
          <w:ilvl w:val="0"/>
          <w:numId w:val="24"/>
        </w:numPr>
      </w:pPr>
      <w:r>
        <w:t>acting as a security equipment installer</w:t>
      </w:r>
      <w:r w:rsidR="00BC0EC2">
        <w:t xml:space="preserve"> (such as installing security cameras, security alarms, vaults</w:t>
      </w:r>
      <w:r w:rsidR="0075507A">
        <w:t>,</w:t>
      </w:r>
      <w:r w:rsidR="00BC0EC2">
        <w:t xml:space="preserve"> and safes)</w:t>
      </w:r>
    </w:p>
    <w:p w14:paraId="50DEF76A" w14:textId="534F3B93" w:rsidR="007D3407" w:rsidRDefault="007D3407" w:rsidP="00557ACA">
      <w:pPr>
        <w:pStyle w:val="ListParagraph"/>
        <w:numPr>
          <w:ilvl w:val="0"/>
          <w:numId w:val="24"/>
        </w:numPr>
      </w:pPr>
      <w:r>
        <w:t>acting as a security adviser</w:t>
      </w:r>
      <w:r w:rsidR="00DD400E">
        <w:t xml:space="preserve"> (for instance, advising clients in relation to security methods or principles)</w:t>
      </w:r>
      <w:r>
        <w:t xml:space="preserve">. </w:t>
      </w:r>
    </w:p>
    <w:p w14:paraId="2696A735" w14:textId="118144AA" w:rsidR="00577B6E" w:rsidRDefault="00B151CA" w:rsidP="00B151CA">
      <w:r>
        <w:t xml:space="preserve">The Act stipulates that individuals and businesses engaging in Class A security </w:t>
      </w:r>
      <w:r w:rsidR="00562261">
        <w:t xml:space="preserve">activities must hold a licence authorising them to carry out the activity. </w:t>
      </w:r>
      <w:r w:rsidR="00BE7BAD">
        <w:t>The Act</w:t>
      </w:r>
      <w:r w:rsidR="001D73A4">
        <w:t xml:space="preserve"> further</w:t>
      </w:r>
      <w:r w:rsidR="00BE7BAD">
        <w:t xml:space="preserve"> specifies that individuals and businesses can only </w:t>
      </w:r>
      <w:r w:rsidR="003836F7">
        <w:t>undertake activities they are licen</w:t>
      </w:r>
      <w:r w:rsidR="00CC124B">
        <w:t>s</w:t>
      </w:r>
      <w:r w:rsidR="003836F7">
        <w:t>ed for</w:t>
      </w:r>
      <w:r w:rsidR="00CC124B">
        <w:t xml:space="preserve"> (e.g.</w:t>
      </w:r>
      <w:r w:rsidR="003836F7">
        <w:t xml:space="preserve">, an individual holding a </w:t>
      </w:r>
      <w:r w:rsidR="00272469">
        <w:t xml:space="preserve">licence for </w:t>
      </w:r>
      <w:r w:rsidR="00CC124B">
        <w:t xml:space="preserve">working as a </w:t>
      </w:r>
      <w:r w:rsidR="00272469">
        <w:t>bodyguard cannot work as an investigator</w:t>
      </w:r>
      <w:r w:rsidR="00CC124B">
        <w:t>)</w:t>
      </w:r>
      <w:r w:rsidR="00C33F88">
        <w:t xml:space="preserve">. </w:t>
      </w:r>
      <w:r w:rsidR="00577B6E">
        <w:t xml:space="preserve">Under the Act, licence holders are required to meet </w:t>
      </w:r>
      <w:r w:rsidR="007973D9">
        <w:t>competency and training requirements as set by Victoria Police.</w:t>
      </w:r>
      <w:r w:rsidR="003B10DF">
        <w:t xml:space="preserve"> </w:t>
      </w:r>
      <w:r w:rsidR="009602C2">
        <w:t xml:space="preserve">For the purposes of a business licence, competency can be demonstrated through membership of a relevant approved security industry organisation </w:t>
      </w:r>
      <w:r w:rsidR="00041018">
        <w:t>or th</w:t>
      </w:r>
      <w:r w:rsidR="00740D89">
        <w:t xml:space="preserve">rough possessing </w:t>
      </w:r>
      <w:r w:rsidR="00F3494D">
        <w:t xml:space="preserve">the qualifications, training, knowledge, or experience as </w:t>
      </w:r>
      <w:r w:rsidR="00A821C9">
        <w:t>determined and published</w:t>
      </w:r>
      <w:r w:rsidR="0036598D">
        <w:t xml:space="preserve"> </w:t>
      </w:r>
      <w:r w:rsidR="00F3494D">
        <w:t xml:space="preserve">by Victoria Police. </w:t>
      </w:r>
      <w:r w:rsidR="00644D01">
        <w:t>Individual licence holders can demonstrate competency through successfully completing any approved training requirement</w:t>
      </w:r>
      <w:r w:rsidR="00292E5C">
        <w:t>s or relevant experience as set by Victoria Police.</w:t>
      </w:r>
      <w:r w:rsidR="00041018">
        <w:t xml:space="preserve"> </w:t>
      </w:r>
      <w:r w:rsidR="0043149D">
        <w:lastRenderedPageBreak/>
        <w:t xml:space="preserve">Class B security activities require individuals and businesses to </w:t>
      </w:r>
      <w:r w:rsidR="00AA68C0">
        <w:t>be registered</w:t>
      </w:r>
      <w:r w:rsidR="0043149D">
        <w:t xml:space="preserve">. </w:t>
      </w:r>
      <w:r w:rsidR="007973D9">
        <w:t xml:space="preserve">There are no </w:t>
      </w:r>
      <w:r w:rsidR="00564D9E">
        <w:t>mandated training requirements fo</w:t>
      </w:r>
      <w:r w:rsidR="00AC5B6D">
        <w:t>r registration holders.</w:t>
      </w:r>
    </w:p>
    <w:p w14:paraId="05C5EEC7" w14:textId="4ACAE23B" w:rsidR="007105F6" w:rsidRDefault="00125C91" w:rsidP="00B151CA">
      <w:r>
        <w:t xml:space="preserve">The Act </w:t>
      </w:r>
      <w:r w:rsidR="00CC175D">
        <w:t>require</w:t>
      </w:r>
      <w:r w:rsidR="00ED1ABC">
        <w:t>s</w:t>
      </w:r>
      <w:r w:rsidR="00CC175D">
        <w:t xml:space="preserve"> a</w:t>
      </w:r>
      <w:r w:rsidR="004C6F4D">
        <w:t xml:space="preserve">ll </w:t>
      </w:r>
      <w:r w:rsidR="00ED1ABC">
        <w:t>licence or registration</w:t>
      </w:r>
      <w:r w:rsidR="004C6F4D">
        <w:t xml:space="preserve"> applicants and associated parties to undertake a criminal history check </w:t>
      </w:r>
      <w:r w:rsidR="00635B6C">
        <w:t>and ongoing monitoring throughout the lifetime of their licence or registration.</w:t>
      </w:r>
    </w:p>
    <w:p w14:paraId="5DA00757" w14:textId="6455BF35" w:rsidR="004335FD" w:rsidRDefault="004335FD" w:rsidP="00B151CA">
      <w:r>
        <w:t xml:space="preserve">In addition to licensing and registration, the Act </w:t>
      </w:r>
      <w:r w:rsidR="00673CC9">
        <w:t>prescribes:</w:t>
      </w:r>
    </w:p>
    <w:p w14:paraId="01F6CE9C" w14:textId="77777777" w:rsidR="000A1533" w:rsidRPr="000A1533" w:rsidRDefault="000A1533" w:rsidP="00557ACA">
      <w:pPr>
        <w:pStyle w:val="ListParagraph"/>
        <w:numPr>
          <w:ilvl w:val="0"/>
          <w:numId w:val="24"/>
        </w:numPr>
      </w:pPr>
      <w:r w:rsidRPr="000A1533">
        <w:t>types of offences related to providing private security services without a licence or registration (including penalty units)</w:t>
      </w:r>
    </w:p>
    <w:p w14:paraId="7460E9D8" w14:textId="77777777" w:rsidR="000A1533" w:rsidRPr="000A1533" w:rsidRDefault="000A1533" w:rsidP="00557ACA">
      <w:pPr>
        <w:pStyle w:val="ListParagraph"/>
        <w:numPr>
          <w:ilvl w:val="0"/>
          <w:numId w:val="24"/>
        </w:numPr>
      </w:pPr>
      <w:r w:rsidRPr="000A1533">
        <w:t>requirements that must be included in applications for a new, renewed or varied licence or registration</w:t>
      </w:r>
    </w:p>
    <w:p w14:paraId="7A0AE239" w14:textId="77777777" w:rsidR="000A1533" w:rsidRPr="000A1533" w:rsidRDefault="000A1533" w:rsidP="00557ACA">
      <w:pPr>
        <w:pStyle w:val="ListParagraph"/>
        <w:numPr>
          <w:ilvl w:val="0"/>
          <w:numId w:val="24"/>
        </w:numPr>
      </w:pPr>
      <w:r w:rsidRPr="000A1533">
        <w:t>duration of licences and registrations, and processes for and conditions under which temporary permits may be granted</w:t>
      </w:r>
    </w:p>
    <w:p w14:paraId="0E9595B4" w14:textId="77777777" w:rsidR="000A1533" w:rsidRPr="000A1533" w:rsidRDefault="000A1533" w:rsidP="00557ACA">
      <w:pPr>
        <w:pStyle w:val="ListParagraph"/>
        <w:numPr>
          <w:ilvl w:val="0"/>
          <w:numId w:val="24"/>
        </w:numPr>
      </w:pPr>
      <w:r w:rsidRPr="000A1533">
        <w:t>processes for complaints, disciplinary hearings/actions and cancellations of licences and registrations</w:t>
      </w:r>
    </w:p>
    <w:p w14:paraId="1B9CCA92" w14:textId="774566EF" w:rsidR="000A1533" w:rsidRPr="000A1533" w:rsidRDefault="000A1533" w:rsidP="00557ACA">
      <w:pPr>
        <w:pStyle w:val="ListParagraph"/>
        <w:numPr>
          <w:ilvl w:val="0"/>
          <w:numId w:val="24"/>
        </w:numPr>
      </w:pPr>
      <w:r w:rsidRPr="000A1533">
        <w:t>powers and associated processes of V</w:t>
      </w:r>
      <w:r w:rsidR="008332CF">
        <w:t>ictorian Civil and Administrative Tribunal (</w:t>
      </w:r>
      <w:r w:rsidRPr="000A1533">
        <w:t>VCAT</w:t>
      </w:r>
      <w:r w:rsidR="008332CF">
        <w:t>)</w:t>
      </w:r>
      <w:r w:rsidRPr="000A1533">
        <w:t xml:space="preserve"> in hearings and reviews</w:t>
      </w:r>
    </w:p>
    <w:p w14:paraId="69141502" w14:textId="77777777" w:rsidR="000A1533" w:rsidRPr="000A1533" w:rsidRDefault="000A1533" w:rsidP="00557ACA">
      <w:pPr>
        <w:pStyle w:val="ListParagraph"/>
        <w:numPr>
          <w:ilvl w:val="0"/>
          <w:numId w:val="24"/>
        </w:numPr>
      </w:pPr>
      <w:r w:rsidRPr="000A1533">
        <w:t>powers and associated processes for inspection and enforcement by the Chief Commissioner.</w:t>
      </w:r>
    </w:p>
    <w:p w14:paraId="79930C99" w14:textId="63F67F9E" w:rsidR="000556CA" w:rsidRPr="00F54D8E" w:rsidRDefault="00F54D8E" w:rsidP="00743388">
      <w:pPr>
        <w:pStyle w:val="Heading4"/>
        <w:rPr>
          <w:i/>
          <w:iCs w:val="0"/>
        </w:rPr>
      </w:pPr>
      <w:bookmarkStart w:id="46" w:name="_Ref168563840"/>
      <w:r w:rsidRPr="00F54D8E">
        <w:rPr>
          <w:i/>
          <w:iCs w:val="0"/>
        </w:rPr>
        <w:t xml:space="preserve">Private Security and County Court </w:t>
      </w:r>
      <w:r w:rsidR="004620EE">
        <w:rPr>
          <w:i/>
          <w:iCs w:val="0"/>
        </w:rPr>
        <w:t xml:space="preserve">Amendment </w:t>
      </w:r>
      <w:r w:rsidRPr="00F54D8E">
        <w:rPr>
          <w:i/>
          <w:iCs w:val="0"/>
        </w:rPr>
        <w:t>Act 2024</w:t>
      </w:r>
      <w:bookmarkEnd w:id="46"/>
      <w:r w:rsidRPr="00F54D8E">
        <w:rPr>
          <w:i/>
          <w:iCs w:val="0"/>
        </w:rPr>
        <w:t xml:space="preserve"> </w:t>
      </w:r>
    </w:p>
    <w:p w14:paraId="51605570" w14:textId="3B5B97D9" w:rsidR="005F1544" w:rsidRDefault="00353815" w:rsidP="005F1544">
      <w:r>
        <w:t>The amending Act</w:t>
      </w:r>
      <w:r w:rsidR="008E7DF1">
        <w:t>, which will come into effect on 19 June 2025,</w:t>
      </w:r>
      <w:r>
        <w:t xml:space="preserve"> </w:t>
      </w:r>
      <w:r w:rsidR="008201E9">
        <w:t xml:space="preserve">introduces </w:t>
      </w:r>
      <w:r>
        <w:t>the following changes to the Act:</w:t>
      </w:r>
    </w:p>
    <w:p w14:paraId="0D98BD9C" w14:textId="3CB6830C" w:rsidR="00942307" w:rsidRDefault="007F4E15" w:rsidP="00557ACA">
      <w:pPr>
        <w:pStyle w:val="ListParagraph"/>
        <w:numPr>
          <w:ilvl w:val="0"/>
          <w:numId w:val="25"/>
        </w:numPr>
      </w:pPr>
      <w:r>
        <w:t>replacement of the current two-tier system of licen</w:t>
      </w:r>
      <w:r w:rsidR="00574731">
        <w:t>c</w:t>
      </w:r>
      <w:r>
        <w:t>e</w:t>
      </w:r>
      <w:r w:rsidR="00574731">
        <w:t>s</w:t>
      </w:r>
      <w:r>
        <w:t xml:space="preserve"> and registration</w:t>
      </w:r>
      <w:r w:rsidR="00D10B2C">
        <w:t>s</w:t>
      </w:r>
      <w:r>
        <w:t xml:space="preserve"> with a single-tier licensing system</w:t>
      </w:r>
    </w:p>
    <w:p w14:paraId="4AFB9D11" w14:textId="2F779721" w:rsidR="007F4E15" w:rsidRDefault="00032B7A" w:rsidP="00557ACA">
      <w:pPr>
        <w:pStyle w:val="ListParagraph"/>
        <w:numPr>
          <w:ilvl w:val="0"/>
          <w:numId w:val="25"/>
        </w:numPr>
      </w:pPr>
      <w:r>
        <w:t xml:space="preserve">removal of requirement for licence applicants to supply personal references </w:t>
      </w:r>
    </w:p>
    <w:p w14:paraId="48745ABF" w14:textId="20ACA94C" w:rsidR="00032B7A" w:rsidRDefault="00575CCC" w:rsidP="00557ACA">
      <w:pPr>
        <w:pStyle w:val="ListParagraph"/>
        <w:numPr>
          <w:ilvl w:val="0"/>
          <w:numId w:val="25"/>
        </w:numPr>
      </w:pPr>
      <w:r>
        <w:t>introduction of enforceable requirements for:</w:t>
      </w:r>
    </w:p>
    <w:p w14:paraId="29D82BD2" w14:textId="77777777" w:rsidR="00882508" w:rsidRDefault="00575CCC" w:rsidP="00202AB3">
      <w:pPr>
        <w:pStyle w:val="ListParagraph"/>
        <w:numPr>
          <w:ilvl w:val="0"/>
          <w:numId w:val="35"/>
        </w:numPr>
      </w:pPr>
      <w:r>
        <w:t xml:space="preserve">transparency and accountability when </w:t>
      </w:r>
      <w:r w:rsidR="00882508">
        <w:t xml:space="preserve">sub-contracting security services </w:t>
      </w:r>
    </w:p>
    <w:p w14:paraId="0BF602B6" w14:textId="4DC4C895" w:rsidR="000A17ED" w:rsidRDefault="00882508" w:rsidP="00202AB3">
      <w:pPr>
        <w:pStyle w:val="ListParagraph"/>
        <w:numPr>
          <w:ilvl w:val="0"/>
          <w:numId w:val="35"/>
        </w:numPr>
      </w:pPr>
      <w:r>
        <w:t xml:space="preserve">a person seeking to operate under an ABN as an individual security </w:t>
      </w:r>
      <w:r w:rsidR="000A17ED">
        <w:t xml:space="preserve">supplier to also obtain a business private security licence </w:t>
      </w:r>
    </w:p>
    <w:p w14:paraId="40E30362" w14:textId="06BAA1BE" w:rsidR="00575CCC" w:rsidRDefault="000A17ED" w:rsidP="00202AB3">
      <w:pPr>
        <w:pStyle w:val="ListParagraph"/>
        <w:numPr>
          <w:ilvl w:val="0"/>
          <w:numId w:val="35"/>
        </w:numPr>
      </w:pPr>
      <w:r>
        <w:t xml:space="preserve">workers in </w:t>
      </w:r>
      <w:r w:rsidR="00CB2275">
        <w:t>high-risk</w:t>
      </w:r>
      <w:r>
        <w:t xml:space="preserve"> roles</w:t>
      </w:r>
      <w:r w:rsidR="005315BC">
        <w:t xml:space="preserve"> </w:t>
      </w:r>
      <w:r>
        <w:t xml:space="preserve">such as crowd controllers to undertake </w:t>
      </w:r>
      <w:r w:rsidR="00CB2275">
        <w:t>refresher training prior to licence renewal</w:t>
      </w:r>
    </w:p>
    <w:p w14:paraId="190CF2C5" w14:textId="77777777" w:rsidR="004827DC" w:rsidRPr="005049BE" w:rsidRDefault="004827DC" w:rsidP="00202AB3">
      <w:pPr>
        <w:pStyle w:val="ListParagraph"/>
        <w:numPr>
          <w:ilvl w:val="0"/>
          <w:numId w:val="35"/>
        </w:numPr>
      </w:pPr>
      <w:r>
        <w:t xml:space="preserve">people hiring security services to undertake their own risk assessment for the event and/or premises and to </w:t>
      </w:r>
      <w:r w:rsidRPr="005049BE">
        <w:t xml:space="preserve">provide the risk assessment to the hired security workers </w:t>
      </w:r>
    </w:p>
    <w:p w14:paraId="1B5F7867" w14:textId="6695E894" w:rsidR="00CB2275" w:rsidRPr="005049BE" w:rsidRDefault="002F3F35" w:rsidP="00202AB3">
      <w:pPr>
        <w:pStyle w:val="ListParagraph"/>
        <w:numPr>
          <w:ilvl w:val="0"/>
          <w:numId w:val="35"/>
        </w:numPr>
      </w:pPr>
      <w:r w:rsidRPr="005049BE">
        <w:t xml:space="preserve">hirers of private security services to provide </w:t>
      </w:r>
      <w:r w:rsidR="005D702C" w:rsidRPr="005049BE">
        <w:t xml:space="preserve">site inductions to all new security workers </w:t>
      </w:r>
    </w:p>
    <w:p w14:paraId="0B8F33C6" w14:textId="6A04112A" w:rsidR="00D43A00" w:rsidRPr="005049BE" w:rsidRDefault="00696D7D" w:rsidP="00202AB3">
      <w:pPr>
        <w:pStyle w:val="ListParagraph"/>
        <w:numPr>
          <w:ilvl w:val="0"/>
          <w:numId w:val="35"/>
        </w:numPr>
      </w:pPr>
      <w:r w:rsidRPr="005049BE">
        <w:t>a Code of Conduct for workers that would be enforceable via licence sanctions</w:t>
      </w:r>
    </w:p>
    <w:p w14:paraId="3B2956BB" w14:textId="0148936E" w:rsidR="00696D7D" w:rsidRPr="005049BE" w:rsidRDefault="005C3205" w:rsidP="00202AB3">
      <w:pPr>
        <w:pStyle w:val="ListParagraph"/>
        <w:numPr>
          <w:ilvl w:val="0"/>
          <w:numId w:val="36"/>
        </w:numPr>
      </w:pPr>
      <w:r w:rsidRPr="005049BE">
        <w:t>clarification of requirements</w:t>
      </w:r>
      <w:r w:rsidR="00561857" w:rsidRPr="005049BE">
        <w:t xml:space="preserve"> that</w:t>
      </w:r>
      <w:r w:rsidR="00AB5FA4">
        <w:t>:</w:t>
      </w:r>
    </w:p>
    <w:p w14:paraId="339BE09D" w14:textId="628A454C" w:rsidR="00561857" w:rsidRDefault="00F47C38" w:rsidP="00202AB3">
      <w:pPr>
        <w:pStyle w:val="ListParagraph"/>
        <w:numPr>
          <w:ilvl w:val="1"/>
          <w:numId w:val="36"/>
        </w:numPr>
      </w:pPr>
      <w:r w:rsidRPr="005049BE">
        <w:t>the Chief Commissioner of Police ma</w:t>
      </w:r>
      <w:r w:rsidR="006B1C78">
        <w:t>y</w:t>
      </w:r>
      <w:r>
        <w:t xml:space="preserve"> determine proof of identity requirements </w:t>
      </w:r>
    </w:p>
    <w:p w14:paraId="6790EA19" w14:textId="0D5460F6" w:rsidR="00F47C38" w:rsidRDefault="000275C0" w:rsidP="00202AB3">
      <w:pPr>
        <w:pStyle w:val="ListParagraph"/>
        <w:numPr>
          <w:ilvl w:val="1"/>
          <w:numId w:val="36"/>
        </w:numPr>
      </w:pPr>
      <w:r>
        <w:t xml:space="preserve">in a licence suspension appeal at the </w:t>
      </w:r>
      <w:r w:rsidR="008332CF">
        <w:t>VCAT</w:t>
      </w:r>
      <w:r w:rsidR="001E3C9A">
        <w:t xml:space="preserve"> where there is protected information involved</w:t>
      </w:r>
      <w:r>
        <w:t>, VCAT may only</w:t>
      </w:r>
      <w:r w:rsidR="001E3C9A">
        <w:t xml:space="preserve"> appoint special counsel to address the protected information and not to act for the </w:t>
      </w:r>
      <w:r w:rsidR="005952B5">
        <w:t>applicant more generally.</w:t>
      </w:r>
      <w:r w:rsidR="0036598D">
        <w:t xml:space="preserve"> </w:t>
      </w:r>
    </w:p>
    <w:p w14:paraId="613A53C6" w14:textId="1374224A" w:rsidR="001D6234" w:rsidRDefault="003574DC" w:rsidP="00F000BC">
      <w:r>
        <w:t>Most</w:t>
      </w:r>
      <w:r w:rsidR="004D06F5">
        <w:t xml:space="preserve"> of the amendments listed above will </w:t>
      </w:r>
      <w:r w:rsidR="002A792D">
        <w:t xml:space="preserve">come into effect </w:t>
      </w:r>
      <w:r w:rsidR="00A1036A">
        <w:t xml:space="preserve">outside of the Regulations </w:t>
      </w:r>
      <w:r w:rsidR="002A792D">
        <w:t xml:space="preserve">(e.g. </w:t>
      </w:r>
      <w:r w:rsidR="00780C3F">
        <w:t xml:space="preserve">through amendments to the Act itself </w:t>
      </w:r>
      <w:r w:rsidR="002A792D">
        <w:t xml:space="preserve">or </w:t>
      </w:r>
      <w:r w:rsidR="00780C3F">
        <w:t xml:space="preserve">developed by the Chief Commissioner of Police </w:t>
      </w:r>
      <w:r w:rsidR="002A792D">
        <w:t xml:space="preserve">as guidance </w:t>
      </w:r>
      <w:r w:rsidR="00A83154">
        <w:t>to</w:t>
      </w:r>
      <w:r w:rsidR="00780C3F">
        <w:t xml:space="preserve"> be listed on Victoria Police’s website</w:t>
      </w:r>
      <w:r w:rsidR="002A792D">
        <w:t>)</w:t>
      </w:r>
      <w:r w:rsidR="00780C3F">
        <w:t xml:space="preserve">. </w:t>
      </w:r>
    </w:p>
    <w:p w14:paraId="0CBFB989" w14:textId="2A937FCF" w:rsidR="005952B5" w:rsidRDefault="001D6234" w:rsidP="00F000BC">
      <w:r>
        <w:t>The replacement of a two-tier licensing system with a single-tier licensing system is the</w:t>
      </w:r>
      <w:r w:rsidR="008201E9">
        <w:t xml:space="preserve"> primary</w:t>
      </w:r>
      <w:r>
        <w:t xml:space="preserve"> </w:t>
      </w:r>
      <w:r w:rsidR="009A5AE3">
        <w:t>change that affects the Regulations</w:t>
      </w:r>
      <w:r w:rsidR="00F4390B">
        <w:t>.</w:t>
      </w:r>
      <w:r w:rsidR="00C723D7">
        <w:t xml:space="preserve"> The amendments merge the licensing and registration systems into a single licensing system. Class B security activities that currently only require registration will now require licensing. </w:t>
      </w:r>
      <w:r w:rsidR="003524BE">
        <w:t>Once the amendment</w:t>
      </w:r>
      <w:r w:rsidR="006056EF">
        <w:t>s</w:t>
      </w:r>
      <w:r w:rsidR="003524BE">
        <w:t xml:space="preserve"> </w:t>
      </w:r>
      <w:r w:rsidR="0093761D">
        <w:t>come</w:t>
      </w:r>
      <w:r w:rsidR="003524BE">
        <w:t xml:space="preserve"> into effect, the Act (and subsequently the Regulations) will no longer refer to Class A and Class B activities</w:t>
      </w:r>
      <w:r w:rsidR="00DC142C">
        <w:t xml:space="preserve">. Instead, all activities </w:t>
      </w:r>
      <w:r w:rsidR="00156DCE">
        <w:t>will collectively be</w:t>
      </w:r>
      <w:r w:rsidR="00DC142C">
        <w:t xml:space="preserve"> referred to as ‘security </w:t>
      </w:r>
      <w:r w:rsidR="00156DCE">
        <w:t>activities’</w:t>
      </w:r>
      <w:r w:rsidR="00DC142C">
        <w:t xml:space="preserve">. </w:t>
      </w:r>
      <w:r w:rsidR="00C723D7">
        <w:t xml:space="preserve">The exact training requirements for currently registered individuals and businesses are yet to be determined and will be decided at </w:t>
      </w:r>
      <w:r w:rsidR="00992965">
        <w:t>the</w:t>
      </w:r>
      <w:r w:rsidR="00C723D7">
        <w:t xml:space="preserve"> discretion</w:t>
      </w:r>
      <w:r w:rsidR="00992965">
        <w:t xml:space="preserve"> of the Chief Commissioner of Police</w:t>
      </w:r>
      <w:r w:rsidR="00C723D7">
        <w:t xml:space="preserve">. </w:t>
      </w:r>
    </w:p>
    <w:p w14:paraId="4C0A8581" w14:textId="27974860" w:rsidR="001D57B6" w:rsidRDefault="00E24EA2" w:rsidP="001D57B6">
      <w:r>
        <w:t xml:space="preserve">The current two-tier system of licensing and registration is being replaced by a single-tier licensing system to address </w:t>
      </w:r>
      <w:r w:rsidR="001D57B6">
        <w:t>the discrepancies between the requirements for licence holders and registration holders. Registration holders can advise individuals and businesses regarding their security concerns and can install critical safety equipment such as cameras, alarm systems, safes, and vaults. Registration holders are</w:t>
      </w:r>
      <w:r w:rsidR="0093761D">
        <w:t>,</w:t>
      </w:r>
      <w:r w:rsidR="001D57B6">
        <w:t xml:space="preserve"> however</w:t>
      </w:r>
      <w:r w:rsidR="0093761D">
        <w:t>,</w:t>
      </w:r>
      <w:r w:rsidR="001D57B6">
        <w:t xml:space="preserve"> not subject to </w:t>
      </w:r>
      <w:r w:rsidR="0093761D">
        <w:t xml:space="preserve">the same </w:t>
      </w:r>
      <w:r w:rsidR="001D57B6">
        <w:t xml:space="preserve">mandatory competency and training requirements as licence holders are. This may result in individuals performing critical equipment installation or security advisory functions without adequate skills or qualifications. </w:t>
      </w:r>
    </w:p>
    <w:p w14:paraId="4AB08612" w14:textId="4B07E6A8" w:rsidR="001D57B6" w:rsidRDefault="001D57B6" w:rsidP="001D57B6">
      <w:r>
        <w:t xml:space="preserve">The </w:t>
      </w:r>
      <w:r w:rsidR="002D3DFB">
        <w:t>different</w:t>
      </w:r>
      <w:r>
        <w:t xml:space="preserve"> requirements for licence and registration holders a</w:t>
      </w:r>
      <w:r w:rsidR="00315330">
        <w:t>lso</w:t>
      </w:r>
      <w:r>
        <w:t xml:space="preserve"> increase the administrative burden on both applicants and the Victoria Police staff assessing the applications. </w:t>
      </w:r>
      <w:r w:rsidR="0072595D">
        <w:t>Those providing</w:t>
      </w:r>
      <w:r>
        <w:t xml:space="preserve"> services across </w:t>
      </w:r>
      <w:r w:rsidR="0072595D">
        <w:t xml:space="preserve">both </w:t>
      </w:r>
      <w:r>
        <w:t xml:space="preserve">categories must complete two separate applications with differing requirements. </w:t>
      </w:r>
    </w:p>
    <w:p w14:paraId="71144311" w14:textId="6AEAC0E6" w:rsidR="001D57B6" w:rsidRDefault="001D57B6" w:rsidP="001D57B6">
      <w:r>
        <w:t xml:space="preserve">The different requirements for licence and registration applications require Victoria Police staff to be familiar with multiple sections of the Act as currently the requirements for licence and registration holders are spread across different sections of the Act. For instance, the circumstances under which the police must refuse to grant a private security licence or registration are contained in four different sections of the Act. This can increase the time taken to assess an application. Merging licensing and registration under one a single licensing scheme will streamline the process of assessing applications and can help reduce time taken in granting a licence. </w:t>
      </w:r>
    </w:p>
    <w:p w14:paraId="29FAC42C" w14:textId="31178A14" w:rsidR="005F1544" w:rsidRDefault="004E60EA" w:rsidP="007D2C87">
      <w:pPr>
        <w:pStyle w:val="Heading3"/>
      </w:pPr>
      <w:bookmarkStart w:id="47" w:name="_Ref169523917"/>
      <w:r>
        <w:lastRenderedPageBreak/>
        <w:t>Private Security Regulations 2016</w:t>
      </w:r>
      <w:bookmarkEnd w:id="47"/>
    </w:p>
    <w:p w14:paraId="5319F478" w14:textId="0C552553" w:rsidR="00F87502" w:rsidRDefault="00F87502" w:rsidP="00E22126">
      <w:r>
        <w:t xml:space="preserve">The </w:t>
      </w:r>
      <w:r w:rsidR="008201E9">
        <w:t xml:space="preserve">Act contains a regulation making power, under which the </w:t>
      </w:r>
      <w:r>
        <w:t>Regulations are made</w:t>
      </w:r>
      <w:r w:rsidR="00DD053B">
        <w:t>. The Regulations came into effect on 26 June 2016</w:t>
      </w:r>
      <w:r w:rsidR="00F27B7E">
        <w:t xml:space="preserve"> and prescribe</w:t>
      </w:r>
      <w:r w:rsidR="0071066E">
        <w:t>:</w:t>
      </w:r>
    </w:p>
    <w:p w14:paraId="3615B00E" w14:textId="70425E1F" w:rsidR="00FD6DD5" w:rsidRDefault="00243BCC" w:rsidP="00557ACA">
      <w:pPr>
        <w:pStyle w:val="ListParagraph"/>
        <w:numPr>
          <w:ilvl w:val="0"/>
          <w:numId w:val="26"/>
        </w:numPr>
      </w:pPr>
      <w:r>
        <w:t>i</w:t>
      </w:r>
      <w:r w:rsidR="009375B4">
        <w:t>ndiv</w:t>
      </w:r>
      <w:r>
        <w:t>iduals to whom the whom the Act does not appl</w:t>
      </w:r>
      <w:r w:rsidR="00FD6DD5">
        <w:t>y</w:t>
      </w:r>
    </w:p>
    <w:p w14:paraId="6B45FF83" w14:textId="7859307E" w:rsidR="0071066E" w:rsidRDefault="00FD6DD5" w:rsidP="00557ACA">
      <w:pPr>
        <w:pStyle w:val="ListParagraph"/>
        <w:numPr>
          <w:ilvl w:val="0"/>
          <w:numId w:val="26"/>
        </w:numPr>
      </w:pPr>
      <w:r>
        <w:t>particulars and documentation that must be included in a licence or registration application</w:t>
      </w:r>
    </w:p>
    <w:p w14:paraId="131CB528" w14:textId="10A64C22" w:rsidR="00FD6DD5" w:rsidRDefault="0068103B" w:rsidP="00557ACA">
      <w:pPr>
        <w:pStyle w:val="ListParagraph"/>
        <w:numPr>
          <w:ilvl w:val="0"/>
          <w:numId w:val="26"/>
        </w:numPr>
      </w:pPr>
      <w:r>
        <w:t>fees for licences, registration and permits</w:t>
      </w:r>
    </w:p>
    <w:p w14:paraId="7276229F" w14:textId="56C37FA7" w:rsidR="0068103B" w:rsidRDefault="0068103B" w:rsidP="00557ACA">
      <w:pPr>
        <w:pStyle w:val="ListParagraph"/>
        <w:numPr>
          <w:ilvl w:val="0"/>
          <w:numId w:val="26"/>
        </w:numPr>
      </w:pPr>
      <w:r>
        <w:t>requirements for licence and registration holders to keep permanent records and associated penalties for non-compliance</w:t>
      </w:r>
    </w:p>
    <w:p w14:paraId="741A8251" w14:textId="568DAEC9" w:rsidR="0068103B" w:rsidRDefault="001E366F" w:rsidP="00557ACA">
      <w:pPr>
        <w:pStyle w:val="ListParagraph"/>
        <w:numPr>
          <w:ilvl w:val="0"/>
          <w:numId w:val="26"/>
        </w:numPr>
      </w:pPr>
      <w:r>
        <w:t xml:space="preserve">clarification relating to crowd controllers’ identification </w:t>
      </w:r>
      <w:r w:rsidR="00E240EF">
        <w:t>and recording duty times for</w:t>
      </w:r>
      <w:r w:rsidR="00BA43A8">
        <w:t xml:space="preserve"> crowd controllers</w:t>
      </w:r>
    </w:p>
    <w:p w14:paraId="67DCDCF8" w14:textId="25051890" w:rsidR="001E366F" w:rsidRDefault="00BA43A8" w:rsidP="00557ACA">
      <w:pPr>
        <w:pStyle w:val="ListParagraph"/>
        <w:numPr>
          <w:ilvl w:val="0"/>
          <w:numId w:val="26"/>
        </w:numPr>
      </w:pPr>
      <w:r>
        <w:t xml:space="preserve">infringement notices and infringement penalties for </w:t>
      </w:r>
      <w:r w:rsidR="00662D33">
        <w:t>offences against sections of the Act</w:t>
      </w:r>
    </w:p>
    <w:p w14:paraId="2D19AA45" w14:textId="6C748840" w:rsidR="00662D33" w:rsidRDefault="00C103E3" w:rsidP="00557ACA">
      <w:pPr>
        <w:pStyle w:val="ListParagraph"/>
        <w:numPr>
          <w:ilvl w:val="0"/>
          <w:numId w:val="26"/>
        </w:numPr>
      </w:pPr>
      <w:r>
        <w:t xml:space="preserve">other matters </w:t>
      </w:r>
      <w:r w:rsidR="006D35BE">
        <w:t>required for the purposes of the Act.</w:t>
      </w:r>
    </w:p>
    <w:p w14:paraId="53F91BA3" w14:textId="58E9E512" w:rsidR="000F3E77" w:rsidRDefault="00827818" w:rsidP="000F3E77">
      <w:r>
        <w:t xml:space="preserve">While it is the Act that creates the obligation for applicants to meet the probity and competency requirements, the Regulations </w:t>
      </w:r>
      <w:r w:rsidR="0016331B">
        <w:t>provide clarity on meeting these requirements</w:t>
      </w:r>
      <w:r>
        <w:t xml:space="preserve"> by </w:t>
      </w:r>
      <w:r w:rsidR="00A44EBB">
        <w:t>prescribing the particulars and documents required to support an applica</w:t>
      </w:r>
      <w:r w:rsidR="0016331B">
        <w:t xml:space="preserve">tion. </w:t>
      </w:r>
      <w:r w:rsidR="000F3E77">
        <w:t xml:space="preserve">The </w:t>
      </w:r>
      <w:r w:rsidR="00FC6209">
        <w:t xml:space="preserve">particulars prescribed by the Regulations for individual and business private security licence and registration applications are </w:t>
      </w:r>
      <w:r w:rsidR="00E20DDF">
        <w:t>outlined in</w:t>
      </w:r>
      <w:r w:rsidR="00313226">
        <w:t xml:space="preserve"> Table 1.1</w:t>
      </w:r>
      <w:r w:rsidR="00E20DDF">
        <w:t xml:space="preserve"> and</w:t>
      </w:r>
      <w:r w:rsidR="00313226">
        <w:t xml:space="preserve"> Table 1.2</w:t>
      </w:r>
      <w:r w:rsidR="00E20DDF">
        <w:t xml:space="preserve"> respectively.</w:t>
      </w:r>
      <w:r w:rsidR="003323F6">
        <w:t xml:space="preserve"> As the tables show, the key </w:t>
      </w:r>
      <w:r w:rsidR="000062FF">
        <w:t xml:space="preserve">distinction between licence </w:t>
      </w:r>
      <w:r w:rsidR="00544CF9">
        <w:t>applications</w:t>
      </w:r>
      <w:r w:rsidR="000062FF">
        <w:t xml:space="preserve"> and registration applications is the requirement to provide details and documents</w:t>
      </w:r>
      <w:r w:rsidR="00D26E3F">
        <w:t xml:space="preserve"> proving the licence applicant’s training, </w:t>
      </w:r>
      <w:r w:rsidR="002656CC">
        <w:t>qualification,</w:t>
      </w:r>
      <w:r w:rsidR="00D26E3F">
        <w:t xml:space="preserve"> or </w:t>
      </w:r>
      <w:r w:rsidR="002656CC">
        <w:t xml:space="preserve">experience. This requirement does not apply to registration holders. </w:t>
      </w:r>
    </w:p>
    <w:p w14:paraId="0F20CE31" w14:textId="11D2F3CA" w:rsidR="00E20DDF" w:rsidRDefault="00EB4EB6" w:rsidP="00EB4EB6">
      <w:pPr>
        <w:pStyle w:val="Caption"/>
      </w:pPr>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1</w:t>
      </w:r>
      <w:r w:rsidR="00414520">
        <w:fldChar w:fldCharType="end"/>
      </w:r>
      <w:r w:rsidR="00562CF5">
        <w:t xml:space="preserve">: </w:t>
      </w:r>
      <w:r w:rsidR="00E20DDF">
        <w:t>Particulars prescribed for private security individual applications</w:t>
      </w:r>
    </w:p>
    <w:tbl>
      <w:tblPr>
        <w:tblStyle w:val="Deloittetable"/>
        <w:tblW w:w="5000" w:type="pct"/>
        <w:tblLook w:val="04A0" w:firstRow="1" w:lastRow="0" w:firstColumn="1" w:lastColumn="0" w:noHBand="0" w:noVBand="1"/>
      </w:tblPr>
      <w:tblGrid>
        <w:gridCol w:w="4028"/>
        <w:gridCol w:w="2805"/>
        <w:gridCol w:w="2805"/>
      </w:tblGrid>
      <w:tr w:rsidR="00E20DDF" w:rsidRPr="00294696" w14:paraId="6A2315D9" w14:textId="77777777">
        <w:trPr>
          <w:cnfStyle w:val="100000000000" w:firstRow="1" w:lastRow="0" w:firstColumn="0" w:lastColumn="0" w:oddVBand="0" w:evenVBand="0" w:oddHBand="0" w:evenHBand="0" w:firstRowFirstColumn="0" w:firstRowLastColumn="0" w:lastRowFirstColumn="0" w:lastRowLastColumn="0"/>
        </w:trPr>
        <w:tc>
          <w:tcPr>
            <w:tcW w:w="2090" w:type="pct"/>
          </w:tcPr>
          <w:p w14:paraId="30CBA2AB" w14:textId="77777777" w:rsidR="00E20DDF" w:rsidRPr="002F3D61" w:rsidRDefault="00E20DDF" w:rsidP="00E20DDF">
            <w:pPr>
              <w:pStyle w:val="TabletextLeft"/>
              <w:ind w:left="0"/>
              <w:rPr>
                <w:b/>
                <w:bCs/>
              </w:rPr>
            </w:pPr>
            <w:r w:rsidRPr="002F3D61">
              <w:rPr>
                <w:b/>
                <w:bCs/>
              </w:rPr>
              <w:t>Category</w:t>
            </w:r>
          </w:p>
        </w:tc>
        <w:tc>
          <w:tcPr>
            <w:tcW w:w="1455" w:type="pct"/>
          </w:tcPr>
          <w:p w14:paraId="0F2C5623" w14:textId="77777777" w:rsidR="00E20DDF" w:rsidRPr="002F3D61" w:rsidRDefault="00E20DDF" w:rsidP="00E20DDF">
            <w:pPr>
              <w:pStyle w:val="TabletextLeft"/>
              <w:jc w:val="center"/>
              <w:rPr>
                <w:b/>
                <w:bCs/>
              </w:rPr>
            </w:pPr>
            <w:r>
              <w:rPr>
                <w:b/>
                <w:bCs/>
              </w:rPr>
              <w:t>Licence</w:t>
            </w:r>
          </w:p>
        </w:tc>
        <w:tc>
          <w:tcPr>
            <w:tcW w:w="1455" w:type="pct"/>
          </w:tcPr>
          <w:p w14:paraId="32F1324A" w14:textId="77777777" w:rsidR="00E20DDF" w:rsidRDefault="00E20DDF" w:rsidP="00E20DDF">
            <w:pPr>
              <w:pStyle w:val="TabletextLeft"/>
              <w:jc w:val="center"/>
              <w:rPr>
                <w:b/>
                <w:bCs/>
              </w:rPr>
            </w:pPr>
            <w:r>
              <w:rPr>
                <w:b/>
                <w:bCs/>
              </w:rPr>
              <w:t xml:space="preserve">Registration </w:t>
            </w:r>
          </w:p>
        </w:tc>
      </w:tr>
      <w:tr w:rsidR="00E20DDF" w:rsidRPr="00294696" w14:paraId="4386DFC0" w14:textId="77777777">
        <w:tc>
          <w:tcPr>
            <w:tcW w:w="2090" w:type="pct"/>
          </w:tcPr>
          <w:p w14:paraId="5F0A2549" w14:textId="77777777" w:rsidR="00E20DDF" w:rsidRPr="00294696" w:rsidRDefault="00E20DDF" w:rsidP="00E20DDF">
            <w:pPr>
              <w:pStyle w:val="TabletextLeft"/>
            </w:pPr>
            <w:r>
              <w:t xml:space="preserve">Security activities to be authorised </w:t>
            </w:r>
          </w:p>
        </w:tc>
        <w:tc>
          <w:tcPr>
            <w:tcW w:w="1455" w:type="pct"/>
            <w:shd w:val="clear" w:color="auto" w:fill="auto"/>
          </w:tcPr>
          <w:p w14:paraId="23453A3D" w14:textId="77777777" w:rsidR="00E20DDF" w:rsidRDefault="00E20DDF" w:rsidP="00E20DDF">
            <w:pPr>
              <w:pStyle w:val="TabletextLeft"/>
              <w:jc w:val="center"/>
            </w:pPr>
            <w:r>
              <w:rPr>
                <w:rFonts w:ascii="Wingdings" w:eastAsia="Wingdings" w:hAnsi="Wingdings" w:cs="Wingdings"/>
                <w:szCs w:val="17"/>
              </w:rPr>
              <w:sym w:font="Wingdings" w:char="F0FC"/>
            </w:r>
          </w:p>
        </w:tc>
        <w:tc>
          <w:tcPr>
            <w:tcW w:w="1455" w:type="pct"/>
            <w:shd w:val="clear" w:color="auto" w:fill="auto"/>
          </w:tcPr>
          <w:p w14:paraId="31D7EC09" w14:textId="77777777" w:rsidR="00E20DDF" w:rsidRDefault="00E20DDF" w:rsidP="00E20DDF">
            <w:pPr>
              <w:pStyle w:val="TabletextLeft"/>
              <w:jc w:val="center"/>
            </w:pPr>
            <w:r>
              <w:rPr>
                <w:rFonts w:ascii="Wingdings" w:eastAsia="Wingdings" w:hAnsi="Wingdings" w:cs="Wingdings"/>
                <w:szCs w:val="17"/>
              </w:rPr>
              <w:sym w:font="Wingdings" w:char="F0FC"/>
            </w:r>
          </w:p>
        </w:tc>
      </w:tr>
      <w:tr w:rsidR="00E20DDF" w:rsidRPr="00294696" w14:paraId="4E6551EA" w14:textId="77777777">
        <w:tc>
          <w:tcPr>
            <w:tcW w:w="2090" w:type="pct"/>
          </w:tcPr>
          <w:p w14:paraId="2842915B" w14:textId="7B36946B" w:rsidR="00E20DDF" w:rsidRPr="00294696" w:rsidRDefault="00D771F5" w:rsidP="00E20DDF">
            <w:pPr>
              <w:pStyle w:val="TabletextLeft"/>
            </w:pPr>
            <w:r>
              <w:t>Given names, surnames, postal and residential address of the applicant</w:t>
            </w:r>
          </w:p>
        </w:tc>
        <w:tc>
          <w:tcPr>
            <w:tcW w:w="1455" w:type="pct"/>
            <w:shd w:val="clear" w:color="auto" w:fill="auto"/>
          </w:tcPr>
          <w:p w14:paraId="1CCF2A46" w14:textId="77777777" w:rsidR="00E20DDF" w:rsidRPr="0008226C" w:rsidRDefault="00E20DDF" w:rsidP="00E20DDF">
            <w:pPr>
              <w:pStyle w:val="TabletextLeft"/>
              <w:jc w:val="center"/>
            </w:pPr>
            <w:r>
              <w:rPr>
                <w:rFonts w:ascii="Wingdings" w:eastAsia="Wingdings" w:hAnsi="Wingdings" w:cs="Wingdings"/>
                <w:szCs w:val="17"/>
              </w:rPr>
              <w:sym w:font="Wingdings" w:char="F0FC"/>
            </w:r>
          </w:p>
        </w:tc>
        <w:tc>
          <w:tcPr>
            <w:tcW w:w="1455" w:type="pct"/>
            <w:shd w:val="clear" w:color="auto" w:fill="auto"/>
          </w:tcPr>
          <w:p w14:paraId="52958D94" w14:textId="77777777" w:rsidR="00E20DDF" w:rsidRPr="00E37DDF" w:rsidRDefault="00E20DDF" w:rsidP="00E20DDF">
            <w:pPr>
              <w:pStyle w:val="TabletextLeft"/>
              <w:jc w:val="center"/>
            </w:pPr>
            <w:r>
              <w:rPr>
                <w:rFonts w:ascii="Wingdings" w:eastAsia="Wingdings" w:hAnsi="Wingdings" w:cs="Wingdings"/>
                <w:szCs w:val="17"/>
              </w:rPr>
              <w:sym w:font="Wingdings" w:char="F0FC"/>
            </w:r>
          </w:p>
        </w:tc>
      </w:tr>
      <w:tr w:rsidR="00E20DDF" w:rsidRPr="00294696" w14:paraId="41FEC07B" w14:textId="77777777">
        <w:tc>
          <w:tcPr>
            <w:tcW w:w="2090" w:type="pct"/>
          </w:tcPr>
          <w:p w14:paraId="20044E1C" w14:textId="47860211" w:rsidR="00E20DDF" w:rsidRDefault="00D771F5" w:rsidP="00E20DDF">
            <w:pPr>
              <w:pStyle w:val="TabletextLeft"/>
            </w:pPr>
            <w:r>
              <w:t xml:space="preserve">Date of birth of the applicant </w:t>
            </w:r>
          </w:p>
        </w:tc>
        <w:tc>
          <w:tcPr>
            <w:tcW w:w="1455" w:type="pct"/>
            <w:shd w:val="clear" w:color="auto" w:fill="auto"/>
          </w:tcPr>
          <w:p w14:paraId="60354251" w14:textId="77777777" w:rsidR="00E20DDF" w:rsidRPr="0008226C" w:rsidRDefault="00E20DDF" w:rsidP="00E20DDF">
            <w:pPr>
              <w:pStyle w:val="TabletextLeft"/>
              <w:jc w:val="center"/>
            </w:pPr>
            <w:r>
              <w:rPr>
                <w:rFonts w:ascii="Wingdings" w:eastAsia="Wingdings" w:hAnsi="Wingdings" w:cs="Wingdings"/>
                <w:szCs w:val="17"/>
              </w:rPr>
              <w:sym w:font="Wingdings" w:char="F0FC"/>
            </w:r>
          </w:p>
        </w:tc>
        <w:tc>
          <w:tcPr>
            <w:tcW w:w="1455" w:type="pct"/>
            <w:shd w:val="clear" w:color="auto" w:fill="auto"/>
          </w:tcPr>
          <w:p w14:paraId="763DF577" w14:textId="77777777" w:rsidR="00E20DDF" w:rsidRPr="00E37DDF" w:rsidRDefault="00E20DDF" w:rsidP="00E20DDF">
            <w:pPr>
              <w:pStyle w:val="TabletextLeft"/>
              <w:jc w:val="center"/>
            </w:pPr>
            <w:r>
              <w:rPr>
                <w:rFonts w:ascii="Wingdings" w:eastAsia="Wingdings" w:hAnsi="Wingdings" w:cs="Wingdings"/>
                <w:szCs w:val="17"/>
              </w:rPr>
              <w:sym w:font="Wingdings" w:char="F0FC"/>
            </w:r>
          </w:p>
        </w:tc>
      </w:tr>
      <w:tr w:rsidR="00E20DDF" w:rsidRPr="00294696" w14:paraId="678A299B" w14:textId="77777777">
        <w:tc>
          <w:tcPr>
            <w:tcW w:w="2090" w:type="pct"/>
          </w:tcPr>
          <w:p w14:paraId="652AF809" w14:textId="5B699988" w:rsidR="00E20DDF" w:rsidRDefault="00050151" w:rsidP="00E20DDF">
            <w:pPr>
              <w:pStyle w:val="TabletextLeft"/>
            </w:pPr>
            <w:r>
              <w:t xml:space="preserve">Name and address of any employer of the applicant </w:t>
            </w:r>
          </w:p>
        </w:tc>
        <w:tc>
          <w:tcPr>
            <w:tcW w:w="1455" w:type="pct"/>
            <w:shd w:val="clear" w:color="auto" w:fill="auto"/>
          </w:tcPr>
          <w:p w14:paraId="3C7A6ACE" w14:textId="77777777" w:rsidR="00E20DDF" w:rsidRPr="0008226C" w:rsidRDefault="00E20DDF" w:rsidP="00E20DDF">
            <w:pPr>
              <w:pStyle w:val="TabletextLeft"/>
              <w:jc w:val="center"/>
            </w:pPr>
            <w:r>
              <w:rPr>
                <w:rFonts w:ascii="Wingdings" w:eastAsia="Wingdings" w:hAnsi="Wingdings" w:cs="Wingdings"/>
                <w:szCs w:val="17"/>
              </w:rPr>
              <w:sym w:font="Wingdings" w:char="F0FC"/>
            </w:r>
          </w:p>
        </w:tc>
        <w:tc>
          <w:tcPr>
            <w:tcW w:w="1455" w:type="pct"/>
            <w:shd w:val="clear" w:color="auto" w:fill="auto"/>
          </w:tcPr>
          <w:p w14:paraId="3F602C24" w14:textId="77777777" w:rsidR="00E20DDF" w:rsidRDefault="00E20DDF" w:rsidP="00E20DDF">
            <w:pPr>
              <w:pStyle w:val="TabletextLeft"/>
              <w:jc w:val="center"/>
            </w:pPr>
            <w:r>
              <w:rPr>
                <w:rFonts w:ascii="Wingdings" w:eastAsia="Wingdings" w:hAnsi="Wingdings" w:cs="Wingdings"/>
                <w:szCs w:val="17"/>
              </w:rPr>
              <w:sym w:font="Wingdings" w:char="F0FC"/>
            </w:r>
          </w:p>
        </w:tc>
      </w:tr>
      <w:tr w:rsidR="00E20DDF" w:rsidRPr="00294696" w14:paraId="5F3E48E0" w14:textId="77777777">
        <w:tc>
          <w:tcPr>
            <w:tcW w:w="2090" w:type="pct"/>
          </w:tcPr>
          <w:p w14:paraId="7250EC8E" w14:textId="676E45B7" w:rsidR="00E20DDF" w:rsidRDefault="0084325B" w:rsidP="00E20DDF">
            <w:pPr>
              <w:pStyle w:val="TabletextLeft"/>
            </w:pPr>
            <w:r>
              <w:t>Details of any i</w:t>
            </w:r>
            <w:r w:rsidR="00E20DDF" w:rsidRPr="00B150B0">
              <w:t xml:space="preserve">ndictable </w:t>
            </w:r>
            <w:r>
              <w:t xml:space="preserve">or disqualifying </w:t>
            </w:r>
            <w:r w:rsidR="00E20DDF" w:rsidRPr="00B150B0">
              <w:t>offences</w:t>
            </w:r>
          </w:p>
        </w:tc>
        <w:tc>
          <w:tcPr>
            <w:tcW w:w="1455" w:type="pct"/>
            <w:shd w:val="clear" w:color="auto" w:fill="auto"/>
          </w:tcPr>
          <w:p w14:paraId="258FEC0A" w14:textId="77777777" w:rsidR="00E20DDF" w:rsidRPr="0008226C" w:rsidRDefault="00E20DDF" w:rsidP="00E20DDF">
            <w:pPr>
              <w:pStyle w:val="TabletextLeft"/>
              <w:jc w:val="center"/>
            </w:pPr>
            <w:r>
              <w:rPr>
                <w:rFonts w:ascii="Wingdings" w:eastAsia="Wingdings" w:hAnsi="Wingdings" w:cs="Wingdings"/>
                <w:szCs w:val="17"/>
              </w:rPr>
              <w:sym w:font="Wingdings" w:char="F0FC"/>
            </w:r>
          </w:p>
        </w:tc>
        <w:tc>
          <w:tcPr>
            <w:tcW w:w="1455" w:type="pct"/>
            <w:shd w:val="clear" w:color="auto" w:fill="auto"/>
          </w:tcPr>
          <w:p w14:paraId="1D5EF734" w14:textId="77777777" w:rsidR="00E20DDF" w:rsidRDefault="00E20DDF" w:rsidP="00E20DDF">
            <w:pPr>
              <w:pStyle w:val="TabletextLeft"/>
              <w:jc w:val="center"/>
            </w:pPr>
            <w:r>
              <w:rPr>
                <w:rFonts w:ascii="Wingdings" w:eastAsia="Wingdings" w:hAnsi="Wingdings" w:cs="Wingdings"/>
                <w:szCs w:val="17"/>
              </w:rPr>
              <w:sym w:font="Wingdings" w:char="F0FC"/>
            </w:r>
          </w:p>
        </w:tc>
      </w:tr>
      <w:tr w:rsidR="00E20DDF" w:rsidRPr="00294696" w14:paraId="49A66295" w14:textId="77777777">
        <w:tc>
          <w:tcPr>
            <w:tcW w:w="2090" w:type="pct"/>
          </w:tcPr>
          <w:p w14:paraId="22AC32AA" w14:textId="0E8BE0D9" w:rsidR="00E20DDF" w:rsidRDefault="00E20DDF">
            <w:pPr>
              <w:pStyle w:val="TabletextLeft"/>
            </w:pPr>
            <w:r w:rsidRPr="00070FF2">
              <w:t>Qualifications, knowledge, training</w:t>
            </w:r>
            <w:r w:rsidR="00937587">
              <w:t>,</w:t>
            </w:r>
            <w:r w:rsidRPr="00070FF2">
              <w:t xml:space="preserve"> or experience relevant to each activity sought under the licen</w:t>
            </w:r>
            <w:r w:rsidR="00102EEF">
              <w:t>c</w:t>
            </w:r>
            <w:r w:rsidRPr="00070FF2">
              <w:t>e</w:t>
            </w:r>
          </w:p>
        </w:tc>
        <w:tc>
          <w:tcPr>
            <w:tcW w:w="1455" w:type="pct"/>
            <w:shd w:val="clear" w:color="auto" w:fill="auto"/>
          </w:tcPr>
          <w:p w14:paraId="43206279" w14:textId="77777777" w:rsidR="00E20DDF" w:rsidRDefault="00E20DDF">
            <w:pPr>
              <w:pStyle w:val="TabletextLeft"/>
              <w:jc w:val="center"/>
            </w:pPr>
            <w:r w:rsidRPr="00D74CD6">
              <w:rPr>
                <w:rFonts w:ascii="Wingdings" w:eastAsia="Wingdings" w:hAnsi="Wingdings" w:cs="Wingdings"/>
                <w:szCs w:val="17"/>
              </w:rPr>
              <w:sym w:font="Wingdings" w:char="F0FC"/>
            </w:r>
          </w:p>
        </w:tc>
        <w:tc>
          <w:tcPr>
            <w:tcW w:w="1455" w:type="pct"/>
            <w:shd w:val="clear" w:color="auto" w:fill="auto"/>
          </w:tcPr>
          <w:p w14:paraId="4C6E9712" w14:textId="77777777" w:rsidR="00E20DDF" w:rsidRPr="0029712A" w:rsidRDefault="00E20DDF">
            <w:pPr>
              <w:pStyle w:val="TabletextLeft"/>
              <w:jc w:val="center"/>
            </w:pPr>
            <w:r w:rsidRPr="008C05BD">
              <w:rPr>
                <w:rFonts w:ascii="Wingdings" w:eastAsia="Wingdings" w:hAnsi="Wingdings" w:cs="Wingdings"/>
                <w:sz w:val="20"/>
                <w:szCs w:val="20"/>
              </w:rPr>
              <w:sym w:font="Wingdings" w:char="F0FB"/>
            </w:r>
          </w:p>
        </w:tc>
      </w:tr>
    </w:tbl>
    <w:p w14:paraId="53F073A0" w14:textId="604A9445" w:rsidR="007459DC" w:rsidRDefault="00141E9C" w:rsidP="00141E9C">
      <w:pPr>
        <w:pStyle w:val="Caption"/>
      </w:pPr>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2</w:t>
      </w:r>
      <w:r w:rsidR="00414520">
        <w:fldChar w:fldCharType="end"/>
      </w:r>
      <w:r w:rsidRPr="00B93656">
        <w:t>:</w:t>
      </w:r>
      <w:r w:rsidR="002B1ED8">
        <w:t xml:space="preserve"> Particulars prescribed</w:t>
      </w:r>
      <w:r w:rsidR="00BF45BE">
        <w:t xml:space="preserve"> for private security business applications</w:t>
      </w:r>
    </w:p>
    <w:tbl>
      <w:tblPr>
        <w:tblStyle w:val="Deloittetable"/>
        <w:tblW w:w="5000" w:type="pct"/>
        <w:tblLook w:val="04A0" w:firstRow="1" w:lastRow="0" w:firstColumn="1" w:lastColumn="0" w:noHBand="0" w:noVBand="1"/>
      </w:tblPr>
      <w:tblGrid>
        <w:gridCol w:w="4028"/>
        <w:gridCol w:w="2805"/>
        <w:gridCol w:w="2805"/>
      </w:tblGrid>
      <w:tr w:rsidR="007459DC" w:rsidRPr="00294696" w14:paraId="7290ACB6" w14:textId="77777777" w:rsidTr="00FE7B0D">
        <w:trPr>
          <w:cnfStyle w:val="100000000000" w:firstRow="1" w:lastRow="0" w:firstColumn="0" w:lastColumn="0" w:oddVBand="0" w:evenVBand="0" w:oddHBand="0" w:evenHBand="0" w:firstRowFirstColumn="0" w:firstRowLastColumn="0" w:lastRowFirstColumn="0" w:lastRowLastColumn="0"/>
          <w:tblHeader/>
        </w:trPr>
        <w:tc>
          <w:tcPr>
            <w:tcW w:w="2090" w:type="pct"/>
          </w:tcPr>
          <w:p w14:paraId="73CD8546" w14:textId="77777777" w:rsidR="007459DC" w:rsidRPr="002F3D61" w:rsidRDefault="007459DC">
            <w:pPr>
              <w:pStyle w:val="TabletextLeft"/>
              <w:ind w:left="0"/>
              <w:rPr>
                <w:b/>
                <w:bCs/>
              </w:rPr>
            </w:pPr>
            <w:r w:rsidRPr="002F3D61">
              <w:rPr>
                <w:b/>
                <w:bCs/>
              </w:rPr>
              <w:t>Category</w:t>
            </w:r>
          </w:p>
        </w:tc>
        <w:tc>
          <w:tcPr>
            <w:tcW w:w="1455" w:type="pct"/>
          </w:tcPr>
          <w:p w14:paraId="2E7EC066" w14:textId="381CC36F" w:rsidR="007459DC" w:rsidRPr="002F3D61" w:rsidRDefault="00BF45BE">
            <w:pPr>
              <w:pStyle w:val="TabletextLeft"/>
              <w:jc w:val="center"/>
              <w:rPr>
                <w:b/>
                <w:bCs/>
              </w:rPr>
            </w:pPr>
            <w:r>
              <w:rPr>
                <w:b/>
                <w:bCs/>
              </w:rPr>
              <w:t>Licence</w:t>
            </w:r>
          </w:p>
        </w:tc>
        <w:tc>
          <w:tcPr>
            <w:tcW w:w="1455" w:type="pct"/>
          </w:tcPr>
          <w:p w14:paraId="4FA7C72B" w14:textId="62B67D47" w:rsidR="007459DC" w:rsidRDefault="00BF45BE">
            <w:pPr>
              <w:pStyle w:val="TabletextLeft"/>
              <w:jc w:val="center"/>
              <w:rPr>
                <w:b/>
                <w:bCs/>
              </w:rPr>
            </w:pPr>
            <w:r>
              <w:rPr>
                <w:b/>
                <w:bCs/>
              </w:rPr>
              <w:t xml:space="preserve">Registration </w:t>
            </w:r>
          </w:p>
        </w:tc>
      </w:tr>
      <w:tr w:rsidR="007459DC" w:rsidRPr="00294696" w14:paraId="0D88E585" w14:textId="77777777" w:rsidTr="00070FF2">
        <w:tc>
          <w:tcPr>
            <w:tcW w:w="2090" w:type="pct"/>
          </w:tcPr>
          <w:p w14:paraId="333EB821" w14:textId="50DE3888" w:rsidR="007459DC" w:rsidRPr="00294696" w:rsidRDefault="00973B9F" w:rsidP="00A31DFA">
            <w:pPr>
              <w:pStyle w:val="TabletextLeft"/>
              <w:spacing w:after="120"/>
            </w:pPr>
            <w:r>
              <w:t xml:space="preserve">Security activities to be authorised </w:t>
            </w:r>
          </w:p>
        </w:tc>
        <w:tc>
          <w:tcPr>
            <w:tcW w:w="1455" w:type="pct"/>
            <w:shd w:val="clear" w:color="auto" w:fill="auto"/>
          </w:tcPr>
          <w:p w14:paraId="082AA721" w14:textId="77777777" w:rsidR="007459DC" w:rsidRDefault="007459DC">
            <w:pPr>
              <w:pStyle w:val="TabletextLeft"/>
              <w:jc w:val="center"/>
            </w:pPr>
            <w:r>
              <w:rPr>
                <w:rFonts w:ascii="Wingdings" w:eastAsia="Wingdings" w:hAnsi="Wingdings" w:cs="Wingdings"/>
                <w:szCs w:val="17"/>
              </w:rPr>
              <w:t>ü</w:t>
            </w:r>
          </w:p>
        </w:tc>
        <w:tc>
          <w:tcPr>
            <w:tcW w:w="1455" w:type="pct"/>
            <w:shd w:val="clear" w:color="auto" w:fill="auto"/>
          </w:tcPr>
          <w:p w14:paraId="675A47FF" w14:textId="77777777" w:rsidR="007459DC" w:rsidRDefault="007459DC">
            <w:pPr>
              <w:pStyle w:val="TabletextLeft"/>
              <w:jc w:val="center"/>
            </w:pPr>
            <w:r>
              <w:rPr>
                <w:rFonts w:ascii="Wingdings" w:eastAsia="Wingdings" w:hAnsi="Wingdings" w:cs="Wingdings"/>
                <w:szCs w:val="17"/>
              </w:rPr>
              <w:t>ü</w:t>
            </w:r>
          </w:p>
        </w:tc>
      </w:tr>
      <w:tr w:rsidR="007459DC" w:rsidRPr="00294696" w14:paraId="51CE4EBE" w14:textId="77777777" w:rsidTr="00070FF2">
        <w:tc>
          <w:tcPr>
            <w:tcW w:w="2090" w:type="pct"/>
          </w:tcPr>
          <w:p w14:paraId="57D9D7A9" w14:textId="655F201C" w:rsidR="007459DC" w:rsidRPr="00294696" w:rsidRDefault="002A360A" w:rsidP="00A31DFA">
            <w:pPr>
              <w:pStyle w:val="TabletextLeft"/>
              <w:spacing w:after="120"/>
            </w:pPr>
            <w:r w:rsidRPr="002A360A">
              <w:t>Personal details including name, surname, postal and residential address of applicant and close associates of applicant (for renewal only)</w:t>
            </w:r>
          </w:p>
        </w:tc>
        <w:tc>
          <w:tcPr>
            <w:tcW w:w="1455" w:type="pct"/>
            <w:shd w:val="clear" w:color="auto" w:fill="auto"/>
          </w:tcPr>
          <w:p w14:paraId="5B335F03" w14:textId="77777777" w:rsidR="007459DC" w:rsidRPr="0008226C" w:rsidRDefault="007459DC">
            <w:pPr>
              <w:pStyle w:val="TabletextLeft"/>
              <w:jc w:val="center"/>
            </w:pPr>
            <w:r>
              <w:rPr>
                <w:rFonts w:ascii="Wingdings" w:eastAsia="Wingdings" w:hAnsi="Wingdings" w:cs="Wingdings"/>
                <w:szCs w:val="17"/>
              </w:rPr>
              <w:t>ü</w:t>
            </w:r>
          </w:p>
        </w:tc>
        <w:tc>
          <w:tcPr>
            <w:tcW w:w="1455" w:type="pct"/>
            <w:shd w:val="clear" w:color="auto" w:fill="auto"/>
          </w:tcPr>
          <w:p w14:paraId="5CD0D027" w14:textId="77777777" w:rsidR="007459DC" w:rsidRPr="00E37DDF" w:rsidRDefault="007459DC">
            <w:pPr>
              <w:pStyle w:val="TabletextLeft"/>
              <w:jc w:val="center"/>
            </w:pPr>
            <w:r>
              <w:rPr>
                <w:rFonts w:ascii="Wingdings" w:eastAsia="Wingdings" w:hAnsi="Wingdings" w:cs="Wingdings"/>
                <w:szCs w:val="17"/>
              </w:rPr>
              <w:t>ü</w:t>
            </w:r>
          </w:p>
        </w:tc>
      </w:tr>
      <w:tr w:rsidR="007459DC" w:rsidRPr="00294696" w14:paraId="3E58E4EE" w14:textId="77777777" w:rsidTr="00070FF2">
        <w:tc>
          <w:tcPr>
            <w:tcW w:w="2090" w:type="pct"/>
          </w:tcPr>
          <w:p w14:paraId="72AFC269" w14:textId="037D8D53" w:rsidR="007459DC" w:rsidRDefault="002A360A" w:rsidP="00A31DFA">
            <w:pPr>
              <w:pStyle w:val="TabletextLeft"/>
              <w:spacing w:after="120"/>
            </w:pPr>
            <w:r w:rsidRPr="002A360A">
              <w:t xml:space="preserve">Name and Australian Company No. of the body corporate (if registered under the </w:t>
            </w:r>
            <w:r w:rsidRPr="00F5077B">
              <w:rPr>
                <w:i/>
                <w:iCs/>
              </w:rPr>
              <w:t>Corporations Act</w:t>
            </w:r>
            <w:r w:rsidR="00F5077B" w:rsidRPr="00F5077B">
              <w:rPr>
                <w:i/>
                <w:iCs/>
              </w:rPr>
              <w:t xml:space="preserve"> 2001</w:t>
            </w:r>
            <w:r w:rsidRPr="002A360A">
              <w:t>)</w:t>
            </w:r>
          </w:p>
        </w:tc>
        <w:tc>
          <w:tcPr>
            <w:tcW w:w="1455" w:type="pct"/>
            <w:shd w:val="clear" w:color="auto" w:fill="auto"/>
          </w:tcPr>
          <w:p w14:paraId="5BC22BDB" w14:textId="77777777" w:rsidR="007459DC" w:rsidRPr="0008226C" w:rsidRDefault="007459DC">
            <w:pPr>
              <w:pStyle w:val="TabletextLeft"/>
              <w:jc w:val="center"/>
            </w:pPr>
            <w:r>
              <w:rPr>
                <w:rFonts w:ascii="Wingdings" w:eastAsia="Wingdings" w:hAnsi="Wingdings" w:cs="Wingdings"/>
                <w:szCs w:val="17"/>
              </w:rPr>
              <w:t>ü</w:t>
            </w:r>
          </w:p>
        </w:tc>
        <w:tc>
          <w:tcPr>
            <w:tcW w:w="1455" w:type="pct"/>
            <w:shd w:val="clear" w:color="auto" w:fill="auto"/>
          </w:tcPr>
          <w:p w14:paraId="4319582F" w14:textId="77777777" w:rsidR="007459DC" w:rsidRPr="00E37DDF" w:rsidRDefault="007459DC">
            <w:pPr>
              <w:pStyle w:val="TabletextLeft"/>
              <w:jc w:val="center"/>
            </w:pPr>
            <w:r>
              <w:rPr>
                <w:rFonts w:ascii="Wingdings" w:eastAsia="Wingdings" w:hAnsi="Wingdings" w:cs="Wingdings"/>
                <w:szCs w:val="17"/>
              </w:rPr>
              <w:t>ü</w:t>
            </w:r>
          </w:p>
        </w:tc>
      </w:tr>
      <w:tr w:rsidR="007459DC" w:rsidRPr="00294696" w14:paraId="0F3CD439" w14:textId="77777777" w:rsidTr="00070FF2">
        <w:tc>
          <w:tcPr>
            <w:tcW w:w="2090" w:type="pct"/>
          </w:tcPr>
          <w:p w14:paraId="735360D7" w14:textId="5890791F" w:rsidR="007459DC" w:rsidRDefault="009F6C52" w:rsidP="00A31DFA">
            <w:pPr>
              <w:pStyle w:val="TabletextLeft"/>
              <w:spacing w:after="120"/>
            </w:pPr>
            <w:r w:rsidRPr="009F6C52">
              <w:t>Any additional names under which the body corporate intends to carry on business</w:t>
            </w:r>
          </w:p>
        </w:tc>
        <w:tc>
          <w:tcPr>
            <w:tcW w:w="1455" w:type="pct"/>
            <w:shd w:val="clear" w:color="auto" w:fill="auto"/>
          </w:tcPr>
          <w:p w14:paraId="60B704E6" w14:textId="77777777" w:rsidR="007459DC" w:rsidRPr="0008226C" w:rsidRDefault="007459DC">
            <w:pPr>
              <w:pStyle w:val="TabletextLeft"/>
              <w:jc w:val="center"/>
            </w:pPr>
            <w:r>
              <w:rPr>
                <w:rFonts w:ascii="Wingdings" w:eastAsia="Wingdings" w:hAnsi="Wingdings" w:cs="Wingdings"/>
                <w:szCs w:val="17"/>
              </w:rPr>
              <w:t>ü</w:t>
            </w:r>
          </w:p>
        </w:tc>
        <w:tc>
          <w:tcPr>
            <w:tcW w:w="1455" w:type="pct"/>
            <w:shd w:val="clear" w:color="auto" w:fill="auto"/>
          </w:tcPr>
          <w:p w14:paraId="6843E1DD" w14:textId="77777777" w:rsidR="007459DC" w:rsidRDefault="007459DC">
            <w:pPr>
              <w:pStyle w:val="TabletextLeft"/>
              <w:jc w:val="center"/>
            </w:pPr>
            <w:r>
              <w:rPr>
                <w:rFonts w:ascii="Wingdings" w:eastAsia="Wingdings" w:hAnsi="Wingdings" w:cs="Wingdings"/>
                <w:szCs w:val="17"/>
              </w:rPr>
              <w:t>ü</w:t>
            </w:r>
          </w:p>
        </w:tc>
      </w:tr>
      <w:tr w:rsidR="007459DC" w:rsidRPr="00294696" w14:paraId="70812FF4" w14:textId="77777777" w:rsidTr="00070FF2">
        <w:tc>
          <w:tcPr>
            <w:tcW w:w="2090" w:type="pct"/>
          </w:tcPr>
          <w:p w14:paraId="2BA648A1" w14:textId="310F9D3F" w:rsidR="007459DC" w:rsidRDefault="00216DB8" w:rsidP="00A31DFA">
            <w:pPr>
              <w:pStyle w:val="TabletextLeft"/>
              <w:spacing w:after="240"/>
            </w:pPr>
            <w:r>
              <w:t>For</w:t>
            </w:r>
            <w:r w:rsidRPr="00216DB8">
              <w:t xml:space="preserve"> renewal by a body corporate: given names, surname, postal and residential address</w:t>
            </w:r>
            <w:r>
              <w:t xml:space="preserve"> </w:t>
            </w:r>
            <w:r w:rsidR="00067100">
              <w:t>of the nominated person, each officer of the body corporate, and any close associate of the body corporate</w:t>
            </w:r>
          </w:p>
        </w:tc>
        <w:tc>
          <w:tcPr>
            <w:tcW w:w="1455" w:type="pct"/>
            <w:shd w:val="clear" w:color="auto" w:fill="auto"/>
          </w:tcPr>
          <w:p w14:paraId="253D0BA0" w14:textId="77777777" w:rsidR="007459DC" w:rsidRPr="0008226C" w:rsidRDefault="007459DC">
            <w:pPr>
              <w:pStyle w:val="TabletextLeft"/>
              <w:jc w:val="center"/>
            </w:pPr>
            <w:r>
              <w:rPr>
                <w:rFonts w:ascii="Wingdings" w:eastAsia="Wingdings" w:hAnsi="Wingdings" w:cs="Wingdings"/>
                <w:szCs w:val="17"/>
              </w:rPr>
              <w:t>ü</w:t>
            </w:r>
          </w:p>
        </w:tc>
        <w:tc>
          <w:tcPr>
            <w:tcW w:w="1455" w:type="pct"/>
            <w:shd w:val="clear" w:color="auto" w:fill="auto"/>
          </w:tcPr>
          <w:p w14:paraId="31F3C960" w14:textId="77777777" w:rsidR="007459DC" w:rsidRPr="00CE5E1E" w:rsidRDefault="007459DC">
            <w:pPr>
              <w:pStyle w:val="TabletextLeft"/>
              <w:jc w:val="center"/>
            </w:pPr>
            <w:r>
              <w:rPr>
                <w:rFonts w:ascii="Wingdings" w:eastAsia="Wingdings" w:hAnsi="Wingdings" w:cs="Wingdings"/>
                <w:szCs w:val="17"/>
              </w:rPr>
              <w:t>ü</w:t>
            </w:r>
          </w:p>
        </w:tc>
      </w:tr>
      <w:tr w:rsidR="007459DC" w:rsidRPr="00294696" w14:paraId="010A9D8B" w14:textId="77777777" w:rsidTr="00070FF2">
        <w:tc>
          <w:tcPr>
            <w:tcW w:w="2090" w:type="pct"/>
          </w:tcPr>
          <w:p w14:paraId="5005B880" w14:textId="77777777" w:rsidR="00286955" w:rsidRDefault="00AF610F" w:rsidP="00A31DFA">
            <w:pPr>
              <w:pStyle w:val="TabletextLeft"/>
              <w:spacing w:after="120"/>
            </w:pPr>
            <w:r w:rsidRPr="00AF610F">
              <w:t>Date of birth</w:t>
            </w:r>
            <w:r w:rsidR="00286955">
              <w:t xml:space="preserve"> as follows:</w:t>
            </w:r>
          </w:p>
          <w:p w14:paraId="4755808E" w14:textId="4A9236FF" w:rsidR="00286955" w:rsidRDefault="00286955" w:rsidP="00A31DFA">
            <w:pPr>
              <w:pStyle w:val="TabletextLeft"/>
              <w:numPr>
                <w:ilvl w:val="0"/>
                <w:numId w:val="55"/>
              </w:numPr>
              <w:spacing w:after="120"/>
            </w:pPr>
            <w:r>
              <w:t xml:space="preserve">For applications by a natural person: </w:t>
            </w:r>
            <w:r w:rsidR="002472E8">
              <w:t xml:space="preserve">date of birth of the applicant and any close associates. </w:t>
            </w:r>
          </w:p>
          <w:p w14:paraId="271999CE" w14:textId="236E27E4" w:rsidR="002472E8" w:rsidRDefault="002472E8" w:rsidP="00A31DFA">
            <w:pPr>
              <w:pStyle w:val="TabletextLeft"/>
              <w:numPr>
                <w:ilvl w:val="0"/>
                <w:numId w:val="55"/>
              </w:numPr>
              <w:spacing w:after="120"/>
            </w:pPr>
            <w:r>
              <w:t xml:space="preserve">For applications by a body corporate: date of birth of the nominated person, each officer of </w:t>
            </w:r>
            <w:r>
              <w:lastRenderedPageBreak/>
              <w:t>the body corporate, and any close associate of the body corporate</w:t>
            </w:r>
            <w:r w:rsidR="00B150B0">
              <w:t>.</w:t>
            </w:r>
          </w:p>
        </w:tc>
        <w:tc>
          <w:tcPr>
            <w:tcW w:w="1455" w:type="pct"/>
            <w:shd w:val="clear" w:color="auto" w:fill="auto"/>
          </w:tcPr>
          <w:p w14:paraId="1C2E388C" w14:textId="77777777" w:rsidR="007459DC" w:rsidRPr="0008226C" w:rsidRDefault="007459DC">
            <w:pPr>
              <w:pStyle w:val="TabletextLeft"/>
              <w:jc w:val="center"/>
            </w:pPr>
            <w:r>
              <w:rPr>
                <w:rFonts w:ascii="Wingdings" w:eastAsia="Wingdings" w:hAnsi="Wingdings" w:cs="Wingdings"/>
                <w:szCs w:val="17"/>
              </w:rPr>
              <w:lastRenderedPageBreak/>
              <w:t>ü</w:t>
            </w:r>
          </w:p>
        </w:tc>
        <w:tc>
          <w:tcPr>
            <w:tcW w:w="1455" w:type="pct"/>
            <w:shd w:val="clear" w:color="auto" w:fill="auto"/>
          </w:tcPr>
          <w:p w14:paraId="343C1BFE" w14:textId="77777777" w:rsidR="007459DC" w:rsidRPr="00CE5E1E" w:rsidRDefault="007459DC">
            <w:pPr>
              <w:pStyle w:val="TabletextLeft"/>
              <w:jc w:val="center"/>
            </w:pPr>
            <w:r>
              <w:rPr>
                <w:rFonts w:ascii="Wingdings" w:eastAsia="Wingdings" w:hAnsi="Wingdings" w:cs="Wingdings"/>
                <w:szCs w:val="17"/>
              </w:rPr>
              <w:t>ü</w:t>
            </w:r>
          </w:p>
        </w:tc>
      </w:tr>
      <w:tr w:rsidR="007459DC" w:rsidRPr="00294696" w14:paraId="2F33BEB2" w14:textId="77777777" w:rsidTr="00070FF2">
        <w:tc>
          <w:tcPr>
            <w:tcW w:w="2090" w:type="pct"/>
          </w:tcPr>
          <w:p w14:paraId="0F4A8ECD" w14:textId="4022F67E" w:rsidR="007459DC" w:rsidRDefault="00B150B0" w:rsidP="00A31DFA">
            <w:pPr>
              <w:pStyle w:val="TabletextLeft"/>
              <w:spacing w:after="120"/>
            </w:pPr>
            <w:r w:rsidRPr="00B150B0">
              <w:t xml:space="preserve">Trading name (if applicable) and ABN </w:t>
            </w:r>
          </w:p>
        </w:tc>
        <w:tc>
          <w:tcPr>
            <w:tcW w:w="1455" w:type="pct"/>
            <w:shd w:val="clear" w:color="auto" w:fill="auto"/>
          </w:tcPr>
          <w:p w14:paraId="3A5515E2" w14:textId="77777777" w:rsidR="007459DC" w:rsidRPr="0008226C" w:rsidRDefault="007459DC">
            <w:pPr>
              <w:pStyle w:val="TabletextLeft"/>
              <w:jc w:val="center"/>
            </w:pPr>
            <w:r>
              <w:rPr>
                <w:rFonts w:ascii="Wingdings" w:eastAsia="Wingdings" w:hAnsi="Wingdings" w:cs="Wingdings"/>
                <w:szCs w:val="17"/>
              </w:rPr>
              <w:t>ü</w:t>
            </w:r>
          </w:p>
        </w:tc>
        <w:tc>
          <w:tcPr>
            <w:tcW w:w="1455" w:type="pct"/>
            <w:shd w:val="clear" w:color="auto" w:fill="auto"/>
          </w:tcPr>
          <w:p w14:paraId="6D35420C" w14:textId="77777777" w:rsidR="007459DC" w:rsidRPr="00CE5E1E" w:rsidRDefault="007459DC">
            <w:pPr>
              <w:pStyle w:val="TabletextLeft"/>
              <w:jc w:val="center"/>
            </w:pPr>
            <w:r>
              <w:rPr>
                <w:rFonts w:ascii="Wingdings" w:eastAsia="Wingdings" w:hAnsi="Wingdings" w:cs="Wingdings"/>
                <w:szCs w:val="17"/>
              </w:rPr>
              <w:t>ü</w:t>
            </w:r>
          </w:p>
        </w:tc>
      </w:tr>
      <w:tr w:rsidR="007459DC" w:rsidRPr="00294696" w14:paraId="672364A9" w14:textId="77777777" w:rsidTr="00070FF2">
        <w:tc>
          <w:tcPr>
            <w:tcW w:w="2090" w:type="pct"/>
          </w:tcPr>
          <w:p w14:paraId="6F2781B6" w14:textId="0C7569D5" w:rsidR="007459DC" w:rsidRDefault="00B150B0" w:rsidP="00A31DFA">
            <w:pPr>
              <w:pStyle w:val="TabletextLeft"/>
              <w:spacing w:after="120"/>
            </w:pPr>
            <w:r w:rsidRPr="00B150B0">
              <w:t>Indictable offences, bankruptcy declarations, insolvent under administration</w:t>
            </w:r>
          </w:p>
        </w:tc>
        <w:tc>
          <w:tcPr>
            <w:tcW w:w="1455" w:type="pct"/>
            <w:shd w:val="clear" w:color="auto" w:fill="auto"/>
          </w:tcPr>
          <w:p w14:paraId="59A81528" w14:textId="77777777" w:rsidR="007459DC" w:rsidRPr="0008226C" w:rsidRDefault="007459DC">
            <w:pPr>
              <w:pStyle w:val="TabletextLeft"/>
              <w:jc w:val="center"/>
            </w:pPr>
            <w:r>
              <w:rPr>
                <w:rFonts w:ascii="Wingdings" w:eastAsia="Wingdings" w:hAnsi="Wingdings" w:cs="Wingdings"/>
                <w:szCs w:val="17"/>
              </w:rPr>
              <w:t>ü</w:t>
            </w:r>
          </w:p>
        </w:tc>
        <w:tc>
          <w:tcPr>
            <w:tcW w:w="1455" w:type="pct"/>
            <w:shd w:val="clear" w:color="auto" w:fill="auto"/>
          </w:tcPr>
          <w:p w14:paraId="20408B0E" w14:textId="77777777" w:rsidR="007459DC" w:rsidRDefault="007459DC">
            <w:pPr>
              <w:pStyle w:val="TabletextLeft"/>
              <w:jc w:val="center"/>
            </w:pPr>
            <w:r>
              <w:rPr>
                <w:rFonts w:ascii="Wingdings" w:eastAsia="Wingdings" w:hAnsi="Wingdings" w:cs="Wingdings"/>
                <w:szCs w:val="17"/>
              </w:rPr>
              <w:t>ü</w:t>
            </w:r>
          </w:p>
        </w:tc>
      </w:tr>
      <w:tr w:rsidR="007459DC" w:rsidRPr="00294696" w14:paraId="6E05C3DF" w14:textId="77777777" w:rsidTr="00070FF2">
        <w:tc>
          <w:tcPr>
            <w:tcW w:w="2090" w:type="pct"/>
          </w:tcPr>
          <w:p w14:paraId="53D999A9" w14:textId="4FCC422B" w:rsidR="007459DC" w:rsidRDefault="00070FF2" w:rsidP="00A31DFA">
            <w:pPr>
              <w:pStyle w:val="TabletextLeft"/>
              <w:spacing w:after="120"/>
            </w:pPr>
            <w:r w:rsidRPr="00070FF2">
              <w:t>Membership of approved security industry organisation relevant to private security activities sought under the licen</w:t>
            </w:r>
            <w:r w:rsidR="00F5077B">
              <w:t>c</w:t>
            </w:r>
            <w:r w:rsidRPr="00070FF2">
              <w:t>e</w:t>
            </w:r>
          </w:p>
        </w:tc>
        <w:tc>
          <w:tcPr>
            <w:tcW w:w="1455" w:type="pct"/>
            <w:shd w:val="clear" w:color="auto" w:fill="auto"/>
          </w:tcPr>
          <w:p w14:paraId="5DE8C24F" w14:textId="77777777" w:rsidR="007459DC" w:rsidRDefault="007459DC">
            <w:pPr>
              <w:pStyle w:val="TabletextLeft"/>
              <w:jc w:val="center"/>
            </w:pPr>
            <w:r w:rsidRPr="00D74CD6">
              <w:rPr>
                <w:rFonts w:ascii="Wingdings" w:eastAsia="Wingdings" w:hAnsi="Wingdings" w:cs="Wingdings"/>
                <w:szCs w:val="17"/>
              </w:rPr>
              <w:t>ü</w:t>
            </w:r>
          </w:p>
        </w:tc>
        <w:tc>
          <w:tcPr>
            <w:tcW w:w="1455" w:type="pct"/>
            <w:shd w:val="clear" w:color="auto" w:fill="auto"/>
          </w:tcPr>
          <w:p w14:paraId="45732957" w14:textId="1CB01774" w:rsidR="007459DC" w:rsidRDefault="008C05BD">
            <w:pPr>
              <w:pStyle w:val="TabletextLeft"/>
              <w:jc w:val="center"/>
            </w:pPr>
            <w:r w:rsidRPr="008C05BD">
              <w:rPr>
                <w:rFonts w:ascii="Wingdings" w:eastAsia="Wingdings" w:hAnsi="Wingdings" w:cs="Wingdings"/>
                <w:sz w:val="20"/>
                <w:szCs w:val="20"/>
              </w:rPr>
              <w:t>û</w:t>
            </w:r>
          </w:p>
        </w:tc>
      </w:tr>
      <w:tr w:rsidR="007459DC" w:rsidRPr="00294696" w14:paraId="17E8CA19" w14:textId="77777777" w:rsidTr="00070FF2">
        <w:tc>
          <w:tcPr>
            <w:tcW w:w="2090" w:type="pct"/>
          </w:tcPr>
          <w:p w14:paraId="6E3836F9" w14:textId="24EF4788" w:rsidR="007459DC" w:rsidRDefault="00070FF2" w:rsidP="00A31DFA">
            <w:pPr>
              <w:pStyle w:val="TabletextLeft"/>
              <w:spacing w:after="120"/>
            </w:pPr>
            <w:r w:rsidRPr="00070FF2">
              <w:t>Qualifications, knowledge, training</w:t>
            </w:r>
            <w:r w:rsidR="0052266F">
              <w:t>,</w:t>
            </w:r>
            <w:r w:rsidRPr="00070FF2">
              <w:t xml:space="preserve"> or experience relevant to each activity sought under the licen</w:t>
            </w:r>
            <w:r w:rsidR="00F5077B">
              <w:t>c</w:t>
            </w:r>
            <w:r w:rsidRPr="00070FF2">
              <w:t>e</w:t>
            </w:r>
          </w:p>
        </w:tc>
        <w:tc>
          <w:tcPr>
            <w:tcW w:w="1455" w:type="pct"/>
            <w:shd w:val="clear" w:color="auto" w:fill="auto"/>
          </w:tcPr>
          <w:p w14:paraId="7DA1DD1F" w14:textId="77777777" w:rsidR="007459DC" w:rsidRDefault="007459DC">
            <w:pPr>
              <w:pStyle w:val="TabletextLeft"/>
              <w:jc w:val="center"/>
            </w:pPr>
            <w:r w:rsidRPr="00D74CD6">
              <w:rPr>
                <w:rFonts w:ascii="Wingdings" w:eastAsia="Wingdings" w:hAnsi="Wingdings" w:cs="Wingdings"/>
                <w:szCs w:val="17"/>
              </w:rPr>
              <w:t>ü</w:t>
            </w:r>
          </w:p>
        </w:tc>
        <w:tc>
          <w:tcPr>
            <w:tcW w:w="1455" w:type="pct"/>
            <w:shd w:val="clear" w:color="auto" w:fill="auto"/>
          </w:tcPr>
          <w:p w14:paraId="45ACF967" w14:textId="3194459A" w:rsidR="007459DC" w:rsidRPr="0029712A" w:rsidRDefault="008C05BD">
            <w:pPr>
              <w:pStyle w:val="TabletextLeft"/>
              <w:jc w:val="center"/>
            </w:pPr>
            <w:r w:rsidRPr="008C05BD">
              <w:rPr>
                <w:rFonts w:ascii="Wingdings" w:eastAsia="Wingdings" w:hAnsi="Wingdings" w:cs="Wingdings"/>
                <w:sz w:val="20"/>
                <w:szCs w:val="20"/>
              </w:rPr>
              <w:t>û</w:t>
            </w:r>
          </w:p>
        </w:tc>
      </w:tr>
    </w:tbl>
    <w:p w14:paraId="540A71AA" w14:textId="521837BC" w:rsidR="00AE3292" w:rsidRDefault="00AE3292" w:rsidP="00B419B0">
      <w:pPr>
        <w:spacing w:before="240"/>
      </w:pPr>
      <w:r>
        <w:t xml:space="preserve">The Regulations </w:t>
      </w:r>
      <w:r w:rsidR="00CC78BE">
        <w:t>also</w:t>
      </w:r>
      <w:r>
        <w:t xml:space="preserve"> prescribe the fees </w:t>
      </w:r>
      <w:r w:rsidR="004B5DCC">
        <w:t>to be paid for application and variation of licen</w:t>
      </w:r>
      <w:r w:rsidR="00F5077B">
        <w:t>c</w:t>
      </w:r>
      <w:r w:rsidR="004B5DCC">
        <w:t>e</w:t>
      </w:r>
      <w:r w:rsidR="00C4521F">
        <w:t xml:space="preserve">s and registration by </w:t>
      </w:r>
      <w:r w:rsidR="008A10DE">
        <w:t>applicants. The</w:t>
      </w:r>
      <w:r w:rsidR="000A33D8">
        <w:t>se fees are outlined in</w:t>
      </w:r>
      <w:r w:rsidR="00313226">
        <w:t xml:space="preserve"> Table 1.3</w:t>
      </w:r>
      <w:r w:rsidR="000A33D8">
        <w:t xml:space="preserve"> below. </w:t>
      </w:r>
      <w:r w:rsidR="00732492">
        <w:t>The fees for licen</w:t>
      </w:r>
      <w:r w:rsidR="00E329BE">
        <w:t>c</w:t>
      </w:r>
      <w:r w:rsidR="00732492">
        <w:t>es and registration vary based on the number of activities to be included in the licence or registration</w:t>
      </w:r>
      <w:r w:rsidR="004E41BA">
        <w:t xml:space="preserve"> and depend upon the type of application. Body corporates holding </w:t>
      </w:r>
      <w:r w:rsidR="000D698C">
        <w:t xml:space="preserve">a business licence are charged the highest fee followed by </w:t>
      </w:r>
      <w:r w:rsidR="0024086A">
        <w:t xml:space="preserve">fees for business licences held by natural persons and fees for individual licence holders. </w:t>
      </w:r>
    </w:p>
    <w:p w14:paraId="617255BE" w14:textId="25C03544" w:rsidR="000A33D8" w:rsidRDefault="00141E9C" w:rsidP="00141E9C">
      <w:pPr>
        <w:pStyle w:val="Caption"/>
      </w:pPr>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3</w:t>
      </w:r>
      <w:r w:rsidR="00414520">
        <w:fldChar w:fldCharType="end"/>
      </w:r>
      <w:r w:rsidRPr="00B75944">
        <w:t>:</w:t>
      </w:r>
      <w:r w:rsidR="000A33D8">
        <w:t xml:space="preserve"> Fee</w:t>
      </w:r>
      <w:r w:rsidR="00860F63">
        <w:t xml:space="preserve"> units</w:t>
      </w:r>
      <w:r w:rsidR="00407850">
        <w:t xml:space="preserve"> for</w:t>
      </w:r>
      <w:r w:rsidR="00C1327F">
        <w:t xml:space="preserve"> business</w:t>
      </w:r>
      <w:r w:rsidR="00407850">
        <w:t xml:space="preserve"> licence applications and renewals</w:t>
      </w:r>
      <w:r w:rsidR="000A33D8">
        <w:t xml:space="preserve"> prescribed by the Regulations</w:t>
      </w:r>
      <w:r w:rsidR="00407850">
        <w:t>.</w:t>
      </w:r>
    </w:p>
    <w:tbl>
      <w:tblPr>
        <w:tblStyle w:val="Deloittetable"/>
        <w:tblW w:w="5000" w:type="pct"/>
        <w:tblLook w:val="04A0" w:firstRow="1" w:lastRow="0" w:firstColumn="1" w:lastColumn="0" w:noHBand="0" w:noVBand="1"/>
      </w:tblPr>
      <w:tblGrid>
        <w:gridCol w:w="2225"/>
        <w:gridCol w:w="2098"/>
        <w:gridCol w:w="1773"/>
        <w:gridCol w:w="1771"/>
        <w:gridCol w:w="1771"/>
      </w:tblGrid>
      <w:tr w:rsidR="00102296" w:rsidRPr="00294696" w14:paraId="552CA50D" w14:textId="5D310AF1" w:rsidTr="00102296">
        <w:trPr>
          <w:cnfStyle w:val="100000000000" w:firstRow="1" w:lastRow="0" w:firstColumn="0" w:lastColumn="0" w:oddVBand="0" w:evenVBand="0" w:oddHBand="0" w:evenHBand="0" w:firstRowFirstColumn="0" w:firstRowLastColumn="0" w:lastRowFirstColumn="0" w:lastRowLastColumn="0"/>
        </w:trPr>
        <w:tc>
          <w:tcPr>
            <w:tcW w:w="1154" w:type="pct"/>
          </w:tcPr>
          <w:p w14:paraId="2043D04B" w14:textId="77777777" w:rsidR="00102296" w:rsidRPr="002F3D61" w:rsidRDefault="00102296" w:rsidP="000A33D8">
            <w:pPr>
              <w:pStyle w:val="TabletextLeft"/>
              <w:ind w:left="0"/>
              <w:rPr>
                <w:b/>
                <w:bCs/>
              </w:rPr>
            </w:pPr>
            <w:r w:rsidRPr="002F3D61">
              <w:rPr>
                <w:b/>
                <w:bCs/>
              </w:rPr>
              <w:t>Category</w:t>
            </w:r>
          </w:p>
        </w:tc>
        <w:tc>
          <w:tcPr>
            <w:tcW w:w="1088" w:type="pct"/>
          </w:tcPr>
          <w:p w14:paraId="374BB5E8" w14:textId="43D57066" w:rsidR="00102296" w:rsidRDefault="00102296" w:rsidP="000A33D8">
            <w:pPr>
              <w:pStyle w:val="TabletextLeft"/>
              <w:jc w:val="center"/>
              <w:rPr>
                <w:b/>
                <w:bCs/>
              </w:rPr>
            </w:pPr>
            <w:r>
              <w:rPr>
                <w:b/>
                <w:bCs/>
              </w:rPr>
              <w:t>Number of activities included on licence</w:t>
            </w:r>
          </w:p>
        </w:tc>
        <w:tc>
          <w:tcPr>
            <w:tcW w:w="920" w:type="pct"/>
          </w:tcPr>
          <w:p w14:paraId="649AA309" w14:textId="2E22C613" w:rsidR="00102296" w:rsidRPr="002F3D61" w:rsidRDefault="00102296" w:rsidP="000A33D8">
            <w:pPr>
              <w:pStyle w:val="TabletextLeft"/>
              <w:jc w:val="center"/>
              <w:rPr>
                <w:b/>
                <w:bCs/>
              </w:rPr>
            </w:pPr>
            <w:r>
              <w:rPr>
                <w:b/>
                <w:bCs/>
              </w:rPr>
              <w:t>Application fee for licence or renewal of licence</w:t>
            </w:r>
          </w:p>
        </w:tc>
        <w:tc>
          <w:tcPr>
            <w:tcW w:w="919" w:type="pct"/>
          </w:tcPr>
          <w:p w14:paraId="1B6D8FA6" w14:textId="362E1E18" w:rsidR="00102296" w:rsidRDefault="009417AA" w:rsidP="000A33D8">
            <w:pPr>
              <w:pStyle w:val="TabletextLeft"/>
              <w:jc w:val="center"/>
              <w:rPr>
                <w:b/>
                <w:bCs/>
              </w:rPr>
            </w:pPr>
            <w:r>
              <w:rPr>
                <w:b/>
                <w:bCs/>
              </w:rPr>
              <w:t xml:space="preserve">Maintenance fee - </w:t>
            </w:r>
            <w:r w:rsidR="00102296">
              <w:rPr>
                <w:b/>
                <w:bCs/>
              </w:rPr>
              <w:t>Licence fee or renewal fee for each month or part of month for which a licence is granted or renewed</w:t>
            </w:r>
          </w:p>
        </w:tc>
        <w:tc>
          <w:tcPr>
            <w:tcW w:w="919" w:type="pct"/>
          </w:tcPr>
          <w:p w14:paraId="3D7D9B1D" w14:textId="1C515041" w:rsidR="00102296" w:rsidRDefault="008774D2" w:rsidP="000A33D8">
            <w:pPr>
              <w:pStyle w:val="TabletextLeft"/>
              <w:jc w:val="center"/>
              <w:rPr>
                <w:b/>
                <w:bCs/>
              </w:rPr>
            </w:pPr>
            <w:r>
              <w:rPr>
                <w:b/>
                <w:bCs/>
              </w:rPr>
              <w:t>Total fee over a three-year licence period</w:t>
            </w:r>
          </w:p>
        </w:tc>
      </w:tr>
      <w:tr w:rsidR="00102296" w:rsidRPr="00294696" w14:paraId="06BCB10F" w14:textId="12BE8F38" w:rsidTr="00102296">
        <w:tc>
          <w:tcPr>
            <w:tcW w:w="1154" w:type="pct"/>
            <w:vMerge w:val="restart"/>
          </w:tcPr>
          <w:p w14:paraId="2CC4C415" w14:textId="5D6D472E" w:rsidR="00102296" w:rsidRPr="00294696" w:rsidRDefault="00102296" w:rsidP="000A33D8">
            <w:pPr>
              <w:pStyle w:val="TabletextLeft"/>
            </w:pPr>
            <w:r>
              <w:t>Business licence held by natural persons</w:t>
            </w:r>
            <w:r w:rsidR="0036598D">
              <w:t xml:space="preserve"> </w:t>
            </w:r>
          </w:p>
        </w:tc>
        <w:tc>
          <w:tcPr>
            <w:tcW w:w="1088" w:type="pct"/>
            <w:shd w:val="clear" w:color="auto" w:fill="auto"/>
          </w:tcPr>
          <w:p w14:paraId="06D9A981" w14:textId="36AD38B0" w:rsidR="00102296" w:rsidRPr="005014A8" w:rsidRDefault="00102296" w:rsidP="000A33D8">
            <w:pPr>
              <w:pStyle w:val="TabletextLeft"/>
              <w:jc w:val="center"/>
              <w:rPr>
                <w:rFonts w:eastAsia="Wingdings" w:cs="Calibri Light"/>
                <w:szCs w:val="17"/>
              </w:rPr>
            </w:pPr>
            <w:r w:rsidRPr="005014A8">
              <w:rPr>
                <w:rFonts w:eastAsia="Wingdings" w:cs="Calibri Light"/>
                <w:szCs w:val="17"/>
              </w:rPr>
              <w:t>1</w:t>
            </w:r>
          </w:p>
        </w:tc>
        <w:tc>
          <w:tcPr>
            <w:tcW w:w="920" w:type="pct"/>
            <w:shd w:val="clear" w:color="auto" w:fill="auto"/>
          </w:tcPr>
          <w:p w14:paraId="13A323BC" w14:textId="4FA78BFF" w:rsidR="00102296" w:rsidRPr="00E24483" w:rsidRDefault="00102296" w:rsidP="000A33D8">
            <w:pPr>
              <w:pStyle w:val="TabletextLeft"/>
              <w:jc w:val="center"/>
              <w:rPr>
                <w:rFonts w:cs="Calibri Light"/>
              </w:rPr>
            </w:pPr>
            <w:r>
              <w:rPr>
                <w:rFonts w:eastAsia="Wingdings" w:cs="Calibri Light"/>
                <w:szCs w:val="17"/>
              </w:rPr>
              <w:t>9.68</w:t>
            </w:r>
          </w:p>
        </w:tc>
        <w:tc>
          <w:tcPr>
            <w:tcW w:w="919" w:type="pct"/>
            <w:shd w:val="clear" w:color="auto" w:fill="auto"/>
          </w:tcPr>
          <w:p w14:paraId="749EAF6C" w14:textId="70DEE7AE" w:rsidR="00102296" w:rsidRPr="00E24483" w:rsidRDefault="00102296" w:rsidP="000A33D8">
            <w:pPr>
              <w:pStyle w:val="TabletextLeft"/>
              <w:jc w:val="center"/>
              <w:rPr>
                <w:rFonts w:cs="Calibri Light"/>
              </w:rPr>
            </w:pPr>
            <w:r>
              <w:rPr>
                <w:rFonts w:eastAsia="Wingdings" w:cs="Calibri Light"/>
                <w:szCs w:val="17"/>
              </w:rPr>
              <w:t>1.56</w:t>
            </w:r>
          </w:p>
        </w:tc>
        <w:tc>
          <w:tcPr>
            <w:tcW w:w="919" w:type="pct"/>
          </w:tcPr>
          <w:p w14:paraId="33891ED4" w14:textId="79E1B3C7" w:rsidR="00102296" w:rsidRDefault="006019C2" w:rsidP="000A33D8">
            <w:pPr>
              <w:pStyle w:val="TabletextLeft"/>
              <w:jc w:val="center"/>
              <w:rPr>
                <w:rFonts w:eastAsia="Wingdings" w:cs="Calibri Light"/>
                <w:szCs w:val="17"/>
              </w:rPr>
            </w:pPr>
            <w:r>
              <w:rPr>
                <w:rFonts w:eastAsia="Wingdings" w:cs="Calibri Light"/>
                <w:szCs w:val="17"/>
              </w:rPr>
              <w:t>65.84</w:t>
            </w:r>
          </w:p>
        </w:tc>
      </w:tr>
      <w:tr w:rsidR="00102296" w:rsidRPr="00294696" w14:paraId="1A333EBC" w14:textId="1BFC27D8" w:rsidTr="00102296">
        <w:tc>
          <w:tcPr>
            <w:tcW w:w="1154" w:type="pct"/>
            <w:vMerge/>
          </w:tcPr>
          <w:p w14:paraId="0FE13271" w14:textId="05DFC636" w:rsidR="00102296" w:rsidRPr="00294696" w:rsidRDefault="00102296" w:rsidP="000A33D8">
            <w:pPr>
              <w:pStyle w:val="TabletextLeft"/>
            </w:pPr>
          </w:p>
        </w:tc>
        <w:tc>
          <w:tcPr>
            <w:tcW w:w="1088" w:type="pct"/>
            <w:shd w:val="clear" w:color="auto" w:fill="auto"/>
          </w:tcPr>
          <w:p w14:paraId="44F3E825" w14:textId="3B37B1A3" w:rsidR="00102296" w:rsidRPr="005014A8" w:rsidRDefault="00102296" w:rsidP="000A33D8">
            <w:pPr>
              <w:pStyle w:val="TabletextLeft"/>
              <w:jc w:val="center"/>
              <w:rPr>
                <w:rFonts w:eastAsia="Wingdings" w:cs="Calibri Light"/>
                <w:szCs w:val="17"/>
              </w:rPr>
            </w:pPr>
            <w:r>
              <w:rPr>
                <w:rFonts w:eastAsia="Wingdings" w:cs="Calibri Light"/>
                <w:szCs w:val="17"/>
              </w:rPr>
              <w:t>2</w:t>
            </w:r>
          </w:p>
        </w:tc>
        <w:tc>
          <w:tcPr>
            <w:tcW w:w="920" w:type="pct"/>
            <w:shd w:val="clear" w:color="auto" w:fill="auto"/>
          </w:tcPr>
          <w:p w14:paraId="4D58D00C" w14:textId="5DFB6CCC" w:rsidR="00102296" w:rsidRPr="00E24483" w:rsidRDefault="00102296" w:rsidP="000A33D8">
            <w:pPr>
              <w:pStyle w:val="TabletextLeft"/>
              <w:jc w:val="center"/>
              <w:rPr>
                <w:rFonts w:cs="Calibri Light"/>
              </w:rPr>
            </w:pPr>
            <w:r>
              <w:rPr>
                <w:rFonts w:eastAsia="Wingdings" w:cs="Calibri Light"/>
                <w:szCs w:val="17"/>
              </w:rPr>
              <w:t>10.65</w:t>
            </w:r>
          </w:p>
        </w:tc>
        <w:tc>
          <w:tcPr>
            <w:tcW w:w="919" w:type="pct"/>
            <w:shd w:val="clear" w:color="auto" w:fill="auto"/>
          </w:tcPr>
          <w:p w14:paraId="633242A2" w14:textId="4160A7A2" w:rsidR="00102296" w:rsidRPr="00E24483" w:rsidRDefault="00102296" w:rsidP="000A33D8">
            <w:pPr>
              <w:pStyle w:val="TabletextLeft"/>
              <w:jc w:val="center"/>
              <w:rPr>
                <w:rFonts w:cs="Calibri Light"/>
              </w:rPr>
            </w:pPr>
            <w:r>
              <w:rPr>
                <w:rFonts w:eastAsia="Wingdings" w:cs="Calibri Light"/>
                <w:szCs w:val="17"/>
              </w:rPr>
              <w:t>1.66</w:t>
            </w:r>
          </w:p>
        </w:tc>
        <w:tc>
          <w:tcPr>
            <w:tcW w:w="919" w:type="pct"/>
          </w:tcPr>
          <w:p w14:paraId="339141AB" w14:textId="32C652BB" w:rsidR="00102296" w:rsidRDefault="002E523A" w:rsidP="000A33D8">
            <w:pPr>
              <w:pStyle w:val="TabletextLeft"/>
              <w:jc w:val="center"/>
              <w:rPr>
                <w:rFonts w:eastAsia="Wingdings" w:cs="Calibri Light"/>
                <w:szCs w:val="17"/>
              </w:rPr>
            </w:pPr>
            <w:r>
              <w:rPr>
                <w:rFonts w:eastAsia="Wingdings" w:cs="Calibri Light"/>
                <w:szCs w:val="17"/>
              </w:rPr>
              <w:t>70.41</w:t>
            </w:r>
          </w:p>
        </w:tc>
      </w:tr>
      <w:tr w:rsidR="00102296" w:rsidRPr="00294696" w14:paraId="4E9EF8B0" w14:textId="32DE391A" w:rsidTr="00102296">
        <w:tc>
          <w:tcPr>
            <w:tcW w:w="1154" w:type="pct"/>
            <w:vMerge/>
          </w:tcPr>
          <w:p w14:paraId="3AFA6BC4" w14:textId="359BE0E0" w:rsidR="00102296" w:rsidRDefault="00102296" w:rsidP="000A33D8">
            <w:pPr>
              <w:pStyle w:val="TabletextLeft"/>
            </w:pPr>
          </w:p>
        </w:tc>
        <w:tc>
          <w:tcPr>
            <w:tcW w:w="1088" w:type="pct"/>
            <w:shd w:val="clear" w:color="auto" w:fill="auto"/>
          </w:tcPr>
          <w:p w14:paraId="14826FDB" w14:textId="62A68D89" w:rsidR="00102296" w:rsidRPr="005014A8" w:rsidRDefault="00102296" w:rsidP="000A33D8">
            <w:pPr>
              <w:pStyle w:val="TabletextLeft"/>
              <w:jc w:val="center"/>
              <w:rPr>
                <w:rFonts w:eastAsia="Wingdings" w:cs="Calibri Light"/>
                <w:szCs w:val="17"/>
              </w:rPr>
            </w:pPr>
            <w:r>
              <w:rPr>
                <w:rFonts w:eastAsia="Wingdings" w:cs="Calibri Light"/>
                <w:szCs w:val="17"/>
              </w:rPr>
              <w:t>3</w:t>
            </w:r>
          </w:p>
        </w:tc>
        <w:tc>
          <w:tcPr>
            <w:tcW w:w="920" w:type="pct"/>
            <w:shd w:val="clear" w:color="auto" w:fill="auto"/>
          </w:tcPr>
          <w:p w14:paraId="34052442" w14:textId="5A71B5D6" w:rsidR="00102296" w:rsidRPr="00E24483" w:rsidRDefault="00102296" w:rsidP="000A33D8">
            <w:pPr>
              <w:pStyle w:val="TabletextLeft"/>
              <w:jc w:val="center"/>
              <w:rPr>
                <w:rFonts w:cs="Calibri Light"/>
              </w:rPr>
            </w:pPr>
            <w:r>
              <w:rPr>
                <w:rFonts w:eastAsia="Wingdings" w:cs="Calibri Light"/>
                <w:szCs w:val="17"/>
              </w:rPr>
              <w:t>11.61</w:t>
            </w:r>
          </w:p>
        </w:tc>
        <w:tc>
          <w:tcPr>
            <w:tcW w:w="919" w:type="pct"/>
            <w:shd w:val="clear" w:color="auto" w:fill="auto"/>
          </w:tcPr>
          <w:p w14:paraId="444CBA96" w14:textId="763CBD67" w:rsidR="00102296" w:rsidRPr="00E24483" w:rsidRDefault="00102296" w:rsidP="000A33D8">
            <w:pPr>
              <w:pStyle w:val="TabletextLeft"/>
              <w:jc w:val="center"/>
              <w:rPr>
                <w:rFonts w:cs="Calibri Light"/>
              </w:rPr>
            </w:pPr>
            <w:r>
              <w:rPr>
                <w:rFonts w:eastAsia="Wingdings" w:cs="Calibri Light"/>
                <w:szCs w:val="17"/>
              </w:rPr>
              <w:t>1.86</w:t>
            </w:r>
          </w:p>
        </w:tc>
        <w:tc>
          <w:tcPr>
            <w:tcW w:w="919" w:type="pct"/>
          </w:tcPr>
          <w:p w14:paraId="12416E85" w14:textId="50E40553" w:rsidR="00102296" w:rsidRDefault="00EA6385" w:rsidP="000A33D8">
            <w:pPr>
              <w:pStyle w:val="TabletextLeft"/>
              <w:jc w:val="center"/>
              <w:rPr>
                <w:rFonts w:eastAsia="Wingdings" w:cs="Calibri Light"/>
                <w:szCs w:val="17"/>
              </w:rPr>
            </w:pPr>
            <w:r>
              <w:rPr>
                <w:rFonts w:eastAsia="Wingdings" w:cs="Calibri Light"/>
                <w:szCs w:val="17"/>
              </w:rPr>
              <w:t>78.57</w:t>
            </w:r>
          </w:p>
        </w:tc>
      </w:tr>
      <w:tr w:rsidR="00102296" w:rsidRPr="00294696" w14:paraId="03C8AA93" w14:textId="1A84696A" w:rsidTr="00102296">
        <w:tc>
          <w:tcPr>
            <w:tcW w:w="1154" w:type="pct"/>
            <w:vMerge/>
          </w:tcPr>
          <w:p w14:paraId="43B75CDE" w14:textId="380EB15D" w:rsidR="00102296" w:rsidRDefault="00102296" w:rsidP="000A33D8">
            <w:pPr>
              <w:pStyle w:val="TabletextLeft"/>
            </w:pPr>
          </w:p>
        </w:tc>
        <w:tc>
          <w:tcPr>
            <w:tcW w:w="1088" w:type="pct"/>
            <w:shd w:val="clear" w:color="auto" w:fill="auto"/>
          </w:tcPr>
          <w:p w14:paraId="69865128" w14:textId="2A909A03" w:rsidR="00102296" w:rsidRPr="005014A8" w:rsidRDefault="00102296" w:rsidP="000A33D8">
            <w:pPr>
              <w:pStyle w:val="TabletextLeft"/>
              <w:jc w:val="center"/>
              <w:rPr>
                <w:rFonts w:eastAsia="Wingdings" w:cs="Calibri Light"/>
                <w:szCs w:val="17"/>
              </w:rPr>
            </w:pPr>
            <w:r>
              <w:rPr>
                <w:rFonts w:eastAsia="Wingdings" w:cs="Calibri Light"/>
                <w:szCs w:val="17"/>
              </w:rPr>
              <w:t>4</w:t>
            </w:r>
          </w:p>
        </w:tc>
        <w:tc>
          <w:tcPr>
            <w:tcW w:w="920" w:type="pct"/>
            <w:shd w:val="clear" w:color="auto" w:fill="auto"/>
          </w:tcPr>
          <w:p w14:paraId="6C727DD2" w14:textId="23B3D8BE" w:rsidR="00102296" w:rsidRPr="00E24483" w:rsidRDefault="00102296" w:rsidP="000A33D8">
            <w:pPr>
              <w:pStyle w:val="TabletextLeft"/>
              <w:jc w:val="center"/>
              <w:rPr>
                <w:rFonts w:cs="Calibri Light"/>
              </w:rPr>
            </w:pPr>
            <w:r>
              <w:rPr>
                <w:rFonts w:eastAsia="Wingdings" w:cs="Calibri Light"/>
                <w:szCs w:val="17"/>
              </w:rPr>
              <w:t>12.58</w:t>
            </w:r>
          </w:p>
        </w:tc>
        <w:tc>
          <w:tcPr>
            <w:tcW w:w="919" w:type="pct"/>
            <w:shd w:val="clear" w:color="auto" w:fill="auto"/>
          </w:tcPr>
          <w:p w14:paraId="7F51E4EF" w14:textId="4CF2BF34" w:rsidR="00102296" w:rsidRPr="00E24483" w:rsidRDefault="00102296" w:rsidP="000A33D8">
            <w:pPr>
              <w:pStyle w:val="TabletextLeft"/>
              <w:jc w:val="center"/>
              <w:rPr>
                <w:rFonts w:cs="Calibri Light"/>
              </w:rPr>
            </w:pPr>
            <w:r>
              <w:rPr>
                <w:rFonts w:eastAsia="Wingdings" w:cs="Calibri Light"/>
                <w:szCs w:val="17"/>
              </w:rPr>
              <w:t>1.96</w:t>
            </w:r>
          </w:p>
        </w:tc>
        <w:tc>
          <w:tcPr>
            <w:tcW w:w="919" w:type="pct"/>
          </w:tcPr>
          <w:p w14:paraId="64CCD5E2" w14:textId="4BB544C5" w:rsidR="00102296" w:rsidRDefault="00EA6385" w:rsidP="000A33D8">
            <w:pPr>
              <w:pStyle w:val="TabletextLeft"/>
              <w:jc w:val="center"/>
              <w:rPr>
                <w:rFonts w:eastAsia="Wingdings" w:cs="Calibri Light"/>
                <w:szCs w:val="17"/>
              </w:rPr>
            </w:pPr>
            <w:r>
              <w:rPr>
                <w:rFonts w:eastAsia="Wingdings" w:cs="Calibri Light"/>
                <w:szCs w:val="17"/>
              </w:rPr>
              <w:t>83.14</w:t>
            </w:r>
          </w:p>
        </w:tc>
      </w:tr>
      <w:tr w:rsidR="00102296" w:rsidRPr="00294696" w14:paraId="2BB36BEC" w14:textId="0C6B37C1" w:rsidTr="00102296">
        <w:tc>
          <w:tcPr>
            <w:tcW w:w="1154" w:type="pct"/>
            <w:vMerge/>
          </w:tcPr>
          <w:p w14:paraId="444485B8" w14:textId="26B71B46" w:rsidR="00102296" w:rsidRDefault="00102296" w:rsidP="000A33D8">
            <w:pPr>
              <w:pStyle w:val="TabletextLeft"/>
            </w:pPr>
          </w:p>
        </w:tc>
        <w:tc>
          <w:tcPr>
            <w:tcW w:w="1088" w:type="pct"/>
            <w:shd w:val="clear" w:color="auto" w:fill="auto"/>
          </w:tcPr>
          <w:p w14:paraId="06EB4A7F" w14:textId="08712562" w:rsidR="00102296" w:rsidRPr="005014A8" w:rsidRDefault="00102296" w:rsidP="000A33D8">
            <w:pPr>
              <w:pStyle w:val="TabletextLeft"/>
              <w:jc w:val="center"/>
              <w:rPr>
                <w:rFonts w:eastAsia="Wingdings" w:cs="Calibri Light"/>
                <w:szCs w:val="17"/>
              </w:rPr>
            </w:pPr>
            <w:r>
              <w:rPr>
                <w:rFonts w:eastAsia="Wingdings" w:cs="Calibri Light"/>
                <w:szCs w:val="17"/>
              </w:rPr>
              <w:t>5</w:t>
            </w:r>
          </w:p>
        </w:tc>
        <w:tc>
          <w:tcPr>
            <w:tcW w:w="920" w:type="pct"/>
            <w:shd w:val="clear" w:color="auto" w:fill="auto"/>
          </w:tcPr>
          <w:p w14:paraId="13CAC627" w14:textId="3B512B81" w:rsidR="00102296" w:rsidRPr="00E24483" w:rsidRDefault="00102296" w:rsidP="000A33D8">
            <w:pPr>
              <w:pStyle w:val="TabletextLeft"/>
              <w:jc w:val="center"/>
              <w:rPr>
                <w:rFonts w:cs="Calibri Light"/>
              </w:rPr>
            </w:pPr>
            <w:r>
              <w:rPr>
                <w:rFonts w:eastAsia="Wingdings" w:cs="Calibri Light"/>
                <w:szCs w:val="17"/>
              </w:rPr>
              <w:t>13.55</w:t>
            </w:r>
          </w:p>
        </w:tc>
        <w:tc>
          <w:tcPr>
            <w:tcW w:w="919" w:type="pct"/>
            <w:shd w:val="clear" w:color="auto" w:fill="auto"/>
          </w:tcPr>
          <w:p w14:paraId="652085A1" w14:textId="773BF3EF" w:rsidR="00102296" w:rsidRPr="00E24483" w:rsidRDefault="00102296" w:rsidP="000A33D8">
            <w:pPr>
              <w:pStyle w:val="TabletextLeft"/>
              <w:jc w:val="center"/>
              <w:rPr>
                <w:rFonts w:cs="Calibri Light"/>
              </w:rPr>
            </w:pPr>
            <w:r>
              <w:rPr>
                <w:rFonts w:eastAsia="Wingdings" w:cs="Calibri Light"/>
                <w:szCs w:val="17"/>
              </w:rPr>
              <w:t>2.06</w:t>
            </w:r>
          </w:p>
        </w:tc>
        <w:tc>
          <w:tcPr>
            <w:tcW w:w="919" w:type="pct"/>
          </w:tcPr>
          <w:p w14:paraId="08468E28" w14:textId="09DC648E" w:rsidR="00102296" w:rsidRDefault="00EA6385" w:rsidP="000A33D8">
            <w:pPr>
              <w:pStyle w:val="TabletextLeft"/>
              <w:jc w:val="center"/>
              <w:rPr>
                <w:rFonts w:eastAsia="Wingdings" w:cs="Calibri Light"/>
                <w:szCs w:val="17"/>
              </w:rPr>
            </w:pPr>
            <w:r>
              <w:rPr>
                <w:rFonts w:eastAsia="Wingdings" w:cs="Calibri Light"/>
                <w:szCs w:val="17"/>
              </w:rPr>
              <w:t>87.71</w:t>
            </w:r>
          </w:p>
        </w:tc>
      </w:tr>
      <w:tr w:rsidR="00102296" w:rsidRPr="00294696" w14:paraId="547026A3" w14:textId="034D36E5" w:rsidTr="00102296">
        <w:tc>
          <w:tcPr>
            <w:tcW w:w="1154" w:type="pct"/>
            <w:vMerge w:val="restart"/>
          </w:tcPr>
          <w:p w14:paraId="646F9C71" w14:textId="64479154" w:rsidR="00102296" w:rsidRDefault="00102296" w:rsidP="000A33D8">
            <w:pPr>
              <w:pStyle w:val="TabletextLeft"/>
            </w:pPr>
            <w:r>
              <w:t>Business licence held by body corporates</w:t>
            </w:r>
          </w:p>
        </w:tc>
        <w:tc>
          <w:tcPr>
            <w:tcW w:w="1088" w:type="pct"/>
            <w:shd w:val="clear" w:color="auto" w:fill="auto"/>
          </w:tcPr>
          <w:p w14:paraId="18887D5E" w14:textId="593FDAC4" w:rsidR="00102296" w:rsidRPr="005014A8" w:rsidRDefault="00102296" w:rsidP="000A33D8">
            <w:pPr>
              <w:pStyle w:val="TabletextLeft"/>
              <w:jc w:val="center"/>
              <w:rPr>
                <w:rFonts w:eastAsia="Wingdings" w:cs="Calibri Light"/>
                <w:szCs w:val="17"/>
              </w:rPr>
            </w:pPr>
            <w:r>
              <w:rPr>
                <w:rFonts w:eastAsia="Wingdings" w:cs="Calibri Light"/>
                <w:szCs w:val="17"/>
              </w:rPr>
              <w:t>1</w:t>
            </w:r>
          </w:p>
        </w:tc>
        <w:tc>
          <w:tcPr>
            <w:tcW w:w="920" w:type="pct"/>
            <w:shd w:val="clear" w:color="auto" w:fill="auto"/>
          </w:tcPr>
          <w:p w14:paraId="28D18FCA" w14:textId="4E76F0A1" w:rsidR="00102296" w:rsidRPr="00160BFA" w:rsidRDefault="00102296" w:rsidP="000A33D8">
            <w:pPr>
              <w:pStyle w:val="TabletextLeft"/>
              <w:jc w:val="center"/>
              <w:rPr>
                <w:rFonts w:cs="Calibri Light"/>
              </w:rPr>
            </w:pPr>
            <w:r>
              <w:rPr>
                <w:rFonts w:eastAsia="Wingdings" w:cs="Calibri Light"/>
                <w:szCs w:val="17"/>
              </w:rPr>
              <w:t>16.13</w:t>
            </w:r>
          </w:p>
        </w:tc>
        <w:tc>
          <w:tcPr>
            <w:tcW w:w="919" w:type="pct"/>
            <w:shd w:val="clear" w:color="auto" w:fill="auto"/>
          </w:tcPr>
          <w:p w14:paraId="0A861213" w14:textId="14EE5D0E" w:rsidR="00102296" w:rsidRPr="00160BFA" w:rsidRDefault="00102296" w:rsidP="000A33D8">
            <w:pPr>
              <w:pStyle w:val="TabletextLeft"/>
              <w:jc w:val="center"/>
              <w:rPr>
                <w:rFonts w:cs="Calibri Light"/>
              </w:rPr>
            </w:pPr>
            <w:r>
              <w:rPr>
                <w:rFonts w:eastAsia="Wingdings" w:cs="Calibri Light"/>
                <w:szCs w:val="17"/>
              </w:rPr>
              <w:t>2.54</w:t>
            </w:r>
          </w:p>
        </w:tc>
        <w:tc>
          <w:tcPr>
            <w:tcW w:w="919" w:type="pct"/>
          </w:tcPr>
          <w:p w14:paraId="443F9DB9" w14:textId="26C6F50F" w:rsidR="00102296" w:rsidRDefault="00EA6385" w:rsidP="000A33D8">
            <w:pPr>
              <w:pStyle w:val="TabletextLeft"/>
              <w:jc w:val="center"/>
              <w:rPr>
                <w:rFonts w:eastAsia="Wingdings" w:cs="Calibri Light"/>
                <w:szCs w:val="17"/>
              </w:rPr>
            </w:pPr>
            <w:r>
              <w:rPr>
                <w:rFonts w:eastAsia="Wingdings" w:cs="Calibri Light"/>
                <w:szCs w:val="17"/>
              </w:rPr>
              <w:t>107.57</w:t>
            </w:r>
          </w:p>
        </w:tc>
      </w:tr>
      <w:tr w:rsidR="00102296" w:rsidRPr="00294696" w14:paraId="5BD3E9C7" w14:textId="2337CBDB" w:rsidTr="00102296">
        <w:tc>
          <w:tcPr>
            <w:tcW w:w="1154" w:type="pct"/>
            <w:vMerge/>
          </w:tcPr>
          <w:p w14:paraId="6D871CD8" w14:textId="5DBF1924" w:rsidR="00102296" w:rsidRDefault="00102296" w:rsidP="000A33D8">
            <w:pPr>
              <w:pStyle w:val="TabletextLeft"/>
            </w:pPr>
          </w:p>
        </w:tc>
        <w:tc>
          <w:tcPr>
            <w:tcW w:w="1088" w:type="pct"/>
            <w:shd w:val="clear" w:color="auto" w:fill="auto"/>
          </w:tcPr>
          <w:p w14:paraId="4BE6D50E" w14:textId="01B8826D" w:rsidR="00102296" w:rsidRPr="005014A8" w:rsidRDefault="00102296" w:rsidP="000A33D8">
            <w:pPr>
              <w:pStyle w:val="TabletextLeft"/>
              <w:jc w:val="center"/>
              <w:rPr>
                <w:rFonts w:eastAsia="Wingdings" w:cs="Calibri Light"/>
                <w:szCs w:val="17"/>
              </w:rPr>
            </w:pPr>
            <w:r>
              <w:rPr>
                <w:rFonts w:eastAsia="Wingdings" w:cs="Calibri Light"/>
                <w:szCs w:val="17"/>
              </w:rPr>
              <w:t>2</w:t>
            </w:r>
          </w:p>
        </w:tc>
        <w:tc>
          <w:tcPr>
            <w:tcW w:w="920" w:type="pct"/>
            <w:shd w:val="clear" w:color="auto" w:fill="auto"/>
          </w:tcPr>
          <w:p w14:paraId="736A7E4E" w14:textId="21210F62" w:rsidR="00102296" w:rsidRPr="00160BFA" w:rsidRDefault="00102296" w:rsidP="000A33D8">
            <w:pPr>
              <w:pStyle w:val="TabletextLeft"/>
              <w:jc w:val="center"/>
              <w:rPr>
                <w:rFonts w:cs="Calibri Light"/>
              </w:rPr>
            </w:pPr>
            <w:r>
              <w:rPr>
                <w:rFonts w:eastAsia="Wingdings" w:cs="Calibri Light"/>
                <w:szCs w:val="17"/>
              </w:rPr>
              <w:t>17.74</w:t>
            </w:r>
          </w:p>
        </w:tc>
        <w:tc>
          <w:tcPr>
            <w:tcW w:w="919" w:type="pct"/>
            <w:shd w:val="clear" w:color="auto" w:fill="auto"/>
          </w:tcPr>
          <w:p w14:paraId="577C6FA5" w14:textId="35DD3DF1" w:rsidR="00102296" w:rsidRPr="00160BFA" w:rsidRDefault="00102296" w:rsidP="000A33D8">
            <w:pPr>
              <w:pStyle w:val="TabletextLeft"/>
              <w:jc w:val="center"/>
              <w:rPr>
                <w:rFonts w:cs="Calibri Light"/>
              </w:rPr>
            </w:pPr>
            <w:r>
              <w:rPr>
                <w:rFonts w:eastAsia="Wingdings" w:cs="Calibri Light"/>
                <w:szCs w:val="17"/>
              </w:rPr>
              <w:t>2.83</w:t>
            </w:r>
          </w:p>
        </w:tc>
        <w:tc>
          <w:tcPr>
            <w:tcW w:w="919" w:type="pct"/>
          </w:tcPr>
          <w:p w14:paraId="2E945F62" w14:textId="75849865" w:rsidR="00102296" w:rsidRDefault="00EA6385" w:rsidP="000A33D8">
            <w:pPr>
              <w:pStyle w:val="TabletextLeft"/>
              <w:jc w:val="center"/>
              <w:rPr>
                <w:rFonts w:eastAsia="Wingdings" w:cs="Calibri Light"/>
                <w:szCs w:val="17"/>
              </w:rPr>
            </w:pPr>
            <w:r>
              <w:rPr>
                <w:rFonts w:eastAsia="Wingdings" w:cs="Calibri Light"/>
                <w:szCs w:val="17"/>
              </w:rPr>
              <w:t>119.62</w:t>
            </w:r>
          </w:p>
        </w:tc>
      </w:tr>
      <w:tr w:rsidR="00102296" w:rsidRPr="00294696" w14:paraId="6052B69C" w14:textId="4772F1C9" w:rsidTr="00102296">
        <w:tc>
          <w:tcPr>
            <w:tcW w:w="1154" w:type="pct"/>
            <w:vMerge/>
          </w:tcPr>
          <w:p w14:paraId="6BBC5327" w14:textId="07345F89" w:rsidR="00102296" w:rsidRDefault="00102296" w:rsidP="000A33D8">
            <w:pPr>
              <w:pStyle w:val="TabletextLeft"/>
            </w:pPr>
          </w:p>
        </w:tc>
        <w:tc>
          <w:tcPr>
            <w:tcW w:w="1088" w:type="pct"/>
            <w:shd w:val="clear" w:color="auto" w:fill="auto"/>
          </w:tcPr>
          <w:p w14:paraId="62BC0EDC" w14:textId="46C24CB9" w:rsidR="00102296" w:rsidRPr="00160BFA" w:rsidRDefault="00102296" w:rsidP="000A33D8">
            <w:pPr>
              <w:pStyle w:val="TabletextLeft"/>
              <w:jc w:val="center"/>
              <w:rPr>
                <w:rFonts w:eastAsia="Wingdings" w:cs="Calibri Light"/>
                <w:szCs w:val="17"/>
              </w:rPr>
            </w:pPr>
            <w:r>
              <w:rPr>
                <w:rFonts w:eastAsia="Wingdings" w:cs="Calibri Light"/>
                <w:szCs w:val="17"/>
              </w:rPr>
              <w:t>3</w:t>
            </w:r>
          </w:p>
        </w:tc>
        <w:tc>
          <w:tcPr>
            <w:tcW w:w="920" w:type="pct"/>
            <w:shd w:val="clear" w:color="auto" w:fill="auto"/>
          </w:tcPr>
          <w:p w14:paraId="32CEF388" w14:textId="4A556FA2" w:rsidR="00102296" w:rsidRPr="00160BFA" w:rsidRDefault="00102296" w:rsidP="000A33D8">
            <w:pPr>
              <w:pStyle w:val="TabletextLeft"/>
              <w:jc w:val="center"/>
              <w:rPr>
                <w:rFonts w:cs="Calibri Light"/>
              </w:rPr>
            </w:pPr>
            <w:r>
              <w:rPr>
                <w:rFonts w:eastAsia="Wingdings" w:cs="Calibri Light"/>
                <w:szCs w:val="17"/>
              </w:rPr>
              <w:t>19.35</w:t>
            </w:r>
          </w:p>
        </w:tc>
        <w:tc>
          <w:tcPr>
            <w:tcW w:w="919" w:type="pct"/>
            <w:shd w:val="clear" w:color="auto" w:fill="auto"/>
          </w:tcPr>
          <w:p w14:paraId="486185B1" w14:textId="549CA8ED" w:rsidR="00102296" w:rsidRPr="00160BFA" w:rsidRDefault="00102296" w:rsidP="000A33D8">
            <w:pPr>
              <w:pStyle w:val="TabletextLeft"/>
              <w:jc w:val="center"/>
              <w:rPr>
                <w:rFonts w:cs="Calibri Light"/>
              </w:rPr>
            </w:pPr>
            <w:r>
              <w:rPr>
                <w:rFonts w:eastAsia="Wingdings" w:cs="Calibri Light"/>
                <w:szCs w:val="17"/>
              </w:rPr>
              <w:t>3.08</w:t>
            </w:r>
          </w:p>
        </w:tc>
        <w:tc>
          <w:tcPr>
            <w:tcW w:w="919" w:type="pct"/>
          </w:tcPr>
          <w:p w14:paraId="1FB28ABB" w14:textId="0436B7DA" w:rsidR="00102296" w:rsidRDefault="00EA6385" w:rsidP="000A33D8">
            <w:pPr>
              <w:pStyle w:val="TabletextLeft"/>
              <w:jc w:val="center"/>
              <w:rPr>
                <w:rFonts w:eastAsia="Wingdings" w:cs="Calibri Light"/>
                <w:szCs w:val="17"/>
              </w:rPr>
            </w:pPr>
            <w:r>
              <w:rPr>
                <w:rFonts w:eastAsia="Wingdings" w:cs="Calibri Light"/>
                <w:szCs w:val="17"/>
              </w:rPr>
              <w:t>130</w:t>
            </w:r>
            <w:r w:rsidR="001C3BAD">
              <w:rPr>
                <w:rFonts w:eastAsia="Wingdings" w:cs="Calibri Light"/>
                <w:szCs w:val="17"/>
              </w:rPr>
              <w:t>.23</w:t>
            </w:r>
          </w:p>
        </w:tc>
      </w:tr>
      <w:tr w:rsidR="00102296" w:rsidRPr="00294696" w14:paraId="0379D307" w14:textId="67F21613" w:rsidTr="00102296">
        <w:tc>
          <w:tcPr>
            <w:tcW w:w="1154" w:type="pct"/>
            <w:vMerge/>
          </w:tcPr>
          <w:p w14:paraId="60345A4F" w14:textId="7F41BBFE" w:rsidR="00102296" w:rsidRDefault="00102296" w:rsidP="000A33D8">
            <w:pPr>
              <w:pStyle w:val="TabletextLeft"/>
            </w:pPr>
          </w:p>
        </w:tc>
        <w:tc>
          <w:tcPr>
            <w:tcW w:w="1088" w:type="pct"/>
            <w:shd w:val="clear" w:color="auto" w:fill="auto"/>
          </w:tcPr>
          <w:p w14:paraId="11C2379C" w14:textId="27062B3A" w:rsidR="00102296" w:rsidRPr="00160BFA" w:rsidRDefault="00102296" w:rsidP="000A33D8">
            <w:pPr>
              <w:pStyle w:val="TabletextLeft"/>
              <w:jc w:val="center"/>
              <w:rPr>
                <w:rFonts w:eastAsia="Wingdings" w:cs="Calibri Light"/>
                <w:szCs w:val="17"/>
              </w:rPr>
            </w:pPr>
            <w:r>
              <w:rPr>
                <w:rFonts w:eastAsia="Wingdings" w:cs="Calibri Light"/>
                <w:szCs w:val="17"/>
              </w:rPr>
              <w:t>4</w:t>
            </w:r>
          </w:p>
        </w:tc>
        <w:tc>
          <w:tcPr>
            <w:tcW w:w="920" w:type="pct"/>
            <w:shd w:val="clear" w:color="auto" w:fill="auto"/>
          </w:tcPr>
          <w:p w14:paraId="53796828" w14:textId="43B40DAE" w:rsidR="00102296" w:rsidRPr="00160BFA" w:rsidRDefault="00102296" w:rsidP="000A33D8">
            <w:pPr>
              <w:pStyle w:val="TabletextLeft"/>
              <w:jc w:val="center"/>
              <w:rPr>
                <w:rFonts w:cs="Calibri Light"/>
              </w:rPr>
            </w:pPr>
            <w:r>
              <w:rPr>
                <w:rFonts w:eastAsia="Wingdings" w:cs="Calibri Light"/>
                <w:szCs w:val="17"/>
              </w:rPr>
              <w:t>20.97</w:t>
            </w:r>
          </w:p>
        </w:tc>
        <w:tc>
          <w:tcPr>
            <w:tcW w:w="919" w:type="pct"/>
            <w:shd w:val="clear" w:color="auto" w:fill="auto"/>
          </w:tcPr>
          <w:p w14:paraId="739DB01A" w14:textId="1EDAD5AB" w:rsidR="00102296" w:rsidRPr="001D0B97" w:rsidRDefault="00102296" w:rsidP="000A33D8">
            <w:pPr>
              <w:pStyle w:val="TabletextLeft"/>
              <w:jc w:val="center"/>
              <w:rPr>
                <w:rFonts w:eastAsia="Wingdings" w:cs="Calibri Light"/>
                <w:szCs w:val="17"/>
              </w:rPr>
            </w:pPr>
            <w:r w:rsidRPr="001D0B97">
              <w:rPr>
                <w:rFonts w:eastAsia="Wingdings" w:cs="Calibri Light"/>
                <w:szCs w:val="17"/>
              </w:rPr>
              <w:t>3.32</w:t>
            </w:r>
          </w:p>
        </w:tc>
        <w:tc>
          <w:tcPr>
            <w:tcW w:w="919" w:type="pct"/>
          </w:tcPr>
          <w:p w14:paraId="4D45CA4B" w14:textId="60BB7296" w:rsidR="00102296" w:rsidRPr="001C3BAD" w:rsidRDefault="001C3BAD" w:rsidP="001C3BAD">
            <w:pPr>
              <w:pStyle w:val="TabletextLeft"/>
              <w:jc w:val="center"/>
              <w:rPr>
                <w:rFonts w:eastAsia="Wingdings" w:cs="Calibri Light"/>
                <w:szCs w:val="17"/>
              </w:rPr>
            </w:pPr>
            <w:r w:rsidRPr="001C3BAD">
              <w:rPr>
                <w:rFonts w:eastAsia="Wingdings" w:cs="Calibri Light"/>
                <w:szCs w:val="17"/>
              </w:rPr>
              <w:t>140.49</w:t>
            </w:r>
          </w:p>
        </w:tc>
      </w:tr>
      <w:tr w:rsidR="00102296" w:rsidRPr="00294696" w14:paraId="2B89D30D" w14:textId="43DEF474" w:rsidTr="00102296">
        <w:tc>
          <w:tcPr>
            <w:tcW w:w="1154" w:type="pct"/>
            <w:vMerge/>
          </w:tcPr>
          <w:p w14:paraId="73A17780" w14:textId="17D60C71" w:rsidR="00102296" w:rsidRDefault="00102296">
            <w:pPr>
              <w:pStyle w:val="TabletextLeft"/>
            </w:pPr>
          </w:p>
        </w:tc>
        <w:tc>
          <w:tcPr>
            <w:tcW w:w="1088" w:type="pct"/>
            <w:shd w:val="clear" w:color="auto" w:fill="auto"/>
          </w:tcPr>
          <w:p w14:paraId="2FD3A255" w14:textId="32B517A1" w:rsidR="00102296" w:rsidRPr="00160BFA" w:rsidRDefault="00102296">
            <w:pPr>
              <w:pStyle w:val="TabletextLeft"/>
              <w:jc w:val="center"/>
              <w:rPr>
                <w:rFonts w:eastAsia="Wingdings" w:cs="Calibri Light"/>
                <w:szCs w:val="17"/>
              </w:rPr>
            </w:pPr>
            <w:r>
              <w:rPr>
                <w:rFonts w:eastAsia="Wingdings" w:cs="Calibri Light"/>
                <w:szCs w:val="17"/>
              </w:rPr>
              <w:t>5</w:t>
            </w:r>
          </w:p>
        </w:tc>
        <w:tc>
          <w:tcPr>
            <w:tcW w:w="920" w:type="pct"/>
            <w:shd w:val="clear" w:color="auto" w:fill="auto"/>
          </w:tcPr>
          <w:p w14:paraId="1472600A" w14:textId="0F3A9FAD" w:rsidR="00102296" w:rsidRPr="00160BFA" w:rsidRDefault="00102296">
            <w:pPr>
              <w:pStyle w:val="TabletextLeft"/>
              <w:jc w:val="center"/>
              <w:rPr>
                <w:rFonts w:cs="Calibri Light"/>
              </w:rPr>
            </w:pPr>
            <w:r>
              <w:rPr>
                <w:rFonts w:cs="Calibri Light"/>
              </w:rPr>
              <w:t>22.59</w:t>
            </w:r>
          </w:p>
        </w:tc>
        <w:tc>
          <w:tcPr>
            <w:tcW w:w="919" w:type="pct"/>
            <w:shd w:val="clear" w:color="auto" w:fill="auto"/>
          </w:tcPr>
          <w:p w14:paraId="02DB20E6" w14:textId="0FE8A1E8" w:rsidR="00102296" w:rsidRPr="001D0B97" w:rsidRDefault="00102296">
            <w:pPr>
              <w:pStyle w:val="TabletextLeft"/>
              <w:jc w:val="center"/>
              <w:rPr>
                <w:rFonts w:eastAsia="Wingdings" w:cs="Calibri Light"/>
                <w:szCs w:val="17"/>
              </w:rPr>
            </w:pPr>
            <w:r w:rsidRPr="001D0B97">
              <w:rPr>
                <w:rFonts w:eastAsia="Wingdings" w:cs="Calibri Light"/>
                <w:szCs w:val="17"/>
              </w:rPr>
              <w:t>3.56</w:t>
            </w:r>
          </w:p>
        </w:tc>
        <w:tc>
          <w:tcPr>
            <w:tcW w:w="919" w:type="pct"/>
          </w:tcPr>
          <w:p w14:paraId="5B54ECB7" w14:textId="1189C883" w:rsidR="00102296" w:rsidRPr="001C3BAD" w:rsidRDefault="001C3BAD">
            <w:pPr>
              <w:pStyle w:val="TabletextLeft"/>
              <w:jc w:val="center"/>
              <w:rPr>
                <w:rFonts w:eastAsia="Wingdings" w:cs="Calibri Light"/>
                <w:szCs w:val="17"/>
              </w:rPr>
            </w:pPr>
            <w:r w:rsidRPr="001C3BAD">
              <w:rPr>
                <w:rFonts w:eastAsia="Wingdings" w:cs="Calibri Light"/>
                <w:szCs w:val="17"/>
              </w:rPr>
              <w:t>15</w:t>
            </w:r>
            <w:r w:rsidR="008C7524">
              <w:rPr>
                <w:rFonts w:eastAsia="Wingdings" w:cs="Calibri Light"/>
                <w:szCs w:val="17"/>
              </w:rPr>
              <w:t>0</w:t>
            </w:r>
            <w:r w:rsidRPr="001C3BAD">
              <w:rPr>
                <w:rFonts w:eastAsia="Wingdings" w:cs="Calibri Light"/>
                <w:szCs w:val="17"/>
              </w:rPr>
              <w:t>.75</w:t>
            </w:r>
          </w:p>
        </w:tc>
      </w:tr>
    </w:tbl>
    <w:p w14:paraId="39D9417C" w14:textId="4ED21DC2" w:rsidR="00C1327F" w:rsidRDefault="00141E9C" w:rsidP="00141E9C">
      <w:pPr>
        <w:pStyle w:val="Caption"/>
      </w:pPr>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4</w:t>
      </w:r>
      <w:r w:rsidR="00414520">
        <w:fldChar w:fldCharType="end"/>
      </w:r>
      <w:r w:rsidRPr="00320700">
        <w:t>:</w:t>
      </w:r>
      <w:r w:rsidR="00C1327F">
        <w:t xml:space="preserve"> Fee units for individual licence applications and renewals prescribed by the Regulations.</w:t>
      </w:r>
    </w:p>
    <w:tbl>
      <w:tblPr>
        <w:tblStyle w:val="Deloittetable"/>
        <w:tblW w:w="5000" w:type="pct"/>
        <w:tblLook w:val="04A0" w:firstRow="1" w:lastRow="0" w:firstColumn="1" w:lastColumn="0" w:noHBand="0" w:noVBand="1"/>
      </w:tblPr>
      <w:tblGrid>
        <w:gridCol w:w="2225"/>
        <w:gridCol w:w="2098"/>
        <w:gridCol w:w="1773"/>
        <w:gridCol w:w="1771"/>
        <w:gridCol w:w="1771"/>
      </w:tblGrid>
      <w:tr w:rsidR="00C1327F" w:rsidRPr="00294696" w14:paraId="15359635" w14:textId="77777777" w:rsidTr="00FE7B0D">
        <w:trPr>
          <w:cnfStyle w:val="100000000000" w:firstRow="1" w:lastRow="0" w:firstColumn="0" w:lastColumn="0" w:oddVBand="0" w:evenVBand="0" w:oddHBand="0" w:evenHBand="0" w:firstRowFirstColumn="0" w:firstRowLastColumn="0" w:lastRowFirstColumn="0" w:lastRowLastColumn="0"/>
          <w:tblHeader/>
        </w:trPr>
        <w:tc>
          <w:tcPr>
            <w:tcW w:w="1154" w:type="pct"/>
          </w:tcPr>
          <w:p w14:paraId="727911F7" w14:textId="77777777" w:rsidR="00C1327F" w:rsidRPr="002F3D61" w:rsidRDefault="00C1327F" w:rsidP="00C1327F">
            <w:pPr>
              <w:pStyle w:val="TabletextLeft"/>
              <w:ind w:left="0"/>
              <w:rPr>
                <w:b/>
                <w:bCs/>
              </w:rPr>
            </w:pPr>
            <w:r w:rsidRPr="002F3D61">
              <w:rPr>
                <w:b/>
                <w:bCs/>
              </w:rPr>
              <w:t>Category</w:t>
            </w:r>
          </w:p>
        </w:tc>
        <w:tc>
          <w:tcPr>
            <w:tcW w:w="1088" w:type="pct"/>
          </w:tcPr>
          <w:p w14:paraId="29B317D5" w14:textId="77777777" w:rsidR="00C1327F" w:rsidRDefault="00C1327F" w:rsidP="00C1327F">
            <w:pPr>
              <w:pStyle w:val="TabletextLeft"/>
              <w:jc w:val="center"/>
              <w:rPr>
                <w:b/>
                <w:bCs/>
              </w:rPr>
            </w:pPr>
            <w:r>
              <w:rPr>
                <w:b/>
                <w:bCs/>
              </w:rPr>
              <w:t>Number of activities included on licence</w:t>
            </w:r>
          </w:p>
        </w:tc>
        <w:tc>
          <w:tcPr>
            <w:tcW w:w="920" w:type="pct"/>
          </w:tcPr>
          <w:p w14:paraId="56A61DD2" w14:textId="77777777" w:rsidR="00C1327F" w:rsidRPr="002F3D61" w:rsidRDefault="00C1327F" w:rsidP="00C1327F">
            <w:pPr>
              <w:pStyle w:val="TabletextLeft"/>
              <w:jc w:val="center"/>
              <w:rPr>
                <w:b/>
                <w:bCs/>
              </w:rPr>
            </w:pPr>
            <w:r>
              <w:rPr>
                <w:b/>
                <w:bCs/>
              </w:rPr>
              <w:t>Application fee for licence or renewal of licence</w:t>
            </w:r>
          </w:p>
        </w:tc>
        <w:tc>
          <w:tcPr>
            <w:tcW w:w="919" w:type="pct"/>
          </w:tcPr>
          <w:p w14:paraId="3DD2DA28" w14:textId="09BBEEE1" w:rsidR="00C1327F" w:rsidRDefault="006F70BB" w:rsidP="00C1327F">
            <w:pPr>
              <w:pStyle w:val="TabletextLeft"/>
              <w:jc w:val="center"/>
              <w:rPr>
                <w:b/>
                <w:bCs/>
              </w:rPr>
            </w:pPr>
            <w:r>
              <w:rPr>
                <w:b/>
                <w:bCs/>
              </w:rPr>
              <w:t xml:space="preserve">Maintenance fee - </w:t>
            </w:r>
            <w:r w:rsidR="00C1327F">
              <w:rPr>
                <w:b/>
                <w:bCs/>
              </w:rPr>
              <w:t xml:space="preserve">Licence fee or renewal fee for each </w:t>
            </w:r>
            <w:r w:rsidR="003F465B">
              <w:rPr>
                <w:b/>
                <w:bCs/>
              </w:rPr>
              <w:t xml:space="preserve">period of 2 </w:t>
            </w:r>
            <w:r w:rsidR="00C1327F">
              <w:rPr>
                <w:b/>
                <w:bCs/>
              </w:rPr>
              <w:t>month</w:t>
            </w:r>
            <w:r w:rsidR="003F465B">
              <w:rPr>
                <w:b/>
                <w:bCs/>
              </w:rPr>
              <w:t>s</w:t>
            </w:r>
            <w:r w:rsidR="00C1327F">
              <w:rPr>
                <w:b/>
                <w:bCs/>
              </w:rPr>
              <w:t xml:space="preserve"> or part of </w:t>
            </w:r>
            <w:r w:rsidR="003F465B">
              <w:rPr>
                <w:b/>
                <w:bCs/>
              </w:rPr>
              <w:t xml:space="preserve">2 </w:t>
            </w:r>
            <w:r w:rsidR="00C1327F">
              <w:rPr>
                <w:b/>
                <w:bCs/>
              </w:rPr>
              <w:t>month</w:t>
            </w:r>
            <w:r w:rsidR="003F465B">
              <w:rPr>
                <w:b/>
                <w:bCs/>
              </w:rPr>
              <w:t>s</w:t>
            </w:r>
            <w:r w:rsidR="00C1327F">
              <w:rPr>
                <w:b/>
                <w:bCs/>
              </w:rPr>
              <w:t xml:space="preserve"> for which a licence is granted or renewed</w:t>
            </w:r>
          </w:p>
        </w:tc>
        <w:tc>
          <w:tcPr>
            <w:tcW w:w="919" w:type="pct"/>
          </w:tcPr>
          <w:p w14:paraId="5D07F457" w14:textId="77777777" w:rsidR="00C1327F" w:rsidRDefault="00C1327F" w:rsidP="00C1327F">
            <w:pPr>
              <w:pStyle w:val="TabletextLeft"/>
              <w:jc w:val="center"/>
              <w:rPr>
                <w:b/>
                <w:bCs/>
              </w:rPr>
            </w:pPr>
            <w:r>
              <w:rPr>
                <w:b/>
                <w:bCs/>
              </w:rPr>
              <w:t>Total fee over a three-year licence period</w:t>
            </w:r>
          </w:p>
        </w:tc>
      </w:tr>
      <w:tr w:rsidR="00C1327F" w:rsidRPr="00294696" w14:paraId="49D4F398" w14:textId="77777777">
        <w:tc>
          <w:tcPr>
            <w:tcW w:w="1154" w:type="pct"/>
            <w:vMerge w:val="restart"/>
          </w:tcPr>
          <w:p w14:paraId="6309B625" w14:textId="452EA979" w:rsidR="00C1327F" w:rsidRDefault="00C1327F" w:rsidP="00C1327F">
            <w:pPr>
              <w:pStyle w:val="TabletextLeft"/>
            </w:pPr>
            <w:r>
              <w:t>Individual operator licences</w:t>
            </w:r>
          </w:p>
        </w:tc>
        <w:tc>
          <w:tcPr>
            <w:tcW w:w="1088" w:type="pct"/>
            <w:shd w:val="clear" w:color="auto" w:fill="auto"/>
          </w:tcPr>
          <w:p w14:paraId="069D993D" w14:textId="77777777" w:rsidR="00C1327F" w:rsidRDefault="00C1327F" w:rsidP="00C1327F">
            <w:pPr>
              <w:pStyle w:val="TabletextLeft"/>
              <w:jc w:val="center"/>
              <w:rPr>
                <w:rFonts w:eastAsia="Wingdings" w:cs="Calibri Light"/>
                <w:szCs w:val="17"/>
              </w:rPr>
            </w:pPr>
            <w:r>
              <w:rPr>
                <w:rFonts w:eastAsia="Wingdings" w:cs="Calibri Light"/>
                <w:szCs w:val="17"/>
              </w:rPr>
              <w:t>1</w:t>
            </w:r>
          </w:p>
        </w:tc>
        <w:tc>
          <w:tcPr>
            <w:tcW w:w="920" w:type="pct"/>
            <w:shd w:val="clear" w:color="auto" w:fill="auto"/>
          </w:tcPr>
          <w:p w14:paraId="670C6CEF" w14:textId="77777777" w:rsidR="00C1327F" w:rsidRDefault="00C1327F" w:rsidP="00C1327F">
            <w:pPr>
              <w:pStyle w:val="TabletextLeft"/>
              <w:jc w:val="center"/>
              <w:rPr>
                <w:rFonts w:cs="Calibri Light"/>
              </w:rPr>
            </w:pPr>
            <w:r>
              <w:rPr>
                <w:rFonts w:cs="Calibri Light"/>
              </w:rPr>
              <w:t>4.4</w:t>
            </w:r>
          </w:p>
        </w:tc>
        <w:tc>
          <w:tcPr>
            <w:tcW w:w="919" w:type="pct"/>
            <w:shd w:val="clear" w:color="auto" w:fill="auto"/>
          </w:tcPr>
          <w:p w14:paraId="62BBFA5E" w14:textId="6A82DF98" w:rsidR="00C1327F" w:rsidRPr="001D0B97" w:rsidRDefault="00C1327F" w:rsidP="00C1327F">
            <w:pPr>
              <w:pStyle w:val="TabletextLeft"/>
              <w:jc w:val="center"/>
              <w:rPr>
                <w:rFonts w:eastAsia="Wingdings" w:cs="Calibri Light"/>
                <w:szCs w:val="17"/>
              </w:rPr>
            </w:pPr>
            <w:r w:rsidRPr="001D0B97">
              <w:rPr>
                <w:rFonts w:eastAsia="Wingdings" w:cs="Calibri Light"/>
                <w:szCs w:val="17"/>
              </w:rPr>
              <w:t>1.36</w:t>
            </w:r>
          </w:p>
        </w:tc>
        <w:tc>
          <w:tcPr>
            <w:tcW w:w="919" w:type="pct"/>
          </w:tcPr>
          <w:p w14:paraId="6080D76A" w14:textId="39C8A88E" w:rsidR="00C1327F" w:rsidRPr="001C3BAD" w:rsidRDefault="007C1169" w:rsidP="00C1327F">
            <w:pPr>
              <w:pStyle w:val="TabletextLeft"/>
              <w:jc w:val="center"/>
              <w:rPr>
                <w:rFonts w:eastAsia="Wingdings" w:cs="Calibri Light"/>
                <w:szCs w:val="17"/>
              </w:rPr>
            </w:pPr>
            <w:r>
              <w:rPr>
                <w:rFonts w:eastAsia="Wingdings" w:cs="Calibri Light"/>
                <w:szCs w:val="17"/>
              </w:rPr>
              <w:t>28.</w:t>
            </w:r>
            <w:r w:rsidR="00210615">
              <w:rPr>
                <w:rFonts w:eastAsia="Wingdings" w:cs="Calibri Light"/>
                <w:szCs w:val="17"/>
              </w:rPr>
              <w:t>88</w:t>
            </w:r>
          </w:p>
        </w:tc>
      </w:tr>
      <w:tr w:rsidR="00C1327F" w:rsidRPr="00294696" w14:paraId="5F605A2A" w14:textId="77777777">
        <w:tc>
          <w:tcPr>
            <w:tcW w:w="1154" w:type="pct"/>
            <w:vMerge/>
          </w:tcPr>
          <w:p w14:paraId="0991F240" w14:textId="77777777" w:rsidR="00C1327F" w:rsidRDefault="00C1327F" w:rsidP="00C1327F">
            <w:pPr>
              <w:pStyle w:val="TabletextLeft"/>
            </w:pPr>
          </w:p>
        </w:tc>
        <w:tc>
          <w:tcPr>
            <w:tcW w:w="1088" w:type="pct"/>
            <w:shd w:val="clear" w:color="auto" w:fill="auto"/>
          </w:tcPr>
          <w:p w14:paraId="3F074788" w14:textId="77777777" w:rsidR="00C1327F" w:rsidRDefault="00C1327F" w:rsidP="00C1327F">
            <w:pPr>
              <w:pStyle w:val="TabletextLeft"/>
              <w:jc w:val="center"/>
              <w:rPr>
                <w:rFonts w:eastAsia="Wingdings" w:cs="Calibri Light"/>
                <w:szCs w:val="17"/>
              </w:rPr>
            </w:pPr>
            <w:r>
              <w:rPr>
                <w:rFonts w:eastAsia="Wingdings" w:cs="Calibri Light"/>
                <w:szCs w:val="17"/>
              </w:rPr>
              <w:t>2</w:t>
            </w:r>
          </w:p>
        </w:tc>
        <w:tc>
          <w:tcPr>
            <w:tcW w:w="920" w:type="pct"/>
            <w:shd w:val="clear" w:color="auto" w:fill="auto"/>
          </w:tcPr>
          <w:p w14:paraId="155014C9" w14:textId="77777777" w:rsidR="00C1327F" w:rsidRDefault="00C1327F" w:rsidP="00C1327F">
            <w:pPr>
              <w:pStyle w:val="TabletextLeft"/>
              <w:jc w:val="center"/>
              <w:rPr>
                <w:rFonts w:cs="Calibri Light"/>
              </w:rPr>
            </w:pPr>
            <w:r>
              <w:rPr>
                <w:rFonts w:cs="Calibri Light"/>
              </w:rPr>
              <w:t>4.84</w:t>
            </w:r>
          </w:p>
        </w:tc>
        <w:tc>
          <w:tcPr>
            <w:tcW w:w="919" w:type="pct"/>
            <w:shd w:val="clear" w:color="auto" w:fill="auto"/>
          </w:tcPr>
          <w:p w14:paraId="3C3A1778" w14:textId="77777777" w:rsidR="00C1327F" w:rsidRPr="001D0B97" w:rsidRDefault="00C1327F" w:rsidP="00C1327F">
            <w:pPr>
              <w:pStyle w:val="TabletextLeft"/>
              <w:jc w:val="center"/>
              <w:rPr>
                <w:rFonts w:eastAsia="Wingdings" w:cs="Calibri Light"/>
                <w:szCs w:val="17"/>
              </w:rPr>
            </w:pPr>
            <w:r w:rsidRPr="001D0B97">
              <w:rPr>
                <w:rFonts w:eastAsia="Wingdings" w:cs="Calibri Light"/>
                <w:szCs w:val="17"/>
              </w:rPr>
              <w:t>1.56</w:t>
            </w:r>
          </w:p>
        </w:tc>
        <w:tc>
          <w:tcPr>
            <w:tcW w:w="919" w:type="pct"/>
          </w:tcPr>
          <w:p w14:paraId="1BA33621" w14:textId="6C1ECAC4" w:rsidR="00C1327F" w:rsidRPr="001C3BAD" w:rsidRDefault="007C1169" w:rsidP="00C1327F">
            <w:pPr>
              <w:pStyle w:val="TabletextLeft"/>
              <w:jc w:val="center"/>
              <w:rPr>
                <w:rFonts w:eastAsia="Wingdings" w:cs="Calibri Light"/>
                <w:szCs w:val="17"/>
              </w:rPr>
            </w:pPr>
            <w:r>
              <w:rPr>
                <w:rFonts w:eastAsia="Wingdings" w:cs="Calibri Light"/>
                <w:szCs w:val="17"/>
              </w:rPr>
              <w:t>32.92</w:t>
            </w:r>
          </w:p>
        </w:tc>
      </w:tr>
      <w:tr w:rsidR="00C1327F" w:rsidRPr="00294696" w14:paraId="2FB6076E" w14:textId="77777777">
        <w:tc>
          <w:tcPr>
            <w:tcW w:w="1154" w:type="pct"/>
            <w:vMerge/>
          </w:tcPr>
          <w:p w14:paraId="0E6FF6B8" w14:textId="77777777" w:rsidR="00C1327F" w:rsidRDefault="00C1327F" w:rsidP="00C1327F">
            <w:pPr>
              <w:pStyle w:val="TabletextLeft"/>
            </w:pPr>
          </w:p>
        </w:tc>
        <w:tc>
          <w:tcPr>
            <w:tcW w:w="1088" w:type="pct"/>
            <w:shd w:val="clear" w:color="auto" w:fill="auto"/>
          </w:tcPr>
          <w:p w14:paraId="7858B52D" w14:textId="77777777" w:rsidR="00C1327F" w:rsidRDefault="00C1327F" w:rsidP="00C1327F">
            <w:pPr>
              <w:pStyle w:val="TabletextLeft"/>
              <w:jc w:val="center"/>
              <w:rPr>
                <w:rFonts w:eastAsia="Wingdings" w:cs="Calibri Light"/>
                <w:szCs w:val="17"/>
              </w:rPr>
            </w:pPr>
            <w:r>
              <w:rPr>
                <w:rFonts w:eastAsia="Wingdings" w:cs="Calibri Light"/>
                <w:szCs w:val="17"/>
              </w:rPr>
              <w:t>3</w:t>
            </w:r>
          </w:p>
        </w:tc>
        <w:tc>
          <w:tcPr>
            <w:tcW w:w="920" w:type="pct"/>
            <w:shd w:val="clear" w:color="auto" w:fill="auto"/>
          </w:tcPr>
          <w:p w14:paraId="7E2B725C" w14:textId="77777777" w:rsidR="00C1327F" w:rsidRDefault="00C1327F">
            <w:pPr>
              <w:pStyle w:val="TabletextLeft"/>
              <w:jc w:val="center"/>
              <w:rPr>
                <w:rFonts w:cs="Calibri Light"/>
              </w:rPr>
            </w:pPr>
            <w:r>
              <w:rPr>
                <w:rFonts w:cs="Calibri Light"/>
              </w:rPr>
              <w:t>5.28</w:t>
            </w:r>
          </w:p>
        </w:tc>
        <w:tc>
          <w:tcPr>
            <w:tcW w:w="919" w:type="pct"/>
            <w:shd w:val="clear" w:color="auto" w:fill="auto"/>
          </w:tcPr>
          <w:p w14:paraId="63CF2CBB" w14:textId="77777777" w:rsidR="00C1327F" w:rsidRPr="001D0B97" w:rsidRDefault="00C1327F">
            <w:pPr>
              <w:pStyle w:val="TabletextLeft"/>
              <w:jc w:val="center"/>
              <w:rPr>
                <w:rFonts w:eastAsia="Wingdings" w:cs="Calibri Light"/>
                <w:szCs w:val="17"/>
              </w:rPr>
            </w:pPr>
            <w:r w:rsidRPr="001D0B97">
              <w:rPr>
                <w:rFonts w:eastAsia="Wingdings" w:cs="Calibri Light"/>
                <w:szCs w:val="17"/>
              </w:rPr>
              <w:t>1.66</w:t>
            </w:r>
          </w:p>
        </w:tc>
        <w:tc>
          <w:tcPr>
            <w:tcW w:w="919" w:type="pct"/>
          </w:tcPr>
          <w:p w14:paraId="1DF3DEC6" w14:textId="2C534297" w:rsidR="00C1327F" w:rsidRPr="001C3BAD" w:rsidRDefault="007C1169">
            <w:pPr>
              <w:pStyle w:val="TabletextLeft"/>
              <w:jc w:val="center"/>
              <w:rPr>
                <w:rFonts w:eastAsia="Wingdings" w:cs="Calibri Light"/>
                <w:szCs w:val="17"/>
              </w:rPr>
            </w:pPr>
            <w:r>
              <w:rPr>
                <w:rFonts w:eastAsia="Wingdings" w:cs="Calibri Light"/>
                <w:szCs w:val="17"/>
              </w:rPr>
              <w:t>35.16</w:t>
            </w:r>
          </w:p>
        </w:tc>
      </w:tr>
      <w:tr w:rsidR="00C1327F" w:rsidRPr="00294696" w14:paraId="63365392" w14:textId="77777777">
        <w:tc>
          <w:tcPr>
            <w:tcW w:w="1154" w:type="pct"/>
            <w:vMerge/>
          </w:tcPr>
          <w:p w14:paraId="7547D4F5" w14:textId="77777777" w:rsidR="00C1327F" w:rsidRDefault="00C1327F">
            <w:pPr>
              <w:pStyle w:val="TabletextLeft"/>
            </w:pPr>
          </w:p>
        </w:tc>
        <w:tc>
          <w:tcPr>
            <w:tcW w:w="1088" w:type="pct"/>
            <w:shd w:val="clear" w:color="auto" w:fill="auto"/>
          </w:tcPr>
          <w:p w14:paraId="5FC1BE94" w14:textId="77777777" w:rsidR="00C1327F" w:rsidRDefault="00C1327F">
            <w:pPr>
              <w:pStyle w:val="TabletextLeft"/>
              <w:jc w:val="center"/>
              <w:rPr>
                <w:rFonts w:eastAsia="Wingdings" w:cs="Calibri Light"/>
                <w:szCs w:val="17"/>
              </w:rPr>
            </w:pPr>
            <w:r>
              <w:rPr>
                <w:rFonts w:eastAsia="Wingdings" w:cs="Calibri Light"/>
                <w:szCs w:val="17"/>
              </w:rPr>
              <w:t>4</w:t>
            </w:r>
          </w:p>
        </w:tc>
        <w:tc>
          <w:tcPr>
            <w:tcW w:w="920" w:type="pct"/>
            <w:shd w:val="clear" w:color="auto" w:fill="auto"/>
          </w:tcPr>
          <w:p w14:paraId="26B90C1C" w14:textId="77777777" w:rsidR="00C1327F" w:rsidRDefault="00C1327F">
            <w:pPr>
              <w:pStyle w:val="TabletextLeft"/>
              <w:jc w:val="center"/>
              <w:rPr>
                <w:rFonts w:cs="Calibri Light"/>
              </w:rPr>
            </w:pPr>
            <w:r>
              <w:rPr>
                <w:rFonts w:cs="Calibri Light"/>
              </w:rPr>
              <w:t>5.72</w:t>
            </w:r>
          </w:p>
        </w:tc>
        <w:tc>
          <w:tcPr>
            <w:tcW w:w="919" w:type="pct"/>
            <w:shd w:val="clear" w:color="auto" w:fill="auto"/>
          </w:tcPr>
          <w:p w14:paraId="24124792" w14:textId="77777777" w:rsidR="00C1327F" w:rsidRPr="001D0B97" w:rsidRDefault="00C1327F">
            <w:pPr>
              <w:pStyle w:val="TabletextLeft"/>
              <w:jc w:val="center"/>
              <w:rPr>
                <w:rFonts w:eastAsia="Wingdings" w:cs="Calibri Light"/>
                <w:szCs w:val="17"/>
              </w:rPr>
            </w:pPr>
            <w:r w:rsidRPr="001D0B97">
              <w:rPr>
                <w:rFonts w:eastAsia="Wingdings" w:cs="Calibri Light"/>
                <w:szCs w:val="17"/>
              </w:rPr>
              <w:t>1.76</w:t>
            </w:r>
          </w:p>
        </w:tc>
        <w:tc>
          <w:tcPr>
            <w:tcW w:w="919" w:type="pct"/>
          </w:tcPr>
          <w:p w14:paraId="6C5064C2" w14:textId="57922215" w:rsidR="00C1327F" w:rsidRPr="001C3BAD" w:rsidRDefault="007C1169">
            <w:pPr>
              <w:pStyle w:val="TabletextLeft"/>
              <w:jc w:val="center"/>
              <w:rPr>
                <w:rFonts w:eastAsia="Wingdings" w:cs="Calibri Light"/>
                <w:szCs w:val="17"/>
              </w:rPr>
            </w:pPr>
            <w:r>
              <w:rPr>
                <w:rFonts w:eastAsia="Wingdings" w:cs="Calibri Light"/>
                <w:szCs w:val="17"/>
              </w:rPr>
              <w:t>37.40</w:t>
            </w:r>
          </w:p>
        </w:tc>
      </w:tr>
      <w:tr w:rsidR="00C1327F" w:rsidRPr="00294696" w14:paraId="764B07D9" w14:textId="77777777">
        <w:tc>
          <w:tcPr>
            <w:tcW w:w="1154" w:type="pct"/>
            <w:vMerge/>
          </w:tcPr>
          <w:p w14:paraId="3630F3DD" w14:textId="77777777" w:rsidR="00C1327F" w:rsidRDefault="00C1327F">
            <w:pPr>
              <w:pStyle w:val="TabletextLeft"/>
            </w:pPr>
          </w:p>
        </w:tc>
        <w:tc>
          <w:tcPr>
            <w:tcW w:w="1088" w:type="pct"/>
            <w:shd w:val="clear" w:color="auto" w:fill="auto"/>
          </w:tcPr>
          <w:p w14:paraId="0F082760" w14:textId="77777777" w:rsidR="00C1327F" w:rsidRDefault="00C1327F">
            <w:pPr>
              <w:pStyle w:val="TabletextLeft"/>
              <w:jc w:val="center"/>
              <w:rPr>
                <w:rFonts w:eastAsia="Wingdings" w:cs="Calibri Light"/>
                <w:szCs w:val="17"/>
              </w:rPr>
            </w:pPr>
            <w:r>
              <w:rPr>
                <w:rFonts w:eastAsia="Wingdings" w:cs="Calibri Light"/>
                <w:szCs w:val="17"/>
              </w:rPr>
              <w:t>5</w:t>
            </w:r>
          </w:p>
        </w:tc>
        <w:tc>
          <w:tcPr>
            <w:tcW w:w="920" w:type="pct"/>
            <w:shd w:val="clear" w:color="auto" w:fill="auto"/>
          </w:tcPr>
          <w:p w14:paraId="46DB494B" w14:textId="77777777" w:rsidR="00C1327F" w:rsidRDefault="00C1327F">
            <w:pPr>
              <w:pStyle w:val="TabletextLeft"/>
              <w:jc w:val="center"/>
              <w:rPr>
                <w:rFonts w:cs="Calibri Light"/>
              </w:rPr>
            </w:pPr>
            <w:r>
              <w:rPr>
                <w:rFonts w:cs="Calibri Light"/>
              </w:rPr>
              <w:t>6.16</w:t>
            </w:r>
          </w:p>
        </w:tc>
        <w:tc>
          <w:tcPr>
            <w:tcW w:w="919" w:type="pct"/>
            <w:shd w:val="clear" w:color="auto" w:fill="auto"/>
          </w:tcPr>
          <w:p w14:paraId="65979DA8" w14:textId="77777777" w:rsidR="00C1327F" w:rsidRPr="001D0B97" w:rsidRDefault="00C1327F">
            <w:pPr>
              <w:pStyle w:val="TabletextLeft"/>
              <w:jc w:val="center"/>
              <w:rPr>
                <w:rFonts w:eastAsia="Wingdings" w:cs="Calibri Light"/>
                <w:szCs w:val="17"/>
              </w:rPr>
            </w:pPr>
            <w:r w:rsidRPr="001D0B97">
              <w:rPr>
                <w:rFonts w:eastAsia="Wingdings" w:cs="Calibri Light"/>
                <w:szCs w:val="17"/>
              </w:rPr>
              <w:t>1.86</w:t>
            </w:r>
          </w:p>
        </w:tc>
        <w:tc>
          <w:tcPr>
            <w:tcW w:w="919" w:type="pct"/>
          </w:tcPr>
          <w:p w14:paraId="048826F4" w14:textId="69DF5DD5" w:rsidR="00C1327F" w:rsidRPr="001C3BAD" w:rsidRDefault="007C1169">
            <w:pPr>
              <w:pStyle w:val="TabletextLeft"/>
              <w:jc w:val="center"/>
              <w:rPr>
                <w:rFonts w:eastAsia="Wingdings" w:cs="Calibri Light"/>
                <w:szCs w:val="17"/>
              </w:rPr>
            </w:pPr>
            <w:r>
              <w:rPr>
                <w:rFonts w:eastAsia="Wingdings" w:cs="Calibri Light"/>
                <w:szCs w:val="17"/>
              </w:rPr>
              <w:t>39.64</w:t>
            </w:r>
          </w:p>
        </w:tc>
      </w:tr>
    </w:tbl>
    <w:p w14:paraId="5307C583" w14:textId="780F2368" w:rsidR="00511172" w:rsidRDefault="00141E9C" w:rsidP="00141E9C">
      <w:pPr>
        <w:pStyle w:val="Caption"/>
      </w:pPr>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5</w:t>
      </w:r>
      <w:r w:rsidR="00414520">
        <w:fldChar w:fldCharType="end"/>
      </w:r>
      <w:r w:rsidRPr="0001362E">
        <w:t>:</w:t>
      </w:r>
      <w:r w:rsidR="00511172">
        <w:t xml:space="preserve"> Fee units for registration applications and renewals prescribed by the Regulations.</w:t>
      </w:r>
    </w:p>
    <w:tbl>
      <w:tblPr>
        <w:tblStyle w:val="Deloittetable"/>
        <w:tblW w:w="5000" w:type="pct"/>
        <w:tblLook w:val="04A0" w:firstRow="1" w:lastRow="0" w:firstColumn="1" w:lastColumn="0" w:noHBand="0" w:noVBand="1"/>
      </w:tblPr>
      <w:tblGrid>
        <w:gridCol w:w="2225"/>
        <w:gridCol w:w="2098"/>
        <w:gridCol w:w="1773"/>
        <w:gridCol w:w="1771"/>
        <w:gridCol w:w="1771"/>
      </w:tblGrid>
      <w:tr w:rsidR="00FA0FCC" w:rsidRPr="00294696" w14:paraId="699CF477" w14:textId="7B0297AE" w:rsidTr="00FA0FCC">
        <w:trPr>
          <w:cnfStyle w:val="100000000000" w:firstRow="1" w:lastRow="0" w:firstColumn="0" w:lastColumn="0" w:oddVBand="0" w:evenVBand="0" w:oddHBand="0" w:evenHBand="0" w:firstRowFirstColumn="0" w:firstRowLastColumn="0" w:lastRowFirstColumn="0" w:lastRowLastColumn="0"/>
        </w:trPr>
        <w:tc>
          <w:tcPr>
            <w:tcW w:w="1154" w:type="pct"/>
          </w:tcPr>
          <w:p w14:paraId="5743E44B" w14:textId="77777777" w:rsidR="00FA0FCC" w:rsidRPr="002F3D61" w:rsidRDefault="00FA0FCC" w:rsidP="00511172">
            <w:pPr>
              <w:pStyle w:val="TabletextLeft"/>
              <w:ind w:left="0"/>
              <w:rPr>
                <w:b/>
                <w:bCs/>
              </w:rPr>
            </w:pPr>
            <w:r w:rsidRPr="002F3D61">
              <w:rPr>
                <w:b/>
                <w:bCs/>
              </w:rPr>
              <w:t>Category</w:t>
            </w:r>
          </w:p>
        </w:tc>
        <w:tc>
          <w:tcPr>
            <w:tcW w:w="1088" w:type="pct"/>
          </w:tcPr>
          <w:p w14:paraId="6299F187" w14:textId="12E14C70" w:rsidR="00FA0FCC" w:rsidRDefault="00FA0FCC" w:rsidP="00511172">
            <w:pPr>
              <w:pStyle w:val="TabletextLeft"/>
              <w:jc w:val="center"/>
              <w:rPr>
                <w:b/>
                <w:bCs/>
              </w:rPr>
            </w:pPr>
            <w:r>
              <w:rPr>
                <w:b/>
                <w:bCs/>
              </w:rPr>
              <w:t>Number of activities included on registration</w:t>
            </w:r>
          </w:p>
        </w:tc>
        <w:tc>
          <w:tcPr>
            <w:tcW w:w="920" w:type="pct"/>
          </w:tcPr>
          <w:p w14:paraId="46D3B18B" w14:textId="65C198FB" w:rsidR="00FA0FCC" w:rsidRPr="002F3D61" w:rsidRDefault="00FA0FCC" w:rsidP="00511172">
            <w:pPr>
              <w:pStyle w:val="TabletextLeft"/>
              <w:jc w:val="center"/>
              <w:rPr>
                <w:b/>
                <w:bCs/>
              </w:rPr>
            </w:pPr>
            <w:r>
              <w:rPr>
                <w:b/>
                <w:bCs/>
              </w:rPr>
              <w:t>Application fee for registration or renewal of registration</w:t>
            </w:r>
          </w:p>
        </w:tc>
        <w:tc>
          <w:tcPr>
            <w:tcW w:w="919" w:type="pct"/>
          </w:tcPr>
          <w:p w14:paraId="424EF1BF" w14:textId="642F8DE2" w:rsidR="00FA0FCC" w:rsidRDefault="00DF396D" w:rsidP="00511172">
            <w:pPr>
              <w:pStyle w:val="TabletextLeft"/>
              <w:jc w:val="center"/>
              <w:rPr>
                <w:b/>
                <w:bCs/>
              </w:rPr>
            </w:pPr>
            <w:r>
              <w:rPr>
                <w:b/>
                <w:bCs/>
              </w:rPr>
              <w:t xml:space="preserve">Maintenance fee - </w:t>
            </w:r>
            <w:r w:rsidR="00FA0FCC">
              <w:rPr>
                <w:b/>
                <w:bCs/>
              </w:rPr>
              <w:t>Registration fee or renewal fee for each month or part of month for which a registration is granted or renewed</w:t>
            </w:r>
          </w:p>
        </w:tc>
        <w:tc>
          <w:tcPr>
            <w:tcW w:w="919" w:type="pct"/>
          </w:tcPr>
          <w:p w14:paraId="2D81EA12" w14:textId="26EA7541" w:rsidR="00FA0FCC" w:rsidRDefault="00FA0FCC" w:rsidP="00511172">
            <w:pPr>
              <w:pStyle w:val="TabletextLeft"/>
              <w:jc w:val="center"/>
              <w:rPr>
                <w:b/>
                <w:bCs/>
              </w:rPr>
            </w:pPr>
            <w:r>
              <w:rPr>
                <w:b/>
                <w:bCs/>
              </w:rPr>
              <w:t>Total fee over a three-year registration period</w:t>
            </w:r>
          </w:p>
        </w:tc>
      </w:tr>
      <w:tr w:rsidR="00FA0FCC" w:rsidRPr="00294696" w14:paraId="630D5FDF" w14:textId="6453F1CC" w:rsidTr="00FA0FCC">
        <w:tc>
          <w:tcPr>
            <w:tcW w:w="1154" w:type="pct"/>
            <w:vMerge w:val="restart"/>
          </w:tcPr>
          <w:p w14:paraId="455B6F64" w14:textId="5BBF09F5" w:rsidR="00FA0FCC" w:rsidRPr="00294696" w:rsidRDefault="00FA0FCC" w:rsidP="00511172">
            <w:pPr>
              <w:pStyle w:val="TabletextLeft"/>
            </w:pPr>
            <w:r>
              <w:t>Business registration held by natural persons</w:t>
            </w:r>
          </w:p>
        </w:tc>
        <w:tc>
          <w:tcPr>
            <w:tcW w:w="1088" w:type="pct"/>
            <w:shd w:val="clear" w:color="auto" w:fill="auto"/>
          </w:tcPr>
          <w:p w14:paraId="5FCD3A53" w14:textId="77777777" w:rsidR="00FA0FCC" w:rsidRPr="005014A8" w:rsidRDefault="00FA0FCC" w:rsidP="00511172">
            <w:pPr>
              <w:pStyle w:val="TabletextLeft"/>
              <w:jc w:val="center"/>
              <w:rPr>
                <w:rFonts w:eastAsia="Wingdings" w:cs="Calibri Light"/>
                <w:szCs w:val="17"/>
              </w:rPr>
            </w:pPr>
            <w:r w:rsidRPr="005014A8">
              <w:rPr>
                <w:rFonts w:eastAsia="Wingdings" w:cs="Calibri Light"/>
                <w:szCs w:val="17"/>
              </w:rPr>
              <w:t>1</w:t>
            </w:r>
          </w:p>
        </w:tc>
        <w:tc>
          <w:tcPr>
            <w:tcW w:w="920" w:type="pct"/>
            <w:shd w:val="clear" w:color="auto" w:fill="auto"/>
          </w:tcPr>
          <w:p w14:paraId="5F436AAD" w14:textId="60565D3F" w:rsidR="00FA0FCC" w:rsidRPr="00E24483" w:rsidRDefault="00FA0FCC" w:rsidP="00511172">
            <w:pPr>
              <w:pStyle w:val="TabletextLeft"/>
              <w:jc w:val="center"/>
              <w:rPr>
                <w:rFonts w:cs="Calibri Light"/>
              </w:rPr>
            </w:pPr>
            <w:r>
              <w:rPr>
                <w:rFonts w:eastAsia="Wingdings" w:cs="Calibri Light"/>
                <w:szCs w:val="17"/>
              </w:rPr>
              <w:t>7.23</w:t>
            </w:r>
          </w:p>
        </w:tc>
        <w:tc>
          <w:tcPr>
            <w:tcW w:w="919" w:type="pct"/>
            <w:shd w:val="clear" w:color="auto" w:fill="auto"/>
          </w:tcPr>
          <w:p w14:paraId="38605799" w14:textId="68498947" w:rsidR="00FA0FCC" w:rsidRPr="00E24483" w:rsidRDefault="00FA0FCC" w:rsidP="00511172">
            <w:pPr>
              <w:pStyle w:val="TabletextLeft"/>
              <w:jc w:val="center"/>
              <w:rPr>
                <w:rFonts w:cs="Calibri Light"/>
              </w:rPr>
            </w:pPr>
            <w:r>
              <w:rPr>
                <w:rFonts w:eastAsia="Wingdings" w:cs="Calibri Light"/>
                <w:szCs w:val="17"/>
              </w:rPr>
              <w:t>1.17</w:t>
            </w:r>
          </w:p>
        </w:tc>
        <w:tc>
          <w:tcPr>
            <w:tcW w:w="919" w:type="pct"/>
          </w:tcPr>
          <w:p w14:paraId="03701E1E" w14:textId="09A59948" w:rsidR="00FA0FCC" w:rsidRDefault="00775F5D" w:rsidP="00511172">
            <w:pPr>
              <w:pStyle w:val="TabletextLeft"/>
              <w:jc w:val="center"/>
              <w:rPr>
                <w:rFonts w:eastAsia="Wingdings" w:cs="Calibri Light"/>
                <w:szCs w:val="17"/>
              </w:rPr>
            </w:pPr>
            <w:r>
              <w:rPr>
                <w:rFonts w:eastAsia="Wingdings" w:cs="Calibri Light"/>
                <w:szCs w:val="17"/>
              </w:rPr>
              <w:t>49.35</w:t>
            </w:r>
          </w:p>
        </w:tc>
      </w:tr>
      <w:tr w:rsidR="00FA0FCC" w:rsidRPr="00294696" w14:paraId="18DA803F" w14:textId="59FF54FE" w:rsidTr="00FA0FCC">
        <w:tc>
          <w:tcPr>
            <w:tcW w:w="1154" w:type="pct"/>
            <w:vMerge/>
          </w:tcPr>
          <w:p w14:paraId="1323DF4E" w14:textId="77777777" w:rsidR="00FA0FCC" w:rsidRPr="00294696" w:rsidRDefault="00FA0FCC" w:rsidP="00511172">
            <w:pPr>
              <w:pStyle w:val="TabletextLeft"/>
            </w:pPr>
          </w:p>
        </w:tc>
        <w:tc>
          <w:tcPr>
            <w:tcW w:w="1088" w:type="pct"/>
            <w:shd w:val="clear" w:color="auto" w:fill="auto"/>
          </w:tcPr>
          <w:p w14:paraId="623A7F63" w14:textId="77777777" w:rsidR="00FA0FCC" w:rsidRPr="005014A8" w:rsidRDefault="00FA0FCC" w:rsidP="00511172">
            <w:pPr>
              <w:pStyle w:val="TabletextLeft"/>
              <w:jc w:val="center"/>
              <w:rPr>
                <w:rFonts w:eastAsia="Wingdings" w:cs="Calibri Light"/>
                <w:szCs w:val="17"/>
              </w:rPr>
            </w:pPr>
            <w:r>
              <w:rPr>
                <w:rFonts w:eastAsia="Wingdings" w:cs="Calibri Light"/>
                <w:szCs w:val="17"/>
              </w:rPr>
              <w:t>2</w:t>
            </w:r>
          </w:p>
        </w:tc>
        <w:tc>
          <w:tcPr>
            <w:tcW w:w="920" w:type="pct"/>
            <w:shd w:val="clear" w:color="auto" w:fill="auto"/>
          </w:tcPr>
          <w:p w14:paraId="7935E0D0" w14:textId="480A29BB" w:rsidR="00FA0FCC" w:rsidRPr="00E24483" w:rsidRDefault="00FA0FCC" w:rsidP="00511172">
            <w:pPr>
              <w:pStyle w:val="TabletextLeft"/>
              <w:jc w:val="center"/>
              <w:rPr>
                <w:rFonts w:cs="Calibri Light"/>
              </w:rPr>
            </w:pPr>
            <w:r>
              <w:rPr>
                <w:rFonts w:eastAsia="Wingdings" w:cs="Calibri Light"/>
                <w:szCs w:val="17"/>
              </w:rPr>
              <w:t>7.96</w:t>
            </w:r>
          </w:p>
        </w:tc>
        <w:tc>
          <w:tcPr>
            <w:tcW w:w="919" w:type="pct"/>
            <w:shd w:val="clear" w:color="auto" w:fill="auto"/>
          </w:tcPr>
          <w:p w14:paraId="22FE8253" w14:textId="1E9DE7A2" w:rsidR="00FA0FCC" w:rsidRPr="00E24483" w:rsidRDefault="00FA0FCC" w:rsidP="00511172">
            <w:pPr>
              <w:pStyle w:val="TabletextLeft"/>
              <w:jc w:val="center"/>
              <w:rPr>
                <w:rFonts w:cs="Calibri Light"/>
              </w:rPr>
            </w:pPr>
            <w:r>
              <w:rPr>
                <w:rFonts w:eastAsia="Wingdings" w:cs="Calibri Light"/>
                <w:szCs w:val="17"/>
              </w:rPr>
              <w:t>1.27</w:t>
            </w:r>
          </w:p>
        </w:tc>
        <w:tc>
          <w:tcPr>
            <w:tcW w:w="919" w:type="pct"/>
          </w:tcPr>
          <w:p w14:paraId="336C78FA" w14:textId="20717A67" w:rsidR="00FA0FCC" w:rsidRDefault="00775F5D" w:rsidP="00511172">
            <w:pPr>
              <w:pStyle w:val="TabletextLeft"/>
              <w:jc w:val="center"/>
              <w:rPr>
                <w:rFonts w:eastAsia="Wingdings" w:cs="Calibri Light"/>
                <w:szCs w:val="17"/>
              </w:rPr>
            </w:pPr>
            <w:r>
              <w:rPr>
                <w:rFonts w:eastAsia="Wingdings" w:cs="Calibri Light"/>
                <w:szCs w:val="17"/>
              </w:rPr>
              <w:t>53.68</w:t>
            </w:r>
          </w:p>
        </w:tc>
      </w:tr>
      <w:tr w:rsidR="00FA0FCC" w:rsidRPr="00294696" w14:paraId="52DD546D" w14:textId="09727792" w:rsidTr="00FA0FCC">
        <w:tc>
          <w:tcPr>
            <w:tcW w:w="1154" w:type="pct"/>
            <w:vMerge w:val="restart"/>
          </w:tcPr>
          <w:p w14:paraId="14997346" w14:textId="3FB8F5E9" w:rsidR="00FA0FCC" w:rsidRDefault="00FA0FCC" w:rsidP="00511172">
            <w:pPr>
              <w:pStyle w:val="TabletextLeft"/>
            </w:pPr>
            <w:r>
              <w:t xml:space="preserve">Business registration held by </w:t>
            </w:r>
            <w:r w:rsidR="00EA0918">
              <w:t>bodies corporate</w:t>
            </w:r>
          </w:p>
        </w:tc>
        <w:tc>
          <w:tcPr>
            <w:tcW w:w="1088" w:type="pct"/>
            <w:shd w:val="clear" w:color="auto" w:fill="auto"/>
          </w:tcPr>
          <w:p w14:paraId="5DE812CE" w14:textId="77777777" w:rsidR="00FA0FCC" w:rsidRPr="005014A8" w:rsidRDefault="00FA0FCC" w:rsidP="00511172">
            <w:pPr>
              <w:pStyle w:val="TabletextLeft"/>
              <w:jc w:val="center"/>
              <w:rPr>
                <w:rFonts w:eastAsia="Wingdings" w:cs="Calibri Light"/>
                <w:szCs w:val="17"/>
              </w:rPr>
            </w:pPr>
            <w:r>
              <w:rPr>
                <w:rFonts w:eastAsia="Wingdings" w:cs="Calibri Light"/>
                <w:szCs w:val="17"/>
              </w:rPr>
              <w:t>1</w:t>
            </w:r>
          </w:p>
        </w:tc>
        <w:tc>
          <w:tcPr>
            <w:tcW w:w="920" w:type="pct"/>
            <w:shd w:val="clear" w:color="auto" w:fill="auto"/>
          </w:tcPr>
          <w:p w14:paraId="2B2650E5" w14:textId="22B70650" w:rsidR="00FA0FCC" w:rsidRPr="00160BFA" w:rsidRDefault="00FA0FCC" w:rsidP="00511172">
            <w:pPr>
              <w:pStyle w:val="TabletextLeft"/>
              <w:jc w:val="center"/>
              <w:rPr>
                <w:rFonts w:cs="Calibri Light"/>
              </w:rPr>
            </w:pPr>
            <w:r>
              <w:rPr>
                <w:rFonts w:eastAsia="Wingdings" w:cs="Calibri Light"/>
                <w:szCs w:val="17"/>
              </w:rPr>
              <w:t>12.12</w:t>
            </w:r>
          </w:p>
        </w:tc>
        <w:tc>
          <w:tcPr>
            <w:tcW w:w="919" w:type="pct"/>
            <w:shd w:val="clear" w:color="auto" w:fill="auto"/>
          </w:tcPr>
          <w:p w14:paraId="77FA27FF" w14:textId="2DA77D24" w:rsidR="00FA0FCC" w:rsidRPr="00160BFA" w:rsidRDefault="00FA0FCC" w:rsidP="00511172">
            <w:pPr>
              <w:pStyle w:val="TabletextLeft"/>
              <w:jc w:val="center"/>
              <w:rPr>
                <w:rFonts w:cs="Calibri Light"/>
              </w:rPr>
            </w:pPr>
            <w:r>
              <w:rPr>
                <w:rFonts w:eastAsia="Wingdings" w:cs="Calibri Light"/>
                <w:szCs w:val="17"/>
              </w:rPr>
              <w:t>1.96</w:t>
            </w:r>
          </w:p>
        </w:tc>
        <w:tc>
          <w:tcPr>
            <w:tcW w:w="919" w:type="pct"/>
          </w:tcPr>
          <w:p w14:paraId="0761DBF5" w14:textId="789210CF" w:rsidR="00FA0FCC" w:rsidRDefault="00775F5D" w:rsidP="00511172">
            <w:pPr>
              <w:pStyle w:val="TabletextLeft"/>
              <w:jc w:val="center"/>
              <w:rPr>
                <w:rFonts w:eastAsia="Wingdings" w:cs="Calibri Light"/>
                <w:szCs w:val="17"/>
              </w:rPr>
            </w:pPr>
            <w:r>
              <w:rPr>
                <w:rFonts w:eastAsia="Wingdings" w:cs="Calibri Light"/>
                <w:szCs w:val="17"/>
              </w:rPr>
              <w:t>8</w:t>
            </w:r>
            <w:r w:rsidR="00E47CB5">
              <w:rPr>
                <w:rFonts w:eastAsia="Wingdings" w:cs="Calibri Light"/>
                <w:szCs w:val="17"/>
              </w:rPr>
              <w:t>2.68</w:t>
            </w:r>
          </w:p>
        </w:tc>
      </w:tr>
      <w:tr w:rsidR="00FA0FCC" w:rsidRPr="00294696" w14:paraId="1FCD84AB" w14:textId="427D6AD6" w:rsidTr="00FA0FCC">
        <w:tc>
          <w:tcPr>
            <w:tcW w:w="1154" w:type="pct"/>
            <w:vMerge/>
          </w:tcPr>
          <w:p w14:paraId="0FFCBDEE" w14:textId="77777777" w:rsidR="00FA0FCC" w:rsidRDefault="00FA0FCC" w:rsidP="00511172">
            <w:pPr>
              <w:pStyle w:val="TabletextLeft"/>
            </w:pPr>
          </w:p>
        </w:tc>
        <w:tc>
          <w:tcPr>
            <w:tcW w:w="1088" w:type="pct"/>
            <w:shd w:val="clear" w:color="auto" w:fill="auto"/>
          </w:tcPr>
          <w:p w14:paraId="6E0F0F40" w14:textId="77777777" w:rsidR="00FA0FCC" w:rsidRPr="005014A8" w:rsidRDefault="00FA0FCC" w:rsidP="00511172">
            <w:pPr>
              <w:pStyle w:val="TabletextLeft"/>
              <w:jc w:val="center"/>
              <w:rPr>
                <w:rFonts w:eastAsia="Wingdings" w:cs="Calibri Light"/>
                <w:szCs w:val="17"/>
              </w:rPr>
            </w:pPr>
            <w:r>
              <w:rPr>
                <w:rFonts w:eastAsia="Wingdings" w:cs="Calibri Light"/>
                <w:szCs w:val="17"/>
              </w:rPr>
              <w:t>2</w:t>
            </w:r>
          </w:p>
        </w:tc>
        <w:tc>
          <w:tcPr>
            <w:tcW w:w="920" w:type="pct"/>
            <w:shd w:val="clear" w:color="auto" w:fill="auto"/>
          </w:tcPr>
          <w:p w14:paraId="52C90881" w14:textId="3A15D4C2" w:rsidR="00FA0FCC" w:rsidRPr="00160BFA" w:rsidRDefault="00FA0FCC" w:rsidP="00511172">
            <w:pPr>
              <w:pStyle w:val="TabletextLeft"/>
              <w:jc w:val="center"/>
              <w:rPr>
                <w:rFonts w:cs="Calibri Light"/>
              </w:rPr>
            </w:pPr>
            <w:r>
              <w:rPr>
                <w:rFonts w:eastAsia="Wingdings" w:cs="Calibri Light"/>
                <w:szCs w:val="17"/>
              </w:rPr>
              <w:t>13.33</w:t>
            </w:r>
          </w:p>
        </w:tc>
        <w:tc>
          <w:tcPr>
            <w:tcW w:w="919" w:type="pct"/>
            <w:shd w:val="clear" w:color="auto" w:fill="auto"/>
          </w:tcPr>
          <w:p w14:paraId="05581941" w14:textId="0F9D7D31" w:rsidR="00FA0FCC" w:rsidRPr="00160BFA" w:rsidRDefault="00FA0FCC" w:rsidP="00511172">
            <w:pPr>
              <w:pStyle w:val="TabletextLeft"/>
              <w:jc w:val="center"/>
              <w:rPr>
                <w:rFonts w:cs="Calibri Light"/>
              </w:rPr>
            </w:pPr>
            <w:r>
              <w:rPr>
                <w:rFonts w:eastAsia="Wingdings" w:cs="Calibri Light"/>
                <w:szCs w:val="17"/>
              </w:rPr>
              <w:t>2.15</w:t>
            </w:r>
          </w:p>
        </w:tc>
        <w:tc>
          <w:tcPr>
            <w:tcW w:w="919" w:type="pct"/>
          </w:tcPr>
          <w:p w14:paraId="60787CB7" w14:textId="26CE7C6B" w:rsidR="00FA0FCC" w:rsidRDefault="00E47CB5" w:rsidP="00511172">
            <w:pPr>
              <w:pStyle w:val="TabletextLeft"/>
              <w:jc w:val="center"/>
              <w:rPr>
                <w:rFonts w:eastAsia="Wingdings" w:cs="Calibri Light"/>
                <w:szCs w:val="17"/>
              </w:rPr>
            </w:pPr>
            <w:r>
              <w:rPr>
                <w:rFonts w:eastAsia="Wingdings" w:cs="Calibri Light"/>
                <w:szCs w:val="17"/>
              </w:rPr>
              <w:t>90.73</w:t>
            </w:r>
          </w:p>
        </w:tc>
      </w:tr>
      <w:tr w:rsidR="00FA0FCC" w:rsidRPr="00294696" w14:paraId="2330C797" w14:textId="362A1078" w:rsidTr="00FA0FCC">
        <w:tc>
          <w:tcPr>
            <w:tcW w:w="1154" w:type="pct"/>
            <w:vMerge w:val="restart"/>
          </w:tcPr>
          <w:p w14:paraId="3EC2F629" w14:textId="73F790B3" w:rsidR="00FA0FCC" w:rsidRDefault="00FA0FCC" w:rsidP="00511172">
            <w:pPr>
              <w:pStyle w:val="TabletextLeft"/>
            </w:pPr>
            <w:r>
              <w:t>Individual operator registration</w:t>
            </w:r>
          </w:p>
        </w:tc>
        <w:tc>
          <w:tcPr>
            <w:tcW w:w="1088" w:type="pct"/>
            <w:shd w:val="clear" w:color="auto" w:fill="auto"/>
          </w:tcPr>
          <w:p w14:paraId="586A4F8C" w14:textId="77777777" w:rsidR="00FA0FCC" w:rsidRDefault="00FA0FCC" w:rsidP="00511172">
            <w:pPr>
              <w:pStyle w:val="TabletextLeft"/>
              <w:jc w:val="center"/>
              <w:rPr>
                <w:rFonts w:eastAsia="Wingdings" w:cs="Calibri Light"/>
                <w:szCs w:val="17"/>
              </w:rPr>
            </w:pPr>
            <w:r>
              <w:rPr>
                <w:rFonts w:eastAsia="Wingdings" w:cs="Calibri Light"/>
                <w:szCs w:val="17"/>
              </w:rPr>
              <w:t>1</w:t>
            </w:r>
          </w:p>
        </w:tc>
        <w:tc>
          <w:tcPr>
            <w:tcW w:w="920" w:type="pct"/>
            <w:shd w:val="clear" w:color="auto" w:fill="auto"/>
          </w:tcPr>
          <w:p w14:paraId="017A80BC" w14:textId="1BBE181B" w:rsidR="00FA0FCC" w:rsidRDefault="00FA0FCC" w:rsidP="00511172">
            <w:pPr>
              <w:pStyle w:val="TabletextLeft"/>
              <w:jc w:val="center"/>
              <w:rPr>
                <w:rFonts w:cs="Calibri Light"/>
              </w:rPr>
            </w:pPr>
            <w:r>
              <w:rPr>
                <w:rFonts w:cs="Calibri Light"/>
              </w:rPr>
              <w:t>3.23</w:t>
            </w:r>
          </w:p>
        </w:tc>
        <w:tc>
          <w:tcPr>
            <w:tcW w:w="919" w:type="pct"/>
            <w:shd w:val="clear" w:color="auto" w:fill="auto"/>
          </w:tcPr>
          <w:p w14:paraId="53A95BBA" w14:textId="1734150A" w:rsidR="00FA0FCC" w:rsidRPr="00BE33B7" w:rsidRDefault="00FA0FCC" w:rsidP="00511172">
            <w:pPr>
              <w:pStyle w:val="TabletextLeft"/>
              <w:jc w:val="center"/>
              <w:rPr>
                <w:rFonts w:eastAsia="Wingdings" w:cs="Calibri Light"/>
                <w:szCs w:val="17"/>
              </w:rPr>
            </w:pPr>
            <w:r w:rsidRPr="00BE33B7">
              <w:rPr>
                <w:rFonts w:eastAsia="Wingdings" w:cs="Calibri Light"/>
                <w:szCs w:val="17"/>
              </w:rPr>
              <w:t>1.00</w:t>
            </w:r>
          </w:p>
        </w:tc>
        <w:tc>
          <w:tcPr>
            <w:tcW w:w="919" w:type="pct"/>
          </w:tcPr>
          <w:p w14:paraId="06C6A8E2" w14:textId="3BE105A9" w:rsidR="00FA0FCC" w:rsidRPr="00BE33B7" w:rsidRDefault="00E47CB5" w:rsidP="00511172">
            <w:pPr>
              <w:pStyle w:val="TabletextLeft"/>
              <w:jc w:val="center"/>
              <w:rPr>
                <w:rFonts w:eastAsia="Wingdings" w:cs="Calibri Light"/>
                <w:szCs w:val="17"/>
              </w:rPr>
            </w:pPr>
            <w:r>
              <w:rPr>
                <w:rFonts w:eastAsia="Wingdings" w:cs="Calibri Light"/>
                <w:szCs w:val="17"/>
              </w:rPr>
              <w:t>21.23</w:t>
            </w:r>
          </w:p>
        </w:tc>
      </w:tr>
      <w:tr w:rsidR="00FA0FCC" w:rsidRPr="00294696" w14:paraId="7ECC71B2" w14:textId="4F809818" w:rsidTr="00FA0FCC">
        <w:tc>
          <w:tcPr>
            <w:tcW w:w="1154" w:type="pct"/>
            <w:vMerge/>
          </w:tcPr>
          <w:p w14:paraId="2165A2B5" w14:textId="77777777" w:rsidR="00FA0FCC" w:rsidRDefault="00FA0FCC">
            <w:pPr>
              <w:pStyle w:val="TabletextLeft"/>
            </w:pPr>
          </w:p>
        </w:tc>
        <w:tc>
          <w:tcPr>
            <w:tcW w:w="1088" w:type="pct"/>
            <w:shd w:val="clear" w:color="auto" w:fill="auto"/>
          </w:tcPr>
          <w:p w14:paraId="531FABBB" w14:textId="77777777" w:rsidR="00FA0FCC" w:rsidRDefault="00FA0FCC">
            <w:pPr>
              <w:pStyle w:val="TabletextLeft"/>
              <w:jc w:val="center"/>
              <w:rPr>
                <w:rFonts w:eastAsia="Wingdings" w:cs="Calibri Light"/>
                <w:szCs w:val="17"/>
              </w:rPr>
            </w:pPr>
            <w:r>
              <w:rPr>
                <w:rFonts w:eastAsia="Wingdings" w:cs="Calibri Light"/>
                <w:szCs w:val="17"/>
              </w:rPr>
              <w:t>2</w:t>
            </w:r>
          </w:p>
        </w:tc>
        <w:tc>
          <w:tcPr>
            <w:tcW w:w="920" w:type="pct"/>
            <w:shd w:val="clear" w:color="auto" w:fill="auto"/>
          </w:tcPr>
          <w:p w14:paraId="010C04B2" w14:textId="33E716C2" w:rsidR="00FA0FCC" w:rsidRDefault="00FA0FCC">
            <w:pPr>
              <w:pStyle w:val="TabletextLeft"/>
              <w:jc w:val="center"/>
              <w:rPr>
                <w:rFonts w:cs="Calibri Light"/>
              </w:rPr>
            </w:pPr>
            <w:r>
              <w:rPr>
                <w:rFonts w:cs="Calibri Light"/>
              </w:rPr>
              <w:t>3.66</w:t>
            </w:r>
          </w:p>
        </w:tc>
        <w:tc>
          <w:tcPr>
            <w:tcW w:w="919" w:type="pct"/>
            <w:shd w:val="clear" w:color="auto" w:fill="auto"/>
          </w:tcPr>
          <w:p w14:paraId="451CD963" w14:textId="27ADD51F" w:rsidR="00FA0FCC" w:rsidRPr="00BE33B7" w:rsidRDefault="00FA0FCC">
            <w:pPr>
              <w:pStyle w:val="TabletextLeft"/>
              <w:jc w:val="center"/>
              <w:rPr>
                <w:rFonts w:eastAsia="Wingdings" w:cs="Calibri Light"/>
                <w:szCs w:val="17"/>
              </w:rPr>
            </w:pPr>
            <w:r w:rsidRPr="00BE33B7">
              <w:rPr>
                <w:rFonts w:eastAsia="Wingdings" w:cs="Calibri Light"/>
                <w:szCs w:val="17"/>
              </w:rPr>
              <w:t>1.08</w:t>
            </w:r>
          </w:p>
        </w:tc>
        <w:tc>
          <w:tcPr>
            <w:tcW w:w="919" w:type="pct"/>
          </w:tcPr>
          <w:p w14:paraId="1357BA4C" w14:textId="210C0CAA" w:rsidR="00FA0FCC" w:rsidRPr="00BE33B7" w:rsidRDefault="00E47CB5">
            <w:pPr>
              <w:pStyle w:val="TabletextLeft"/>
              <w:jc w:val="center"/>
              <w:rPr>
                <w:rFonts w:eastAsia="Wingdings" w:cs="Calibri Light"/>
                <w:szCs w:val="17"/>
              </w:rPr>
            </w:pPr>
            <w:r>
              <w:rPr>
                <w:rFonts w:eastAsia="Wingdings" w:cs="Calibri Light"/>
                <w:szCs w:val="17"/>
              </w:rPr>
              <w:t>23.10</w:t>
            </w:r>
          </w:p>
        </w:tc>
      </w:tr>
    </w:tbl>
    <w:p w14:paraId="54F0E9F9" w14:textId="31EBAA54" w:rsidR="006C3ACA" w:rsidRDefault="006C3ACA" w:rsidP="000C67F8">
      <w:pPr>
        <w:spacing w:before="120"/>
      </w:pPr>
      <w:r>
        <w:t xml:space="preserve">At the </w:t>
      </w:r>
      <w:r w:rsidR="00B72112">
        <w:t>2024-25</w:t>
      </w:r>
      <w:r>
        <w:t xml:space="preserve"> fee unit value of $1</w:t>
      </w:r>
      <w:r w:rsidR="00B72112">
        <w:t>6</w:t>
      </w:r>
      <w:r w:rsidR="00774632">
        <w:t>.33</w:t>
      </w:r>
      <w:r>
        <w:t>, the cost of a three-year licence</w:t>
      </w:r>
      <w:r w:rsidR="0091399F">
        <w:t>s and registrations</w:t>
      </w:r>
      <w:r>
        <w:t xml:space="preserve"> </w:t>
      </w:r>
      <w:r w:rsidR="00D14E0A">
        <w:t>ranges as follows depending on the number of authorised activities on the licence</w:t>
      </w:r>
      <w:r w:rsidR="0091399F">
        <w:t xml:space="preserve"> or registration</w:t>
      </w:r>
      <w:r w:rsidR="00D14E0A">
        <w:t>:</w:t>
      </w:r>
      <w:r w:rsidR="00E56622" w:rsidRPr="00E56622">
        <w:rPr>
          <w:rStyle w:val="FootnoteReference"/>
        </w:rPr>
        <w:t xml:space="preserve"> </w:t>
      </w:r>
      <w:r w:rsidR="00E56622">
        <w:rPr>
          <w:rStyle w:val="FootnoteReference"/>
        </w:rPr>
        <w:footnoteReference w:id="4"/>
      </w:r>
    </w:p>
    <w:p w14:paraId="2901829C" w14:textId="32C11FE5" w:rsidR="00D14E0A" w:rsidRDefault="0091399F" w:rsidP="00557ACA">
      <w:pPr>
        <w:pStyle w:val="ListParagraph"/>
        <w:numPr>
          <w:ilvl w:val="0"/>
          <w:numId w:val="30"/>
        </w:numPr>
      </w:pPr>
      <w:r>
        <w:t>p</w:t>
      </w:r>
      <w:r w:rsidR="00D14E0A">
        <w:t xml:space="preserve">rivate security individual licence: </w:t>
      </w:r>
      <w:r>
        <w:t>$</w:t>
      </w:r>
      <w:r w:rsidR="00774632">
        <w:t>471.</w:t>
      </w:r>
      <w:r w:rsidR="00D34670">
        <w:t>70</w:t>
      </w:r>
      <w:r>
        <w:t xml:space="preserve"> to $</w:t>
      </w:r>
      <w:r w:rsidR="008B7F4E">
        <w:t>6</w:t>
      </w:r>
      <w:r w:rsidR="00D34670">
        <w:t>47.3</w:t>
      </w:r>
      <w:r w:rsidR="008B7F4E">
        <w:t>0</w:t>
      </w:r>
    </w:p>
    <w:p w14:paraId="293EF17D" w14:textId="58B7DF22" w:rsidR="0091399F" w:rsidRDefault="0091399F" w:rsidP="00557ACA">
      <w:pPr>
        <w:pStyle w:val="ListParagraph"/>
        <w:numPr>
          <w:ilvl w:val="0"/>
          <w:numId w:val="30"/>
        </w:numPr>
      </w:pPr>
      <w:r>
        <w:t>private security business licence</w:t>
      </w:r>
      <w:r w:rsidR="009475F3">
        <w:t xml:space="preserve"> (natural person):</w:t>
      </w:r>
      <w:r>
        <w:t xml:space="preserve"> $1,</w:t>
      </w:r>
      <w:r w:rsidR="00142BDE">
        <w:t>075.</w:t>
      </w:r>
      <w:r w:rsidR="008B7F4E">
        <w:t>20</w:t>
      </w:r>
      <w:r>
        <w:t xml:space="preserve"> to $</w:t>
      </w:r>
      <w:r w:rsidR="00574F7B">
        <w:t>1,432.20</w:t>
      </w:r>
    </w:p>
    <w:p w14:paraId="52B3CE99" w14:textId="7D86F682" w:rsidR="0091399F" w:rsidRDefault="00B36D0C" w:rsidP="00557ACA">
      <w:pPr>
        <w:pStyle w:val="ListParagraph"/>
        <w:numPr>
          <w:ilvl w:val="0"/>
          <w:numId w:val="30"/>
        </w:numPr>
      </w:pPr>
      <w:r>
        <w:t xml:space="preserve">private security </w:t>
      </w:r>
      <w:r w:rsidR="009475F3">
        <w:t>business licence (body corporate): $1,7</w:t>
      </w:r>
      <w:r w:rsidR="00574F7B">
        <w:t>56</w:t>
      </w:r>
      <w:r w:rsidR="009475F3">
        <w:t>.</w:t>
      </w:r>
      <w:r w:rsidR="00ED7995">
        <w:t>60</w:t>
      </w:r>
      <w:r w:rsidR="009475F3">
        <w:t xml:space="preserve"> to $</w:t>
      </w:r>
      <w:r w:rsidR="00574F7B">
        <w:t>2,461.</w:t>
      </w:r>
      <w:r w:rsidR="00ED7995">
        <w:t>80</w:t>
      </w:r>
    </w:p>
    <w:p w14:paraId="4B5D15CC" w14:textId="792F10BF" w:rsidR="009475F3" w:rsidRDefault="00BB1C62" w:rsidP="00557ACA">
      <w:pPr>
        <w:pStyle w:val="ListParagraph"/>
        <w:numPr>
          <w:ilvl w:val="0"/>
          <w:numId w:val="30"/>
        </w:numPr>
      </w:pPr>
      <w:r>
        <w:t>private security individual registration: $3</w:t>
      </w:r>
      <w:r w:rsidR="00C66CD6">
        <w:t>4</w:t>
      </w:r>
      <w:r w:rsidR="00ED7995">
        <w:t>8</w:t>
      </w:r>
      <w:r w:rsidR="00C66CD6">
        <w:t>.</w:t>
      </w:r>
      <w:r w:rsidR="00ED7995">
        <w:t>10</w:t>
      </w:r>
      <w:r>
        <w:t xml:space="preserve"> to $3</w:t>
      </w:r>
      <w:r w:rsidR="00C66CD6">
        <w:t>77.</w:t>
      </w:r>
      <w:r w:rsidR="00276463">
        <w:t>30</w:t>
      </w:r>
    </w:p>
    <w:p w14:paraId="799D5287" w14:textId="6A654724" w:rsidR="00BB1C62" w:rsidRDefault="00BB1C62" w:rsidP="00557ACA">
      <w:pPr>
        <w:pStyle w:val="ListParagraph"/>
        <w:numPr>
          <w:ilvl w:val="0"/>
          <w:numId w:val="30"/>
        </w:numPr>
      </w:pPr>
      <w:r>
        <w:t xml:space="preserve">private security business registration (natural person): </w:t>
      </w:r>
      <w:r w:rsidR="004030FA">
        <w:t>$</w:t>
      </w:r>
      <w:r w:rsidR="00EE15A2">
        <w:t>805.</w:t>
      </w:r>
      <w:r w:rsidR="00276463">
        <w:t>90</w:t>
      </w:r>
      <w:r w:rsidR="00EE15A2">
        <w:t xml:space="preserve"> to $876.60</w:t>
      </w:r>
    </w:p>
    <w:p w14:paraId="140579F4" w14:textId="7747E4CB" w:rsidR="004030FA" w:rsidRDefault="004030FA" w:rsidP="00557ACA">
      <w:pPr>
        <w:pStyle w:val="ListParagraph"/>
        <w:numPr>
          <w:ilvl w:val="0"/>
          <w:numId w:val="30"/>
        </w:numPr>
      </w:pPr>
      <w:r>
        <w:t>private security business registration (body corporate): $</w:t>
      </w:r>
      <w:r w:rsidR="007D2C27">
        <w:t>1,350.1</w:t>
      </w:r>
      <w:r w:rsidR="00276463">
        <w:t>0</w:t>
      </w:r>
      <w:r w:rsidR="007D2C27">
        <w:t xml:space="preserve"> to $1,481.6</w:t>
      </w:r>
      <w:r w:rsidR="00276463">
        <w:t>0</w:t>
      </w:r>
      <w:r w:rsidR="00092A21">
        <w:t>.</w:t>
      </w:r>
    </w:p>
    <w:p w14:paraId="4E80AC78" w14:textId="09B0C941" w:rsidR="00A64DE9" w:rsidRDefault="00A64DE9" w:rsidP="008A16C9">
      <w:r>
        <w:t>The Regulations stipulate th</w:t>
      </w:r>
      <w:r w:rsidR="00E81447">
        <w:t xml:space="preserve">at </w:t>
      </w:r>
      <w:r w:rsidR="005161B8">
        <w:t xml:space="preserve">for </w:t>
      </w:r>
      <w:r w:rsidR="00E81447">
        <w:t>applicants who apply for a firearms licence at the same time as th</w:t>
      </w:r>
      <w:r w:rsidR="00EB3030">
        <w:t xml:space="preserve">ey </w:t>
      </w:r>
      <w:r w:rsidR="005161B8">
        <w:t>apply</w:t>
      </w:r>
      <w:r w:rsidR="00EB3030">
        <w:t xml:space="preserve"> for their private security licence, the application fee for the private security licence is reduced by 50 per cent. </w:t>
      </w:r>
    </w:p>
    <w:p w14:paraId="1C792641" w14:textId="3A77386D" w:rsidR="00D51A8F" w:rsidRDefault="00D51A8F" w:rsidP="008A16C9">
      <w:r>
        <w:t xml:space="preserve">The Regulations also prescribe fees for </w:t>
      </w:r>
      <w:r w:rsidR="00F574AE">
        <w:t>variation of licences and registrations</w:t>
      </w:r>
      <w:r w:rsidR="002C5154">
        <w:t xml:space="preserve"> to include additional activities on licences and registrations</w:t>
      </w:r>
      <w:r w:rsidR="00F574AE">
        <w:t>. These are set as follows</w:t>
      </w:r>
      <w:r w:rsidR="00945F63">
        <w:t xml:space="preserve"> in Table 1.6</w:t>
      </w:r>
      <w:r w:rsidR="00F574AE">
        <w:t>:</w:t>
      </w:r>
      <w:r w:rsidR="001E749E">
        <w:t xml:space="preserve"> </w:t>
      </w:r>
    </w:p>
    <w:p w14:paraId="0F58C016" w14:textId="77777777" w:rsidR="00945F63" w:rsidRDefault="00945F63" w:rsidP="002A09A7">
      <w:pPr>
        <w:pStyle w:val="Caption"/>
      </w:pPr>
      <w:r>
        <w:br w:type="page"/>
      </w:r>
    </w:p>
    <w:p w14:paraId="0A2CE1AC" w14:textId="714403E2" w:rsidR="00947E65" w:rsidRDefault="002A09A7" w:rsidP="002A09A7">
      <w:pPr>
        <w:pStyle w:val="Caption"/>
      </w:pPr>
      <w:r>
        <w:lastRenderedPageBreak/>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6</w:t>
      </w:r>
      <w:r w:rsidR="00414520">
        <w:fldChar w:fldCharType="end"/>
      </w:r>
      <w:r w:rsidRPr="003A2215">
        <w:t>:</w:t>
      </w:r>
      <w:r w:rsidR="00D622A7">
        <w:t xml:space="preserve"> </w:t>
      </w:r>
      <w:r w:rsidR="00B45E12">
        <w:t>Prescribed f</w:t>
      </w:r>
      <w:r w:rsidR="00D622A7">
        <w:t>ee</w:t>
      </w:r>
      <w:r w:rsidR="00B45E12">
        <w:t xml:space="preserve"> units</w:t>
      </w:r>
      <w:r w:rsidR="00D622A7">
        <w:t xml:space="preserve"> for variation of licences </w:t>
      </w:r>
      <w:r w:rsidR="008058E0">
        <w:t>to authorise additional activities</w:t>
      </w:r>
      <w:r w:rsidR="002E7BF4">
        <w:t>.</w:t>
      </w:r>
    </w:p>
    <w:tbl>
      <w:tblPr>
        <w:tblStyle w:val="Deloittetable"/>
        <w:tblW w:w="5000" w:type="pct"/>
        <w:tblLook w:val="04A0" w:firstRow="1" w:lastRow="0" w:firstColumn="1" w:lastColumn="0" w:noHBand="0" w:noVBand="1"/>
      </w:tblPr>
      <w:tblGrid>
        <w:gridCol w:w="3518"/>
        <w:gridCol w:w="3317"/>
        <w:gridCol w:w="2803"/>
      </w:tblGrid>
      <w:tr w:rsidR="005C0E61" w:rsidRPr="000A2059" w14:paraId="63156D0B" w14:textId="77777777" w:rsidTr="00FE7B0D">
        <w:trPr>
          <w:cnfStyle w:val="100000000000" w:firstRow="1" w:lastRow="0" w:firstColumn="0" w:lastColumn="0" w:oddVBand="0" w:evenVBand="0" w:oddHBand="0" w:evenHBand="0" w:firstRowFirstColumn="0" w:firstRowLastColumn="0" w:lastRowFirstColumn="0" w:lastRowLastColumn="0"/>
          <w:tblHeader/>
        </w:trPr>
        <w:tc>
          <w:tcPr>
            <w:tcW w:w="1825" w:type="pct"/>
          </w:tcPr>
          <w:p w14:paraId="201D5964" w14:textId="77777777" w:rsidR="005C0E61" w:rsidRPr="002F3D61" w:rsidRDefault="005C0E61" w:rsidP="00947E65">
            <w:pPr>
              <w:pStyle w:val="TabletextLeft"/>
              <w:ind w:left="0"/>
              <w:rPr>
                <w:b/>
                <w:bCs/>
              </w:rPr>
            </w:pPr>
            <w:r w:rsidRPr="002F3D61">
              <w:rPr>
                <w:b/>
                <w:bCs/>
              </w:rPr>
              <w:t>Category</w:t>
            </w:r>
          </w:p>
        </w:tc>
        <w:tc>
          <w:tcPr>
            <w:tcW w:w="1721" w:type="pct"/>
          </w:tcPr>
          <w:p w14:paraId="35FE729E" w14:textId="0832CB1A" w:rsidR="005C0E61" w:rsidRPr="000A2059" w:rsidRDefault="005C0E61" w:rsidP="005C0E61">
            <w:pPr>
              <w:pStyle w:val="TabletextLeft"/>
              <w:rPr>
                <w:b/>
                <w:bCs/>
              </w:rPr>
            </w:pPr>
            <w:r w:rsidRPr="000A2059">
              <w:rPr>
                <w:b/>
                <w:bCs/>
              </w:rPr>
              <w:t>Prescribed application fee for consideration of application by the Chief Commissioner</w:t>
            </w:r>
            <w:r w:rsidR="0036598D">
              <w:rPr>
                <w:b/>
                <w:bCs/>
              </w:rPr>
              <w:t xml:space="preserve"> </w:t>
            </w:r>
          </w:p>
          <w:p w14:paraId="20FB25D9" w14:textId="3B292F0A" w:rsidR="005C0E61" w:rsidRPr="000A2059" w:rsidRDefault="005C0E61" w:rsidP="00947E65">
            <w:pPr>
              <w:pStyle w:val="TabletextLeft"/>
              <w:jc w:val="center"/>
              <w:rPr>
                <w:b/>
                <w:bCs/>
              </w:rPr>
            </w:pPr>
          </w:p>
        </w:tc>
        <w:tc>
          <w:tcPr>
            <w:tcW w:w="1454" w:type="pct"/>
          </w:tcPr>
          <w:p w14:paraId="609CCCEE" w14:textId="77777777" w:rsidR="005C0E61" w:rsidRPr="000A2059" w:rsidRDefault="005C0E61" w:rsidP="005C0E61">
            <w:pPr>
              <w:pStyle w:val="TabletextLeft"/>
              <w:rPr>
                <w:b/>
                <w:bCs/>
              </w:rPr>
            </w:pPr>
            <w:r w:rsidRPr="000A2059">
              <w:rPr>
                <w:b/>
                <w:bCs/>
              </w:rPr>
              <w:t>Prescribed variation fee for the variation of the registration</w:t>
            </w:r>
          </w:p>
          <w:p w14:paraId="5DE7CB79" w14:textId="43D5153E" w:rsidR="005C0E61" w:rsidRPr="000A2059" w:rsidRDefault="005C0E61" w:rsidP="00947E65">
            <w:pPr>
              <w:pStyle w:val="TabletextLeft"/>
              <w:jc w:val="center"/>
              <w:rPr>
                <w:b/>
                <w:bCs/>
              </w:rPr>
            </w:pPr>
          </w:p>
        </w:tc>
      </w:tr>
      <w:tr w:rsidR="005C0E61" w:rsidRPr="00294696" w14:paraId="0D9C76D3" w14:textId="77777777" w:rsidTr="00313AEA">
        <w:tc>
          <w:tcPr>
            <w:tcW w:w="1825" w:type="pct"/>
          </w:tcPr>
          <w:p w14:paraId="48051E9B" w14:textId="29F234EA" w:rsidR="005C0E61" w:rsidRPr="005C0E61" w:rsidRDefault="000C7852" w:rsidP="00947E65">
            <w:pPr>
              <w:pStyle w:val="TabletextLeft"/>
            </w:pPr>
            <w:r>
              <w:t>Business</w:t>
            </w:r>
            <w:r w:rsidR="005C0E61" w:rsidRPr="005C0E61">
              <w:t xml:space="preserve"> licence held by a natural person</w:t>
            </w:r>
          </w:p>
        </w:tc>
        <w:tc>
          <w:tcPr>
            <w:tcW w:w="1721" w:type="pct"/>
            <w:shd w:val="clear" w:color="auto" w:fill="auto"/>
          </w:tcPr>
          <w:p w14:paraId="0773F176" w14:textId="6407E34D" w:rsidR="005C0E61" w:rsidRPr="005014A8" w:rsidRDefault="000C7852" w:rsidP="00947E65">
            <w:pPr>
              <w:pStyle w:val="TabletextLeft"/>
              <w:jc w:val="center"/>
              <w:rPr>
                <w:rFonts w:eastAsia="Wingdings" w:cs="Calibri Light"/>
                <w:szCs w:val="17"/>
              </w:rPr>
            </w:pPr>
            <w:r>
              <w:rPr>
                <w:rFonts w:eastAsia="Wingdings" w:cs="Calibri Light"/>
                <w:szCs w:val="17"/>
              </w:rPr>
              <w:t>4.84</w:t>
            </w:r>
          </w:p>
        </w:tc>
        <w:tc>
          <w:tcPr>
            <w:tcW w:w="1454" w:type="pct"/>
            <w:shd w:val="clear" w:color="auto" w:fill="auto"/>
          </w:tcPr>
          <w:p w14:paraId="0602E47B" w14:textId="168546A1" w:rsidR="005C0E61" w:rsidRPr="00E24483" w:rsidRDefault="000C7852" w:rsidP="00947E65">
            <w:pPr>
              <w:pStyle w:val="TabletextLeft"/>
              <w:jc w:val="center"/>
              <w:rPr>
                <w:rFonts w:cs="Calibri Light"/>
              </w:rPr>
            </w:pPr>
            <w:r>
              <w:rPr>
                <w:rFonts w:cs="Calibri Light"/>
              </w:rPr>
              <w:t>13.86</w:t>
            </w:r>
          </w:p>
        </w:tc>
      </w:tr>
      <w:tr w:rsidR="005C0E61" w:rsidRPr="00294696" w14:paraId="4651DC55" w14:textId="77777777" w:rsidTr="00313AEA">
        <w:tc>
          <w:tcPr>
            <w:tcW w:w="1825" w:type="pct"/>
          </w:tcPr>
          <w:p w14:paraId="40CF6215" w14:textId="7A88D760" w:rsidR="005C0E61" w:rsidRPr="005C0E61" w:rsidRDefault="000C7852" w:rsidP="00947E65">
            <w:pPr>
              <w:pStyle w:val="TabletextLeft"/>
            </w:pPr>
            <w:r>
              <w:t>Business</w:t>
            </w:r>
            <w:r w:rsidR="005C0E61" w:rsidRPr="005C0E61">
              <w:t xml:space="preserve"> licence held by a body corporate</w:t>
            </w:r>
          </w:p>
        </w:tc>
        <w:tc>
          <w:tcPr>
            <w:tcW w:w="1721" w:type="pct"/>
            <w:shd w:val="clear" w:color="auto" w:fill="auto"/>
          </w:tcPr>
          <w:p w14:paraId="6EF2A1B5" w14:textId="21285FC0" w:rsidR="005C0E61" w:rsidRPr="005014A8" w:rsidRDefault="000C7852" w:rsidP="00947E65">
            <w:pPr>
              <w:pStyle w:val="TabletextLeft"/>
              <w:jc w:val="center"/>
              <w:rPr>
                <w:rFonts w:eastAsia="Wingdings" w:cs="Calibri Light"/>
                <w:szCs w:val="17"/>
              </w:rPr>
            </w:pPr>
            <w:r>
              <w:rPr>
                <w:rFonts w:eastAsia="Wingdings" w:cs="Calibri Light"/>
                <w:szCs w:val="17"/>
              </w:rPr>
              <w:t>8.06</w:t>
            </w:r>
          </w:p>
        </w:tc>
        <w:tc>
          <w:tcPr>
            <w:tcW w:w="1454" w:type="pct"/>
            <w:shd w:val="clear" w:color="auto" w:fill="auto"/>
          </w:tcPr>
          <w:p w14:paraId="6D32A26C" w14:textId="6BA4F04C" w:rsidR="005C0E61" w:rsidRPr="00160BFA" w:rsidRDefault="000C7852" w:rsidP="00947E65">
            <w:pPr>
              <w:pStyle w:val="TabletextLeft"/>
              <w:jc w:val="center"/>
              <w:rPr>
                <w:rFonts w:cs="Calibri Light"/>
              </w:rPr>
            </w:pPr>
            <w:r>
              <w:rPr>
                <w:rFonts w:cs="Calibri Light"/>
              </w:rPr>
              <w:t>23.09</w:t>
            </w:r>
          </w:p>
        </w:tc>
      </w:tr>
      <w:tr w:rsidR="005C0E61" w:rsidRPr="00294696" w14:paraId="7BF77928" w14:textId="77777777" w:rsidTr="00313AEA">
        <w:tc>
          <w:tcPr>
            <w:tcW w:w="1825" w:type="pct"/>
          </w:tcPr>
          <w:p w14:paraId="790D79E6" w14:textId="7CEB9296" w:rsidR="005C0E61" w:rsidRPr="005C0E61" w:rsidRDefault="005C0E61" w:rsidP="005C0E61">
            <w:pPr>
              <w:pStyle w:val="TabletextLeft"/>
            </w:pPr>
            <w:r w:rsidRPr="005C0E61">
              <w:t xml:space="preserve">Private security individual operator licence </w:t>
            </w:r>
          </w:p>
        </w:tc>
        <w:tc>
          <w:tcPr>
            <w:tcW w:w="1721" w:type="pct"/>
            <w:shd w:val="clear" w:color="auto" w:fill="auto"/>
          </w:tcPr>
          <w:p w14:paraId="150A6BF0" w14:textId="76ACAE39" w:rsidR="005C0E61" w:rsidRDefault="000C7852" w:rsidP="005C0E61">
            <w:pPr>
              <w:pStyle w:val="TabletextLeft"/>
              <w:jc w:val="center"/>
              <w:rPr>
                <w:rFonts w:eastAsia="Wingdings" w:cs="Calibri Light"/>
                <w:szCs w:val="17"/>
              </w:rPr>
            </w:pPr>
            <w:r>
              <w:rPr>
                <w:rFonts w:eastAsia="Wingdings" w:cs="Calibri Light"/>
                <w:szCs w:val="17"/>
              </w:rPr>
              <w:t>2.2</w:t>
            </w:r>
          </w:p>
        </w:tc>
        <w:tc>
          <w:tcPr>
            <w:tcW w:w="1454" w:type="pct"/>
            <w:shd w:val="clear" w:color="auto" w:fill="auto"/>
          </w:tcPr>
          <w:p w14:paraId="4BDB8192" w14:textId="6D7E11F1" w:rsidR="005C0E61" w:rsidRDefault="000C7852" w:rsidP="005C0E61">
            <w:pPr>
              <w:pStyle w:val="TabletextLeft"/>
              <w:jc w:val="center"/>
              <w:rPr>
                <w:rFonts w:cs="Calibri Light"/>
              </w:rPr>
            </w:pPr>
            <w:r>
              <w:rPr>
                <w:rFonts w:cs="Calibri Light"/>
              </w:rPr>
              <w:t>6.23</w:t>
            </w:r>
          </w:p>
        </w:tc>
      </w:tr>
      <w:tr w:rsidR="00313AEA" w:rsidRPr="00294696" w14:paraId="64A8B223" w14:textId="77777777" w:rsidTr="00313AEA">
        <w:tc>
          <w:tcPr>
            <w:tcW w:w="1825" w:type="pct"/>
          </w:tcPr>
          <w:p w14:paraId="6883EE63" w14:textId="64FD5476" w:rsidR="00313AEA" w:rsidRPr="005C0E61" w:rsidRDefault="00313AEA" w:rsidP="00313AEA">
            <w:pPr>
              <w:pStyle w:val="TabletextLeft"/>
            </w:pPr>
            <w:r>
              <w:t>Business</w:t>
            </w:r>
            <w:r w:rsidRPr="005C0E61">
              <w:t xml:space="preserve"> </w:t>
            </w:r>
            <w:r>
              <w:t>registration</w:t>
            </w:r>
            <w:r w:rsidRPr="005C0E61">
              <w:t xml:space="preserve"> held by a natural person</w:t>
            </w:r>
          </w:p>
        </w:tc>
        <w:tc>
          <w:tcPr>
            <w:tcW w:w="1721" w:type="pct"/>
            <w:shd w:val="clear" w:color="auto" w:fill="auto"/>
          </w:tcPr>
          <w:p w14:paraId="285D3744" w14:textId="69C55C64" w:rsidR="00313AEA" w:rsidRDefault="00313AEA" w:rsidP="00313AEA">
            <w:pPr>
              <w:pStyle w:val="TabletextLeft"/>
              <w:jc w:val="center"/>
              <w:rPr>
                <w:rFonts w:eastAsia="Wingdings" w:cs="Calibri Light"/>
                <w:szCs w:val="17"/>
              </w:rPr>
            </w:pPr>
            <w:r>
              <w:rPr>
                <w:rFonts w:eastAsia="Wingdings" w:cs="Calibri Light"/>
                <w:szCs w:val="17"/>
              </w:rPr>
              <w:t>3.62</w:t>
            </w:r>
          </w:p>
        </w:tc>
        <w:tc>
          <w:tcPr>
            <w:tcW w:w="1454" w:type="pct"/>
            <w:shd w:val="clear" w:color="auto" w:fill="auto"/>
          </w:tcPr>
          <w:p w14:paraId="1B1DE361" w14:textId="052A4CF2" w:rsidR="00313AEA" w:rsidRDefault="00184C90" w:rsidP="00313AEA">
            <w:pPr>
              <w:pStyle w:val="TabletextLeft"/>
              <w:jc w:val="center"/>
              <w:rPr>
                <w:rFonts w:cs="Calibri Light"/>
              </w:rPr>
            </w:pPr>
            <w:r>
              <w:rPr>
                <w:rFonts w:cs="Calibri Light"/>
              </w:rPr>
              <w:t>10.39</w:t>
            </w:r>
          </w:p>
        </w:tc>
      </w:tr>
      <w:tr w:rsidR="00313AEA" w:rsidRPr="00294696" w14:paraId="1D8BFD5B" w14:textId="77777777" w:rsidTr="00313AEA">
        <w:tc>
          <w:tcPr>
            <w:tcW w:w="1825" w:type="pct"/>
          </w:tcPr>
          <w:p w14:paraId="36C6E7DE" w14:textId="62794C5E" w:rsidR="00313AEA" w:rsidRPr="005C0E61" w:rsidRDefault="00313AEA" w:rsidP="00313AEA">
            <w:pPr>
              <w:pStyle w:val="TabletextLeft"/>
            </w:pPr>
            <w:r>
              <w:t>Business</w:t>
            </w:r>
            <w:r w:rsidRPr="005C0E61">
              <w:t xml:space="preserve"> </w:t>
            </w:r>
            <w:r>
              <w:t>registration</w:t>
            </w:r>
            <w:r w:rsidRPr="005C0E61">
              <w:t xml:space="preserve"> held by a body corporate</w:t>
            </w:r>
          </w:p>
        </w:tc>
        <w:tc>
          <w:tcPr>
            <w:tcW w:w="1721" w:type="pct"/>
            <w:shd w:val="clear" w:color="auto" w:fill="auto"/>
          </w:tcPr>
          <w:p w14:paraId="07BA12DB" w14:textId="5CB46EF1" w:rsidR="00313AEA" w:rsidRDefault="00184C90" w:rsidP="00313AEA">
            <w:pPr>
              <w:pStyle w:val="TabletextLeft"/>
              <w:jc w:val="center"/>
              <w:rPr>
                <w:rFonts w:eastAsia="Wingdings" w:cs="Calibri Light"/>
                <w:szCs w:val="17"/>
              </w:rPr>
            </w:pPr>
            <w:r>
              <w:rPr>
                <w:rFonts w:eastAsia="Wingdings" w:cs="Calibri Light"/>
                <w:szCs w:val="17"/>
              </w:rPr>
              <w:t>6.06</w:t>
            </w:r>
          </w:p>
        </w:tc>
        <w:tc>
          <w:tcPr>
            <w:tcW w:w="1454" w:type="pct"/>
            <w:shd w:val="clear" w:color="auto" w:fill="auto"/>
          </w:tcPr>
          <w:p w14:paraId="087221EC" w14:textId="41D9088A" w:rsidR="00313AEA" w:rsidRDefault="00184C90" w:rsidP="00313AEA">
            <w:pPr>
              <w:pStyle w:val="TabletextLeft"/>
              <w:jc w:val="center"/>
              <w:rPr>
                <w:rFonts w:cs="Calibri Light"/>
              </w:rPr>
            </w:pPr>
            <w:r>
              <w:rPr>
                <w:rFonts w:cs="Calibri Light"/>
              </w:rPr>
              <w:t>17.32</w:t>
            </w:r>
          </w:p>
        </w:tc>
      </w:tr>
      <w:tr w:rsidR="00313AEA" w:rsidRPr="00294696" w14:paraId="37C658C3" w14:textId="77777777" w:rsidTr="00313AEA">
        <w:tc>
          <w:tcPr>
            <w:tcW w:w="1825" w:type="pct"/>
          </w:tcPr>
          <w:p w14:paraId="1E833C64" w14:textId="4B2EAE6A" w:rsidR="00313AEA" w:rsidRPr="005C0E61" w:rsidRDefault="00313AEA" w:rsidP="00313AEA">
            <w:pPr>
              <w:pStyle w:val="TabletextLeft"/>
            </w:pPr>
            <w:r w:rsidRPr="005C0E61">
              <w:t>Private security individual operator</w:t>
            </w:r>
            <w:r>
              <w:t xml:space="preserve"> registration</w:t>
            </w:r>
            <w:r w:rsidR="0036598D">
              <w:t xml:space="preserve"> </w:t>
            </w:r>
          </w:p>
        </w:tc>
        <w:tc>
          <w:tcPr>
            <w:tcW w:w="1721" w:type="pct"/>
            <w:shd w:val="clear" w:color="auto" w:fill="auto"/>
          </w:tcPr>
          <w:p w14:paraId="2BB081E0" w14:textId="6E9C41C7" w:rsidR="00313AEA" w:rsidRDefault="00184C90" w:rsidP="00313AEA">
            <w:pPr>
              <w:pStyle w:val="TabletextLeft"/>
              <w:jc w:val="center"/>
              <w:rPr>
                <w:rFonts w:eastAsia="Wingdings" w:cs="Calibri Light"/>
                <w:szCs w:val="17"/>
              </w:rPr>
            </w:pPr>
            <w:r>
              <w:rPr>
                <w:rFonts w:eastAsia="Wingdings" w:cs="Calibri Light"/>
                <w:szCs w:val="17"/>
              </w:rPr>
              <w:t>1.66</w:t>
            </w:r>
          </w:p>
        </w:tc>
        <w:tc>
          <w:tcPr>
            <w:tcW w:w="1454" w:type="pct"/>
            <w:shd w:val="clear" w:color="auto" w:fill="auto"/>
          </w:tcPr>
          <w:p w14:paraId="2D733509" w14:textId="491AE26A" w:rsidR="00313AEA" w:rsidRDefault="00184C90" w:rsidP="00313AEA">
            <w:pPr>
              <w:pStyle w:val="TabletextLeft"/>
              <w:jc w:val="center"/>
              <w:rPr>
                <w:rFonts w:cs="Calibri Light"/>
              </w:rPr>
            </w:pPr>
            <w:r>
              <w:rPr>
                <w:rFonts w:cs="Calibri Light"/>
              </w:rPr>
              <w:t>4.67</w:t>
            </w:r>
          </w:p>
        </w:tc>
      </w:tr>
    </w:tbl>
    <w:p w14:paraId="4A865F0A" w14:textId="0B923790" w:rsidR="00B84065" w:rsidRDefault="00B84065" w:rsidP="00B419B0">
      <w:pPr>
        <w:spacing w:before="240"/>
      </w:pPr>
      <w:r>
        <w:t>The Regulations also prescribe</w:t>
      </w:r>
      <w:r w:rsidR="00CD43CE">
        <w:t xml:space="preserve"> a fee of 2.25 </w:t>
      </w:r>
      <w:r w:rsidR="008E7F18">
        <w:t>fee units for</w:t>
      </w:r>
      <w:r>
        <w:t xml:space="preserve"> </w:t>
      </w:r>
      <w:r w:rsidR="002C5154">
        <w:t xml:space="preserve">varying or revoking </w:t>
      </w:r>
      <w:r w:rsidR="0007449B">
        <w:t>a licence and registration condition</w:t>
      </w:r>
      <w:r w:rsidR="008E7F18">
        <w:t xml:space="preserve">. </w:t>
      </w:r>
      <w:r w:rsidR="00645E63">
        <w:t xml:space="preserve">Additionally, the Regulations also prescribes </w:t>
      </w:r>
      <w:r w:rsidR="00885881">
        <w:t>fe</w:t>
      </w:r>
      <w:r w:rsidR="000C4F55">
        <w:t xml:space="preserve">es </w:t>
      </w:r>
      <w:r w:rsidR="005C44A6">
        <w:t>fo</w:t>
      </w:r>
      <w:r w:rsidR="00815773">
        <w:t xml:space="preserve">r </w:t>
      </w:r>
      <w:r w:rsidR="007C76E7">
        <w:t xml:space="preserve">interstate and </w:t>
      </w:r>
      <w:r w:rsidR="00815773">
        <w:t xml:space="preserve">international bodyguards </w:t>
      </w:r>
      <w:r w:rsidR="005B4DC7">
        <w:t>working in Victoria temporarily</w:t>
      </w:r>
      <w:r w:rsidR="00FB49E2">
        <w:t xml:space="preserve"> as well as to issue a duplicate licence document.</w:t>
      </w:r>
    </w:p>
    <w:p w14:paraId="4FED2C15" w14:textId="0E24CA39" w:rsidR="00B47337" w:rsidRDefault="00B47337" w:rsidP="00B47337">
      <w:pPr>
        <w:pStyle w:val="Heading3"/>
      </w:pPr>
      <w:r>
        <w:t xml:space="preserve">Role of Victoria Police </w:t>
      </w:r>
    </w:p>
    <w:p w14:paraId="7BB45416" w14:textId="58E5FE8F" w:rsidR="0067240F" w:rsidRDefault="005D145E" w:rsidP="005D145E">
      <w:r>
        <w:t xml:space="preserve">Victoria Police is </w:t>
      </w:r>
      <w:r w:rsidR="00911605">
        <w:t>the Regulator of the private security industry</w:t>
      </w:r>
      <w:r>
        <w:t xml:space="preserve"> </w:t>
      </w:r>
      <w:r w:rsidR="00911605">
        <w:t xml:space="preserve">under </w:t>
      </w:r>
      <w:r w:rsidRPr="00A833CD">
        <w:t xml:space="preserve">the </w:t>
      </w:r>
      <w:r w:rsidR="00A833CD" w:rsidRPr="00A833CD">
        <w:t>Act</w:t>
      </w:r>
      <w:r>
        <w:t xml:space="preserve"> and the Regulations. Victoria Police’s Licens</w:t>
      </w:r>
      <w:r w:rsidR="000F52DD">
        <w:t>ing</w:t>
      </w:r>
      <w:r>
        <w:t xml:space="preserve"> and Reg</w:t>
      </w:r>
      <w:r w:rsidR="00393126">
        <w:t>ulation</w:t>
      </w:r>
      <w:r>
        <w:t xml:space="preserve"> Division (LRD) issues licenses and registrations for</w:t>
      </w:r>
      <w:r w:rsidR="00C84E1E">
        <w:t xml:space="preserve"> the private security industry</w:t>
      </w:r>
      <w:r w:rsidR="0048663B">
        <w:t xml:space="preserve">. </w:t>
      </w:r>
      <w:r w:rsidR="0067240F">
        <w:t>The LRD also has t</w:t>
      </w:r>
      <w:r w:rsidR="007F4552">
        <w:t>h</w:t>
      </w:r>
      <w:r w:rsidR="0067240F">
        <w:t>e authority to re</w:t>
      </w:r>
      <w:r w:rsidR="009C483F">
        <w:t>new, suspend, cancel</w:t>
      </w:r>
      <w:r w:rsidR="002B67DB">
        <w:t>,</w:t>
      </w:r>
      <w:r w:rsidR="009C483F">
        <w:t xml:space="preserve"> or vary licences and registrations. </w:t>
      </w:r>
      <w:r w:rsidR="00130C45">
        <w:t xml:space="preserve">Victoria Police also has inspection and enforcement </w:t>
      </w:r>
      <w:r w:rsidR="00911605">
        <w:t xml:space="preserve">powers in relation to </w:t>
      </w:r>
      <w:r w:rsidR="00130C45">
        <w:t>the private security industry under the Act.</w:t>
      </w:r>
      <w:r w:rsidR="00C561DC">
        <w:t xml:space="preserve"> Victoria Police also administers the fees for private security licence and registration applications.</w:t>
      </w:r>
    </w:p>
    <w:p w14:paraId="375B530B" w14:textId="7BEACA8F" w:rsidR="005D145E" w:rsidRDefault="0048663B" w:rsidP="005D145E">
      <w:r>
        <w:t xml:space="preserve">The Act authorises the </w:t>
      </w:r>
      <w:r w:rsidR="009266AE">
        <w:t xml:space="preserve">Chief Commissioner of Victoria Police to set training requirements for private security licensees. </w:t>
      </w:r>
      <w:r w:rsidR="005066C5">
        <w:t xml:space="preserve">Victoria Police lists the </w:t>
      </w:r>
      <w:r w:rsidR="00A74CB1">
        <w:t xml:space="preserve">training requirements for each licence activity type </w:t>
      </w:r>
      <w:r w:rsidR="00633FCA">
        <w:t xml:space="preserve">and the approved Registered Training Organisations on </w:t>
      </w:r>
      <w:r w:rsidR="005239B1">
        <w:t>its</w:t>
      </w:r>
      <w:r w:rsidR="00633FCA">
        <w:t xml:space="preserve"> website.</w:t>
      </w:r>
      <w:r w:rsidR="00633FCA">
        <w:rPr>
          <w:rStyle w:val="FootnoteReference"/>
        </w:rPr>
        <w:footnoteReference w:id="5"/>
      </w:r>
      <w:r w:rsidR="00633FCA">
        <w:t xml:space="preserve"> </w:t>
      </w:r>
    </w:p>
    <w:p w14:paraId="673266EC" w14:textId="5BB9AE83" w:rsidR="00E567DC" w:rsidRDefault="000122F5" w:rsidP="000122F5">
      <w:pPr>
        <w:pStyle w:val="Heading4"/>
      </w:pPr>
      <w:r>
        <w:t xml:space="preserve">High-level application process for licences and registration </w:t>
      </w:r>
    </w:p>
    <w:p w14:paraId="352F11D7" w14:textId="6B848A5B" w:rsidR="000122F5" w:rsidRDefault="00B47BA2" w:rsidP="000122F5">
      <w:r>
        <w:t xml:space="preserve">Based on the requirements outlined in the Regulations as well as guidance materials available on Victoria Police’s website, </w:t>
      </w:r>
      <w:r w:rsidR="00364B8B">
        <w:t xml:space="preserve">applicants </w:t>
      </w:r>
      <w:r w:rsidR="00625F9D">
        <w:t>for a new</w:t>
      </w:r>
      <w:r w:rsidR="00966846">
        <w:t xml:space="preserve"> private security</w:t>
      </w:r>
      <w:r w:rsidR="00625F9D">
        <w:t xml:space="preserve"> licence or registration </w:t>
      </w:r>
      <w:r w:rsidR="00AD1AD7">
        <w:t>must</w:t>
      </w:r>
      <w:r w:rsidR="00FF2765">
        <w:t>:</w:t>
      </w:r>
      <w:r w:rsidR="008324FA" w:rsidRPr="008324FA">
        <w:rPr>
          <w:rStyle w:val="FootnoteReference"/>
        </w:rPr>
        <w:t xml:space="preserve"> </w:t>
      </w:r>
      <w:r w:rsidR="00881E2E">
        <w:rPr>
          <w:rStyle w:val="FootnoteReference"/>
        </w:rPr>
        <w:footnoteReference w:id="6"/>
      </w:r>
    </w:p>
    <w:p w14:paraId="60032436" w14:textId="3509DA1F" w:rsidR="00FF2765" w:rsidRDefault="00A1275D" w:rsidP="00202AB3">
      <w:pPr>
        <w:pStyle w:val="ListParagraph"/>
        <w:numPr>
          <w:ilvl w:val="0"/>
          <w:numId w:val="37"/>
        </w:numPr>
      </w:pPr>
      <w:r>
        <w:t>f</w:t>
      </w:r>
      <w:r w:rsidR="00FF2765">
        <w:t xml:space="preserve">ill in the application form through Victoria Police’s eServices Portal </w:t>
      </w:r>
    </w:p>
    <w:p w14:paraId="4EC0F678" w14:textId="15D233B6" w:rsidR="00FF2765" w:rsidRDefault="00A1275D" w:rsidP="00202AB3">
      <w:pPr>
        <w:pStyle w:val="ListParagraph"/>
        <w:numPr>
          <w:ilvl w:val="0"/>
          <w:numId w:val="37"/>
        </w:numPr>
      </w:pPr>
      <w:r>
        <w:t>p</w:t>
      </w:r>
      <w:r w:rsidR="00D12C8E">
        <w:t>rint out the submitted application form and send the form along with the required</w:t>
      </w:r>
      <w:r>
        <w:t xml:space="preserve"> supporting</w:t>
      </w:r>
      <w:r w:rsidR="00D12C8E">
        <w:t xml:space="preserve"> documentation via post to the LRD for processing </w:t>
      </w:r>
    </w:p>
    <w:p w14:paraId="11204265" w14:textId="4CA27D23" w:rsidR="00BA4042" w:rsidRDefault="00625F9D" w:rsidP="00202AB3">
      <w:pPr>
        <w:pStyle w:val="ListParagraph"/>
        <w:numPr>
          <w:ilvl w:val="0"/>
          <w:numId w:val="37"/>
        </w:numPr>
      </w:pPr>
      <w:r>
        <w:t xml:space="preserve">have their </w:t>
      </w:r>
      <w:r w:rsidR="00F50F32">
        <w:t>photograph</w:t>
      </w:r>
      <w:r>
        <w:t xml:space="preserve"> taken at </w:t>
      </w:r>
      <w:r w:rsidR="00F50F32">
        <w:t xml:space="preserve">an approved </w:t>
      </w:r>
      <w:r w:rsidR="001A74EF">
        <w:t>VicRoads</w:t>
      </w:r>
      <w:r w:rsidR="00F50F32">
        <w:t xml:space="preserve"> </w:t>
      </w:r>
      <w:r w:rsidR="00956F25">
        <w:t>photo point and have fingerprints taken if applying for a licence</w:t>
      </w:r>
      <w:r w:rsidR="00BA4042">
        <w:t>.</w:t>
      </w:r>
    </w:p>
    <w:p w14:paraId="304E381B" w14:textId="2A87F5EF" w:rsidR="00D12C8E" w:rsidRPr="000122F5" w:rsidRDefault="00BA4042" w:rsidP="00BA4042">
      <w:r>
        <w:t>U</w:t>
      </w:r>
      <w:r w:rsidR="00881E2E">
        <w:t xml:space="preserve">pon successful processing of application, applicants </w:t>
      </w:r>
      <w:r w:rsidR="00AD152B">
        <w:t>are</w:t>
      </w:r>
      <w:r w:rsidR="00881E2E">
        <w:t xml:space="preserve"> sent their plastic licence via post.</w:t>
      </w:r>
      <w:r w:rsidR="0036598D">
        <w:t xml:space="preserve"> </w:t>
      </w:r>
    </w:p>
    <w:p w14:paraId="30CA1517" w14:textId="2BB1E1EC" w:rsidR="005F1544" w:rsidRDefault="00D15DDE" w:rsidP="005F1544">
      <w:pPr>
        <w:pStyle w:val="Heading2"/>
      </w:pPr>
      <w:bookmarkStart w:id="48" w:name="_Toc189832245"/>
      <w:r>
        <w:t>Recent review into the private security industry</w:t>
      </w:r>
      <w:bookmarkEnd w:id="48"/>
      <w:r>
        <w:t xml:space="preserve"> </w:t>
      </w:r>
    </w:p>
    <w:p w14:paraId="065D8EBB" w14:textId="6C9081B3" w:rsidR="00042E1A" w:rsidRDefault="002F744F" w:rsidP="00A635DA">
      <w:r>
        <w:t xml:space="preserve">The private security industry in Victoria has </w:t>
      </w:r>
      <w:r w:rsidR="00170294">
        <w:t xml:space="preserve">been subject to </w:t>
      </w:r>
      <w:r w:rsidR="0088181F">
        <w:t>a significant</w:t>
      </w:r>
      <w:r w:rsidR="00170294">
        <w:t xml:space="preserve"> review over the past</w:t>
      </w:r>
      <w:r w:rsidR="006C6B30">
        <w:t xml:space="preserve"> five years</w:t>
      </w:r>
      <w:r w:rsidR="00170294">
        <w:t xml:space="preserve">. </w:t>
      </w:r>
      <w:r w:rsidR="00672CE8">
        <w:t>Th</w:t>
      </w:r>
      <w:r w:rsidR="00911605">
        <w:t>is</w:t>
      </w:r>
      <w:r w:rsidR="00672CE8">
        <w:t xml:space="preserve"> </w:t>
      </w:r>
      <w:r w:rsidR="00911605">
        <w:t xml:space="preserve">is </w:t>
      </w:r>
      <w:r w:rsidR="00672CE8">
        <w:t xml:space="preserve">briefly described in this section. </w:t>
      </w:r>
    </w:p>
    <w:p w14:paraId="1F5BF31B" w14:textId="77777777" w:rsidR="004C4739" w:rsidRDefault="00355ED8" w:rsidP="004C4739">
      <w:pPr>
        <w:pStyle w:val="Heading3"/>
      </w:pPr>
      <w:r>
        <w:t>Review of the Private Security Industry 2021</w:t>
      </w:r>
    </w:p>
    <w:p w14:paraId="14188AA8" w14:textId="446058A2" w:rsidR="00D15F4A" w:rsidRDefault="00D51871" w:rsidP="00F2133A">
      <w:r>
        <w:t>A detailed review of the private security industry was undertaken in 2020-21</w:t>
      </w:r>
      <w:r w:rsidR="00216F69">
        <w:t xml:space="preserve"> with a view of raising professional standards in the industry</w:t>
      </w:r>
      <w:r w:rsidR="00E6696F">
        <w:t>, improving safety for workers and the community,</w:t>
      </w:r>
      <w:r w:rsidR="00216F69">
        <w:t xml:space="preserve"> and improving access to fair pay and conditions for workers.</w:t>
      </w:r>
      <w:r w:rsidR="00216F69">
        <w:rPr>
          <w:rStyle w:val="FootnoteReference"/>
        </w:rPr>
        <w:footnoteReference w:id="7"/>
      </w:r>
      <w:r w:rsidR="00216F69">
        <w:t xml:space="preserve"> </w:t>
      </w:r>
      <w:r w:rsidR="00F24003">
        <w:t>The review assess</w:t>
      </w:r>
      <w:r w:rsidR="00367BF1">
        <w:t>ed</w:t>
      </w:r>
      <w:r w:rsidR="00F24003">
        <w:t xml:space="preserve"> the licensing system and the regulatory framework to identify necessary changes for enhancing </w:t>
      </w:r>
      <w:r w:rsidR="00411948">
        <w:t>safety and security. It specifically evaluated whether the existing two-</w:t>
      </w:r>
      <w:r w:rsidR="002F302F">
        <w:t>tier</w:t>
      </w:r>
      <w:r w:rsidR="00411948">
        <w:t xml:space="preserve"> system of licensing and registration was still needed. The review noted that </w:t>
      </w:r>
      <w:r w:rsidR="00741ABC">
        <w:t xml:space="preserve">the </w:t>
      </w:r>
      <w:r w:rsidR="001E68E9">
        <w:t>two-</w:t>
      </w:r>
      <w:r w:rsidR="002F302F">
        <w:t>tier</w:t>
      </w:r>
      <w:r w:rsidR="001E68E9">
        <w:t xml:space="preserve"> system created ambiguity and potentially </w:t>
      </w:r>
      <w:r w:rsidR="00D11355">
        <w:t>reduced</w:t>
      </w:r>
      <w:r w:rsidR="001E68E9">
        <w:t xml:space="preserve"> compliance </w:t>
      </w:r>
      <w:r w:rsidR="003861C4">
        <w:t xml:space="preserve">if registrations were perceived to be a </w:t>
      </w:r>
      <w:r w:rsidR="00966846">
        <w:t xml:space="preserve">lower tier </w:t>
      </w:r>
      <w:r w:rsidR="003861C4">
        <w:t xml:space="preserve">category </w:t>
      </w:r>
      <w:r w:rsidR="003861C4">
        <w:lastRenderedPageBreak/>
        <w:t>under the current framework.</w:t>
      </w:r>
      <w:r w:rsidR="003861C4">
        <w:rPr>
          <w:rStyle w:val="FootnoteReference"/>
        </w:rPr>
        <w:footnoteReference w:id="8"/>
      </w:r>
      <w:r w:rsidR="004607C0">
        <w:t xml:space="preserve"> </w:t>
      </w:r>
      <w:r w:rsidR="00937EFC">
        <w:t xml:space="preserve">DJCS noted in its final report on the review that stakeholders had </w:t>
      </w:r>
      <w:r w:rsidR="00DB3853">
        <w:t xml:space="preserve">overwhelmingly </w:t>
      </w:r>
      <w:r w:rsidR="00D11355">
        <w:t xml:space="preserve">supported </w:t>
      </w:r>
      <w:r w:rsidR="00937EFC">
        <w:t xml:space="preserve">the introduction of </w:t>
      </w:r>
      <w:r w:rsidR="00D11355">
        <w:t xml:space="preserve">a </w:t>
      </w:r>
      <w:r w:rsidR="00DB3853">
        <w:t>single</w:t>
      </w:r>
      <w:r w:rsidR="00937EFC">
        <w:t>-tier</w:t>
      </w:r>
      <w:r w:rsidR="00DB3853">
        <w:t xml:space="preserve"> licen</w:t>
      </w:r>
      <w:r w:rsidR="003B277D">
        <w:t>s</w:t>
      </w:r>
      <w:r w:rsidR="00DB3853">
        <w:t>ing system</w:t>
      </w:r>
      <w:r w:rsidR="008871C4">
        <w:t>.</w:t>
      </w:r>
      <w:r w:rsidR="008871C4">
        <w:rPr>
          <w:rStyle w:val="FootnoteReference"/>
        </w:rPr>
        <w:footnoteReference w:id="9"/>
      </w:r>
      <w:r w:rsidR="008871C4">
        <w:t xml:space="preserve"> </w:t>
      </w:r>
    </w:p>
    <w:p w14:paraId="33C67821" w14:textId="68BDEEF1" w:rsidR="00841EA6" w:rsidRDefault="0054181F" w:rsidP="00F2133A">
      <w:r>
        <w:t xml:space="preserve">In addition to the licensing and registration system, the review also investigated </w:t>
      </w:r>
      <w:r w:rsidR="0060114C">
        <w:t xml:space="preserve">the suitability of the current training and competency requirements, the </w:t>
      </w:r>
      <w:r w:rsidR="000C67F8">
        <w:t xml:space="preserve">monitoring </w:t>
      </w:r>
      <w:r w:rsidR="0060114C">
        <w:t>and compliance arrangements under the Act,</w:t>
      </w:r>
      <w:r w:rsidR="000C5F47">
        <w:t xml:space="preserve"> employment framework and practices, and a jurisdictional comparison of regulation of the private security industry. </w:t>
      </w:r>
      <w:r w:rsidR="00B30B7C">
        <w:t xml:space="preserve">The Review recommended </w:t>
      </w:r>
      <w:r w:rsidR="00267D13">
        <w:t xml:space="preserve">refresher training </w:t>
      </w:r>
      <w:r w:rsidR="00EF3E5E">
        <w:t>for all applicants prior to applying for a licence renewal. T</w:t>
      </w:r>
      <w:r w:rsidR="00217308">
        <w:t xml:space="preserve">his requirement for refresher training has been introduced through the amending Act. </w:t>
      </w:r>
    </w:p>
    <w:p w14:paraId="63190A15" w14:textId="7129E7B5" w:rsidR="00FA7A58" w:rsidRDefault="00364E70" w:rsidP="00FA7A58">
      <w:pPr>
        <w:pStyle w:val="Heading3"/>
      </w:pPr>
      <w:r>
        <w:t xml:space="preserve">COVID-19 Hotel Quarantine Inquiry </w:t>
      </w:r>
    </w:p>
    <w:p w14:paraId="44950C6C" w14:textId="4779C346" w:rsidR="00355ED8" w:rsidRPr="00A635DA" w:rsidRDefault="0088181F" w:rsidP="00B716C2">
      <w:pPr>
        <w:pStyle w:val="ListParagraph"/>
        <w:ind w:left="0"/>
      </w:pPr>
      <w:r>
        <w:t>In addition, t</w:t>
      </w:r>
      <w:r w:rsidR="0009181A">
        <w:t xml:space="preserve">his </w:t>
      </w:r>
      <w:r w:rsidR="001976F9">
        <w:t>in</w:t>
      </w:r>
      <w:r w:rsidR="004A78D8">
        <w:t>quiry</w:t>
      </w:r>
      <w:r w:rsidR="0009181A">
        <w:t xml:space="preserve"> was instituted to examine the Hotel </w:t>
      </w:r>
      <w:r w:rsidR="007A1F20">
        <w:t xml:space="preserve">Quarantine </w:t>
      </w:r>
      <w:r w:rsidR="00323AA8">
        <w:t xml:space="preserve">Program </w:t>
      </w:r>
      <w:r w:rsidR="005D7C09">
        <w:t>which had been</w:t>
      </w:r>
      <w:r w:rsidR="00323AA8">
        <w:t xml:space="preserve"> introduced </w:t>
      </w:r>
      <w:r w:rsidR="003B277D">
        <w:t>in</w:t>
      </w:r>
      <w:r w:rsidR="00323AA8">
        <w:t xml:space="preserve"> response to the COVID-19 pandemic. </w:t>
      </w:r>
      <w:r w:rsidR="009C71D3">
        <w:t>The</w:t>
      </w:r>
      <w:r w:rsidR="000079E3">
        <w:t xml:space="preserve"> </w:t>
      </w:r>
      <w:r w:rsidR="009C71D3">
        <w:t xml:space="preserve">program was instituted to </w:t>
      </w:r>
      <w:r w:rsidR="00437187">
        <w:t>quarantine international travellers returning to Victoria to prevent the spread of COVID-19</w:t>
      </w:r>
      <w:r w:rsidR="005D7C09">
        <w:t xml:space="preserve"> and</w:t>
      </w:r>
      <w:r w:rsidR="00437187">
        <w:t xml:space="preserve"> relied on private security guards to </w:t>
      </w:r>
      <w:r w:rsidR="002E6D90">
        <w:t xml:space="preserve">oversee the travellers quarantined in the hotels. </w:t>
      </w:r>
      <w:r>
        <w:t>In addition to a full investigation of the establishment and oversight of the Program, t</w:t>
      </w:r>
      <w:r w:rsidR="003D5241">
        <w:t>he</w:t>
      </w:r>
      <w:r w:rsidR="00320B53">
        <w:t xml:space="preserve"> inquiry </w:t>
      </w:r>
      <w:r w:rsidR="008B6895">
        <w:t>also examined the role and nature of the private security industry</w:t>
      </w:r>
      <w:r>
        <w:t xml:space="preserve">. While the review was critical of the decision to use private security to manage the Program, it did not make findings against private security workers. However, </w:t>
      </w:r>
      <w:r w:rsidR="00D76A89">
        <w:t>the Inquiry</w:t>
      </w:r>
      <w:r w:rsidR="008B6895">
        <w:t xml:space="preserve"> </w:t>
      </w:r>
      <w:r w:rsidR="00FB193E">
        <w:t xml:space="preserve">noted </w:t>
      </w:r>
      <w:r w:rsidR="00A72BF1">
        <w:t>several</w:t>
      </w:r>
      <w:r w:rsidR="00FB193E">
        <w:t xml:space="preserve"> issues with the private security industry including </w:t>
      </w:r>
      <w:r w:rsidR="00CD05DB">
        <w:t>a heavy reliance on subcontracting</w:t>
      </w:r>
      <w:r w:rsidR="003C390D">
        <w:t>, sham contracting</w:t>
      </w:r>
      <w:r w:rsidR="005341D9">
        <w:t>, insecure work and underpayment of wages</w:t>
      </w:r>
      <w:r w:rsidR="007543FD">
        <w:t>, and poor training.</w:t>
      </w:r>
      <w:r w:rsidR="007543FD">
        <w:rPr>
          <w:rStyle w:val="FootnoteReference"/>
        </w:rPr>
        <w:footnoteReference w:id="10"/>
      </w:r>
      <w:r w:rsidR="00D76A89">
        <w:t xml:space="preserve"> These issues were consistent with those identified in the Review of the Private Security Industry set out at 1.3.1.</w:t>
      </w:r>
    </w:p>
    <w:p w14:paraId="5C06A223" w14:textId="02108CD7" w:rsidR="0004395E" w:rsidRPr="00CA1A48" w:rsidRDefault="0004395E" w:rsidP="0004395E">
      <w:pPr>
        <w:pStyle w:val="Heading2"/>
      </w:pPr>
      <w:bookmarkStart w:id="49" w:name="_Ref172901263"/>
      <w:bookmarkStart w:id="50" w:name="_Toc189832246"/>
      <w:bookmarkStart w:id="51" w:name="_Toc152086228"/>
      <w:r w:rsidRPr="00CA1A48">
        <w:t>Victoria’s private security industry</w:t>
      </w:r>
      <w:bookmarkEnd w:id="49"/>
      <w:bookmarkEnd w:id="50"/>
    </w:p>
    <w:p w14:paraId="55F83051" w14:textId="718A7D62" w:rsidR="008B1A3C" w:rsidRDefault="008B1A3C" w:rsidP="008B1A3C">
      <w:r>
        <w:t xml:space="preserve">As discussed in section </w:t>
      </w:r>
      <w:r>
        <w:fldChar w:fldCharType="begin"/>
      </w:r>
      <w:r>
        <w:instrText xml:space="preserve"> REF _Ref169103671 \r \h </w:instrText>
      </w:r>
      <w:r>
        <w:fldChar w:fldCharType="separate"/>
      </w:r>
      <w:r w:rsidR="009D133E">
        <w:t>1.2.1</w:t>
      </w:r>
      <w:r>
        <w:fldChar w:fldCharType="end"/>
      </w:r>
      <w:r>
        <w:t xml:space="preserve">, Victoria </w:t>
      </w:r>
      <w:r w:rsidR="0010407E">
        <w:t xml:space="preserve">currently </w:t>
      </w:r>
      <w:r>
        <w:t xml:space="preserve">operates a two-tiered industry </w:t>
      </w:r>
      <w:r w:rsidR="00AE54EF">
        <w:t xml:space="preserve">licensing </w:t>
      </w:r>
      <w:r>
        <w:t xml:space="preserve">scheme for the private security industry with participants required to obtain a licence or registration based on the nature of their work. Activities requiring licences and registration are outlined in </w:t>
      </w:r>
      <w:r>
        <w:fldChar w:fldCharType="begin"/>
      </w:r>
      <w:r>
        <w:instrText xml:space="preserve"> REF _Ref172707492 \h </w:instrText>
      </w:r>
      <w:r>
        <w:fldChar w:fldCharType="separate"/>
      </w:r>
      <w:r w:rsidR="009D133E">
        <w:t xml:space="preserve">Table </w:t>
      </w:r>
      <w:r w:rsidR="009D133E">
        <w:rPr>
          <w:noProof/>
        </w:rPr>
        <w:t>1</w:t>
      </w:r>
      <w:r w:rsidR="009D133E">
        <w:t>.</w:t>
      </w:r>
      <w:r w:rsidR="009D133E">
        <w:rPr>
          <w:noProof/>
        </w:rPr>
        <w:t>7</w:t>
      </w:r>
      <w:r>
        <w:fldChar w:fldCharType="end"/>
      </w:r>
      <w:r>
        <w:t xml:space="preserve"> and </w:t>
      </w:r>
      <w:r>
        <w:fldChar w:fldCharType="begin"/>
      </w:r>
      <w:r>
        <w:instrText xml:space="preserve"> REF _Ref172707503 \h </w:instrText>
      </w:r>
      <w:r>
        <w:fldChar w:fldCharType="separate"/>
      </w:r>
      <w:r w:rsidR="009D133E">
        <w:t xml:space="preserve">Table </w:t>
      </w:r>
      <w:r w:rsidR="009D133E">
        <w:rPr>
          <w:noProof/>
        </w:rPr>
        <w:t>1</w:t>
      </w:r>
      <w:r w:rsidR="009D133E">
        <w:t>.</w:t>
      </w:r>
      <w:r w:rsidR="009D133E">
        <w:rPr>
          <w:noProof/>
        </w:rPr>
        <w:t>8</w:t>
      </w:r>
      <w:r>
        <w:fldChar w:fldCharType="end"/>
      </w:r>
      <w:r w:rsidR="00A53737">
        <w:t xml:space="preserve"> </w:t>
      </w:r>
      <w:r>
        <w:t xml:space="preserve">respectively. Businesses that provide these services are required to </w:t>
      </w:r>
      <w:r w:rsidR="00E35D8F">
        <w:t>obtain</w:t>
      </w:r>
      <w:r>
        <w:t xml:space="preserve"> a business licence or registration.</w:t>
      </w:r>
      <w:r w:rsidR="0036598D">
        <w:t xml:space="preserve"> </w:t>
      </w:r>
    </w:p>
    <w:p w14:paraId="7C7B91F6" w14:textId="3C22DC09" w:rsidR="008B1A3C" w:rsidRPr="008B1A3C" w:rsidRDefault="008B1A3C" w:rsidP="008B1A3C">
      <w:pPr>
        <w:pStyle w:val="Caption"/>
      </w:pPr>
      <w:bookmarkStart w:id="52" w:name="_Ref172707492"/>
      <w:bookmarkStart w:id="53" w:name="_Ref172707461"/>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7</w:t>
      </w:r>
      <w:r w:rsidR="00414520">
        <w:fldChar w:fldCharType="end"/>
      </w:r>
      <w:bookmarkEnd w:id="52"/>
      <w:r>
        <w:t>: Class A activities requiring licences</w:t>
      </w:r>
      <w:bookmarkEnd w:id="53"/>
    </w:p>
    <w:tbl>
      <w:tblPr>
        <w:tblStyle w:val="Deloittetable1"/>
        <w:tblW w:w="5000" w:type="pct"/>
        <w:tblLook w:val="04A0" w:firstRow="1" w:lastRow="0" w:firstColumn="1" w:lastColumn="0" w:noHBand="0" w:noVBand="1"/>
      </w:tblPr>
      <w:tblGrid>
        <w:gridCol w:w="2573"/>
        <w:gridCol w:w="7065"/>
      </w:tblGrid>
      <w:tr w:rsidR="008B1A3C" w:rsidRPr="00F07D02" w14:paraId="2751D235" w14:textId="77777777" w:rsidTr="00FE7B0D">
        <w:trPr>
          <w:cnfStyle w:val="100000000000" w:firstRow="1" w:lastRow="0" w:firstColumn="0" w:lastColumn="0" w:oddVBand="0" w:evenVBand="0" w:oddHBand="0" w:evenHBand="0" w:firstRowFirstColumn="0" w:firstRowLastColumn="0" w:lastRowFirstColumn="0" w:lastRowLastColumn="0"/>
          <w:tblHeader/>
        </w:trPr>
        <w:tc>
          <w:tcPr>
            <w:tcW w:w="1335" w:type="pct"/>
          </w:tcPr>
          <w:p w14:paraId="35260E72" w14:textId="5311A02C" w:rsidR="008B1A3C" w:rsidRPr="00477450" w:rsidRDefault="008B1A3C">
            <w:pPr>
              <w:jc w:val="both"/>
              <w:rPr>
                <w:b/>
                <w:lang w:eastAsia="en-AU"/>
              </w:rPr>
            </w:pPr>
            <w:r w:rsidRPr="00477450">
              <w:rPr>
                <w:b/>
                <w:lang w:eastAsia="en-AU"/>
              </w:rPr>
              <w:t>Activity</w:t>
            </w:r>
            <w:r w:rsidR="0036598D">
              <w:rPr>
                <w:b/>
                <w:lang w:eastAsia="en-AU"/>
              </w:rPr>
              <w:t xml:space="preserve"> </w:t>
            </w:r>
          </w:p>
        </w:tc>
        <w:tc>
          <w:tcPr>
            <w:tcW w:w="3665" w:type="pct"/>
          </w:tcPr>
          <w:p w14:paraId="1004E856" w14:textId="77777777" w:rsidR="008B1A3C" w:rsidRPr="00477450" w:rsidRDefault="008B1A3C">
            <w:pPr>
              <w:jc w:val="both"/>
              <w:rPr>
                <w:b/>
                <w:lang w:eastAsia="en-AU"/>
              </w:rPr>
            </w:pPr>
            <w:r w:rsidRPr="00477450">
              <w:rPr>
                <w:b/>
                <w:lang w:eastAsia="en-AU"/>
              </w:rPr>
              <w:t xml:space="preserve">Description </w:t>
            </w:r>
          </w:p>
        </w:tc>
      </w:tr>
      <w:tr w:rsidR="008B1A3C" w:rsidRPr="00F07D02" w14:paraId="632DC8A5" w14:textId="77777777">
        <w:tc>
          <w:tcPr>
            <w:tcW w:w="1335" w:type="pct"/>
          </w:tcPr>
          <w:p w14:paraId="08FA001E" w14:textId="77777777" w:rsidR="008B1A3C" w:rsidRPr="00F07D02" w:rsidRDefault="008B1A3C">
            <w:pPr>
              <w:rPr>
                <w:lang w:eastAsia="en-AU"/>
              </w:rPr>
            </w:pPr>
            <w:r>
              <w:rPr>
                <w:lang w:eastAsia="en-AU"/>
              </w:rPr>
              <w:t xml:space="preserve">Security guard </w:t>
            </w:r>
          </w:p>
        </w:tc>
        <w:tc>
          <w:tcPr>
            <w:tcW w:w="3665" w:type="pct"/>
          </w:tcPr>
          <w:p w14:paraId="79E32F99" w14:textId="77777777" w:rsidR="008B1A3C" w:rsidRDefault="008B1A3C">
            <w:pPr>
              <w:rPr>
                <w:lang w:eastAsia="en-AU"/>
              </w:rPr>
            </w:pPr>
            <w:r>
              <w:rPr>
                <w:lang w:eastAsia="en-AU"/>
              </w:rPr>
              <w:t>A security guard is a person employed or retained to protect, watch, or guard any property by any means including patrolling the property in person and by monitoring the property via closed circuit television (CCTV) or similar devices.</w:t>
            </w:r>
          </w:p>
          <w:p w14:paraId="1BA60356" w14:textId="77777777" w:rsidR="008B1A3C" w:rsidRDefault="008B1A3C">
            <w:r>
              <w:t>Security guards can be licenced to perform up to six sub-activities, with each sub-activity requiring fulfilment of training qualification. These sub-activities include:</w:t>
            </w:r>
          </w:p>
          <w:p w14:paraId="4ADAAC5E" w14:textId="535C4D97" w:rsidR="008B1A3C" w:rsidRDefault="008B1A3C" w:rsidP="00557ACA">
            <w:pPr>
              <w:pStyle w:val="ListParagraph"/>
              <w:numPr>
                <w:ilvl w:val="0"/>
                <w:numId w:val="29"/>
              </w:numPr>
              <w:rPr>
                <w:lang w:eastAsia="en-AU"/>
              </w:rPr>
            </w:pPr>
            <w:r w:rsidRPr="00832619">
              <w:rPr>
                <w:b/>
                <w:bCs/>
                <w:lang w:eastAsia="en-AU"/>
              </w:rPr>
              <w:t>unarmed guard</w:t>
            </w:r>
            <w:r>
              <w:rPr>
                <w:lang w:eastAsia="en-AU"/>
              </w:rPr>
              <w:t>: person employed to protect, watch, or guard any property w</w:t>
            </w:r>
            <w:r w:rsidR="00554E6C">
              <w:rPr>
                <w:lang w:eastAsia="en-AU"/>
              </w:rPr>
              <w:t>h</w:t>
            </w:r>
            <w:r>
              <w:rPr>
                <w:lang w:eastAsia="en-AU"/>
              </w:rPr>
              <w:t>ile unarmed</w:t>
            </w:r>
          </w:p>
          <w:p w14:paraId="42137FD8" w14:textId="77777777" w:rsidR="008B1A3C" w:rsidRDefault="008B1A3C" w:rsidP="00557ACA">
            <w:pPr>
              <w:pStyle w:val="ListParagraph"/>
              <w:numPr>
                <w:ilvl w:val="0"/>
                <w:numId w:val="29"/>
              </w:numPr>
              <w:rPr>
                <w:lang w:eastAsia="en-AU"/>
              </w:rPr>
            </w:pPr>
            <w:r w:rsidRPr="00832619">
              <w:rPr>
                <w:b/>
                <w:bCs/>
                <w:lang w:eastAsia="en-AU"/>
              </w:rPr>
              <w:t>armed guard:</w:t>
            </w:r>
            <w:r>
              <w:rPr>
                <w:lang w:eastAsia="en-AU"/>
              </w:rPr>
              <w:t xml:space="preserve"> person employed to protect, watch or guard any property while being with a firearm </w:t>
            </w:r>
          </w:p>
          <w:p w14:paraId="011C5851" w14:textId="2A95CBCE" w:rsidR="008B1A3C" w:rsidRDefault="008B1A3C" w:rsidP="00557ACA">
            <w:pPr>
              <w:pStyle w:val="ListParagraph"/>
              <w:numPr>
                <w:ilvl w:val="0"/>
                <w:numId w:val="29"/>
              </w:numPr>
              <w:rPr>
                <w:lang w:eastAsia="en-AU"/>
              </w:rPr>
            </w:pPr>
            <w:r w:rsidRPr="00832619">
              <w:rPr>
                <w:b/>
                <w:bCs/>
                <w:lang w:eastAsia="en-AU"/>
              </w:rPr>
              <w:t>cash-in-transit guard:</w:t>
            </w:r>
            <w:r>
              <w:rPr>
                <w:lang w:eastAsia="en-AU"/>
              </w:rPr>
              <w:t xml:space="preserve"> person employed to collect, transfer and/or deliver cash or other valuables while armed with a firearm </w:t>
            </w:r>
          </w:p>
          <w:p w14:paraId="3774BC8C" w14:textId="77777777" w:rsidR="008B1A3C" w:rsidRDefault="008B1A3C" w:rsidP="00557ACA">
            <w:pPr>
              <w:pStyle w:val="ListParagraph"/>
              <w:numPr>
                <w:ilvl w:val="0"/>
                <w:numId w:val="29"/>
              </w:numPr>
              <w:rPr>
                <w:lang w:eastAsia="en-AU"/>
              </w:rPr>
            </w:pPr>
            <w:r w:rsidRPr="00832619">
              <w:rPr>
                <w:b/>
                <w:bCs/>
                <w:lang w:eastAsia="en-AU"/>
              </w:rPr>
              <w:t>control room operator</w:t>
            </w:r>
            <w:r>
              <w:rPr>
                <w:lang w:eastAsia="en-AU"/>
              </w:rPr>
              <w:t xml:space="preserve">: guard monitoring activity via CCTV monitors or similar means </w:t>
            </w:r>
          </w:p>
          <w:p w14:paraId="14720547" w14:textId="0B5EE3CC" w:rsidR="008B1A3C" w:rsidRDefault="008B1A3C" w:rsidP="00557ACA">
            <w:pPr>
              <w:pStyle w:val="ListParagraph"/>
              <w:numPr>
                <w:ilvl w:val="0"/>
                <w:numId w:val="29"/>
              </w:numPr>
              <w:rPr>
                <w:lang w:eastAsia="en-AU"/>
              </w:rPr>
            </w:pPr>
            <w:r w:rsidRPr="00832619">
              <w:rPr>
                <w:b/>
                <w:bCs/>
                <w:lang w:eastAsia="en-AU"/>
              </w:rPr>
              <w:t>monitoring centre operator</w:t>
            </w:r>
            <w:r>
              <w:rPr>
                <w:lang w:eastAsia="en-AU"/>
              </w:rPr>
              <w:t xml:space="preserve">: operator employed to work in a centre monitoring intruder </w:t>
            </w:r>
            <w:r w:rsidR="007526EF">
              <w:rPr>
                <w:lang w:eastAsia="en-AU"/>
              </w:rPr>
              <w:t>alarm</w:t>
            </w:r>
            <w:r>
              <w:rPr>
                <w:lang w:eastAsia="en-AU"/>
              </w:rPr>
              <w:t xml:space="preserve"> </w:t>
            </w:r>
          </w:p>
          <w:p w14:paraId="75413F7E" w14:textId="77777777" w:rsidR="008B1A3C" w:rsidRPr="000D6839" w:rsidRDefault="008B1A3C" w:rsidP="00557ACA">
            <w:pPr>
              <w:pStyle w:val="ListParagraph"/>
              <w:numPr>
                <w:ilvl w:val="0"/>
                <w:numId w:val="29"/>
              </w:numPr>
              <w:rPr>
                <w:lang w:eastAsia="en-AU"/>
              </w:rPr>
            </w:pPr>
            <w:r w:rsidRPr="00FE61CC">
              <w:rPr>
                <w:b/>
                <w:bCs/>
                <w:lang w:eastAsia="en-AU"/>
              </w:rPr>
              <w:t>guard with a dog</w:t>
            </w:r>
            <w:r>
              <w:rPr>
                <w:lang w:eastAsia="en-AU"/>
              </w:rPr>
              <w:t xml:space="preserve">: person employed to protect, watch or guard a premises with a dog. </w:t>
            </w:r>
          </w:p>
        </w:tc>
      </w:tr>
      <w:tr w:rsidR="008B1A3C" w:rsidRPr="00F07D02" w14:paraId="1D103687" w14:textId="77777777">
        <w:tc>
          <w:tcPr>
            <w:tcW w:w="1335" w:type="pct"/>
          </w:tcPr>
          <w:p w14:paraId="6E775627" w14:textId="77777777" w:rsidR="008B1A3C" w:rsidRPr="00743F6E" w:rsidRDefault="008B1A3C">
            <w:pPr>
              <w:jc w:val="both"/>
              <w:rPr>
                <w:lang w:eastAsia="en-AU"/>
              </w:rPr>
            </w:pPr>
            <w:r>
              <w:rPr>
                <w:lang w:eastAsia="en-AU"/>
              </w:rPr>
              <w:t>Crowd controller</w:t>
            </w:r>
          </w:p>
        </w:tc>
        <w:tc>
          <w:tcPr>
            <w:tcW w:w="3665" w:type="pct"/>
          </w:tcPr>
          <w:p w14:paraId="73310BCD" w14:textId="77777777" w:rsidR="008B1A3C" w:rsidRDefault="008B1A3C">
            <w:pPr>
              <w:jc w:val="both"/>
              <w:rPr>
                <w:lang w:eastAsia="en-AU"/>
              </w:rPr>
            </w:pPr>
            <w:r>
              <w:rPr>
                <w:lang w:eastAsia="en-AU"/>
              </w:rPr>
              <w:t>A crowd controller is employed or retained to maintain order at any public place by doing any of the following:</w:t>
            </w:r>
          </w:p>
          <w:p w14:paraId="3B9EBE92" w14:textId="77777777" w:rsidR="008B1A3C" w:rsidRDefault="008B1A3C" w:rsidP="00557ACA">
            <w:pPr>
              <w:pStyle w:val="ListParagraph"/>
              <w:numPr>
                <w:ilvl w:val="0"/>
                <w:numId w:val="27"/>
              </w:numPr>
              <w:jc w:val="both"/>
              <w:rPr>
                <w:lang w:eastAsia="en-AU"/>
              </w:rPr>
            </w:pPr>
            <w:r>
              <w:rPr>
                <w:lang w:eastAsia="en-AU"/>
              </w:rPr>
              <w:t xml:space="preserve">screening entry into a premises </w:t>
            </w:r>
          </w:p>
          <w:p w14:paraId="5401ADB2" w14:textId="77777777" w:rsidR="008B1A3C" w:rsidRDefault="008B1A3C" w:rsidP="00557ACA">
            <w:pPr>
              <w:pStyle w:val="ListParagraph"/>
              <w:numPr>
                <w:ilvl w:val="0"/>
                <w:numId w:val="27"/>
              </w:numPr>
              <w:jc w:val="both"/>
              <w:rPr>
                <w:lang w:eastAsia="en-AU"/>
              </w:rPr>
            </w:pPr>
            <w:r>
              <w:rPr>
                <w:lang w:eastAsia="en-AU"/>
              </w:rPr>
              <w:t>monitoring or controlling behaviour in a premises</w:t>
            </w:r>
          </w:p>
          <w:p w14:paraId="5F716A84" w14:textId="77777777" w:rsidR="008B1A3C" w:rsidRPr="00FA4C26" w:rsidRDefault="008B1A3C" w:rsidP="00557ACA">
            <w:pPr>
              <w:pStyle w:val="ListParagraph"/>
              <w:numPr>
                <w:ilvl w:val="0"/>
                <w:numId w:val="27"/>
              </w:numPr>
              <w:jc w:val="both"/>
              <w:rPr>
                <w:lang w:eastAsia="en-AU"/>
              </w:rPr>
            </w:pPr>
            <w:r>
              <w:rPr>
                <w:lang w:eastAsia="en-AU"/>
              </w:rPr>
              <w:t>removing a person from a premises.</w:t>
            </w:r>
          </w:p>
        </w:tc>
      </w:tr>
      <w:tr w:rsidR="008B1A3C" w:rsidRPr="008855D5" w14:paraId="404BD942" w14:textId="77777777">
        <w:tc>
          <w:tcPr>
            <w:tcW w:w="1335" w:type="pct"/>
          </w:tcPr>
          <w:p w14:paraId="12089417" w14:textId="663A9771" w:rsidR="008B1A3C" w:rsidRPr="00344352" w:rsidRDefault="008B1A3C">
            <w:pPr>
              <w:jc w:val="both"/>
              <w:rPr>
                <w:lang w:eastAsia="en-AU"/>
              </w:rPr>
            </w:pPr>
            <w:r>
              <w:rPr>
                <w:lang w:eastAsia="en-AU"/>
              </w:rPr>
              <w:lastRenderedPageBreak/>
              <w:t>Bodyguards</w:t>
            </w:r>
            <w:r w:rsidR="0036598D">
              <w:rPr>
                <w:lang w:eastAsia="en-AU"/>
              </w:rPr>
              <w:t xml:space="preserve"> </w:t>
            </w:r>
          </w:p>
        </w:tc>
        <w:tc>
          <w:tcPr>
            <w:tcW w:w="3665" w:type="pct"/>
          </w:tcPr>
          <w:p w14:paraId="6E25EEED" w14:textId="77777777" w:rsidR="008B1A3C" w:rsidRPr="008855D5" w:rsidRDefault="008B1A3C">
            <w:pPr>
              <w:jc w:val="both"/>
              <w:rPr>
                <w:lang w:eastAsia="en-AU"/>
              </w:rPr>
            </w:pPr>
            <w:r w:rsidRPr="008855D5">
              <w:rPr>
                <w:lang w:eastAsia="en-AU"/>
              </w:rPr>
              <w:t>A bodyguard is a person employed or retained to provide a close personal protection service</w:t>
            </w:r>
            <w:r>
              <w:rPr>
                <w:lang w:eastAsia="en-AU"/>
              </w:rPr>
              <w:t xml:space="preserve">. </w:t>
            </w:r>
          </w:p>
        </w:tc>
      </w:tr>
      <w:tr w:rsidR="008B1A3C" w:rsidRPr="00F07D02" w14:paraId="030C877D" w14:textId="77777777">
        <w:tc>
          <w:tcPr>
            <w:tcW w:w="1335" w:type="pct"/>
          </w:tcPr>
          <w:p w14:paraId="38DA86D4" w14:textId="77777777" w:rsidR="008B1A3C" w:rsidRPr="00344352" w:rsidRDefault="008B1A3C">
            <w:pPr>
              <w:jc w:val="both"/>
              <w:rPr>
                <w:lang w:eastAsia="en-AU"/>
              </w:rPr>
            </w:pPr>
            <w:r>
              <w:rPr>
                <w:lang w:eastAsia="en-AU"/>
              </w:rPr>
              <w:t xml:space="preserve">Investigators </w:t>
            </w:r>
          </w:p>
        </w:tc>
        <w:tc>
          <w:tcPr>
            <w:tcW w:w="3665" w:type="pct"/>
          </w:tcPr>
          <w:p w14:paraId="3273424A" w14:textId="77777777" w:rsidR="008B1A3C" w:rsidRDefault="008B1A3C">
            <w:pPr>
              <w:jc w:val="both"/>
              <w:rPr>
                <w:lang w:eastAsia="en-AU"/>
              </w:rPr>
            </w:pPr>
            <w:r>
              <w:rPr>
                <w:lang w:eastAsia="en-AU"/>
              </w:rPr>
              <w:t>Investigator is a person who, on behalf of another person, is employed or retained to obtain and provide information regarding the personal character, actions, or location of any person. This includes investigating in the following areas:</w:t>
            </w:r>
          </w:p>
          <w:p w14:paraId="0AC2F178" w14:textId="77777777" w:rsidR="008B1A3C" w:rsidRDefault="008B1A3C" w:rsidP="00557ACA">
            <w:pPr>
              <w:pStyle w:val="ListParagraph"/>
              <w:numPr>
                <w:ilvl w:val="0"/>
                <w:numId w:val="28"/>
              </w:numPr>
              <w:jc w:val="both"/>
              <w:rPr>
                <w:lang w:eastAsia="en-AU"/>
              </w:rPr>
            </w:pPr>
            <w:r>
              <w:rPr>
                <w:lang w:eastAsia="en-AU"/>
              </w:rPr>
              <w:t>fraud and risk management</w:t>
            </w:r>
          </w:p>
          <w:p w14:paraId="73B6413D" w14:textId="77777777" w:rsidR="008B1A3C" w:rsidRDefault="008B1A3C" w:rsidP="00557ACA">
            <w:pPr>
              <w:pStyle w:val="ListParagraph"/>
              <w:numPr>
                <w:ilvl w:val="0"/>
                <w:numId w:val="28"/>
              </w:numPr>
              <w:jc w:val="both"/>
              <w:rPr>
                <w:lang w:eastAsia="en-AU"/>
              </w:rPr>
            </w:pPr>
            <w:r>
              <w:rPr>
                <w:lang w:eastAsia="en-AU"/>
              </w:rPr>
              <w:t xml:space="preserve">aviation accidents and losses </w:t>
            </w:r>
          </w:p>
          <w:p w14:paraId="31F1A74A" w14:textId="77777777" w:rsidR="008B1A3C" w:rsidRDefault="008B1A3C" w:rsidP="00557ACA">
            <w:pPr>
              <w:pStyle w:val="ListParagraph"/>
              <w:numPr>
                <w:ilvl w:val="0"/>
                <w:numId w:val="28"/>
              </w:numPr>
              <w:jc w:val="both"/>
              <w:rPr>
                <w:lang w:eastAsia="en-AU"/>
              </w:rPr>
            </w:pPr>
            <w:r>
              <w:rPr>
                <w:lang w:eastAsia="en-AU"/>
              </w:rPr>
              <w:t xml:space="preserve">marine losses </w:t>
            </w:r>
          </w:p>
          <w:p w14:paraId="1EAB8B8A" w14:textId="77777777" w:rsidR="008B1A3C" w:rsidRDefault="008B1A3C" w:rsidP="00557ACA">
            <w:pPr>
              <w:pStyle w:val="ListParagraph"/>
              <w:numPr>
                <w:ilvl w:val="0"/>
                <w:numId w:val="28"/>
              </w:numPr>
              <w:jc w:val="both"/>
              <w:rPr>
                <w:lang w:eastAsia="en-AU"/>
              </w:rPr>
            </w:pPr>
            <w:r>
              <w:rPr>
                <w:lang w:eastAsia="en-AU"/>
              </w:rPr>
              <w:t xml:space="preserve">occupational health and safety </w:t>
            </w:r>
          </w:p>
          <w:p w14:paraId="3614F5D0" w14:textId="77777777" w:rsidR="008B1A3C" w:rsidRDefault="008B1A3C" w:rsidP="00557ACA">
            <w:pPr>
              <w:pStyle w:val="ListParagraph"/>
              <w:numPr>
                <w:ilvl w:val="0"/>
                <w:numId w:val="28"/>
              </w:numPr>
              <w:jc w:val="both"/>
              <w:rPr>
                <w:lang w:eastAsia="en-AU"/>
              </w:rPr>
            </w:pPr>
            <w:r>
              <w:rPr>
                <w:lang w:eastAsia="en-AU"/>
              </w:rPr>
              <w:t xml:space="preserve">family law </w:t>
            </w:r>
          </w:p>
          <w:p w14:paraId="5D270DBE" w14:textId="77777777" w:rsidR="008B1A3C" w:rsidRDefault="008B1A3C" w:rsidP="00557ACA">
            <w:pPr>
              <w:pStyle w:val="ListParagraph"/>
              <w:numPr>
                <w:ilvl w:val="0"/>
                <w:numId w:val="28"/>
              </w:numPr>
              <w:jc w:val="both"/>
              <w:rPr>
                <w:lang w:eastAsia="en-AU"/>
              </w:rPr>
            </w:pPr>
            <w:r>
              <w:rPr>
                <w:lang w:eastAsia="en-AU"/>
              </w:rPr>
              <w:t xml:space="preserve">criminal law </w:t>
            </w:r>
          </w:p>
          <w:p w14:paraId="3E47226B" w14:textId="77777777" w:rsidR="008B1A3C" w:rsidRDefault="008B1A3C" w:rsidP="00557ACA">
            <w:pPr>
              <w:pStyle w:val="ListParagraph"/>
              <w:numPr>
                <w:ilvl w:val="0"/>
                <w:numId w:val="28"/>
              </w:numPr>
              <w:jc w:val="both"/>
              <w:rPr>
                <w:lang w:eastAsia="en-AU"/>
              </w:rPr>
            </w:pPr>
            <w:r>
              <w:rPr>
                <w:lang w:eastAsia="en-AU"/>
              </w:rPr>
              <w:t xml:space="preserve">consumer law </w:t>
            </w:r>
          </w:p>
          <w:p w14:paraId="4A002808" w14:textId="77777777" w:rsidR="008B1A3C" w:rsidRPr="0071525F" w:rsidRDefault="008B1A3C" w:rsidP="00557ACA">
            <w:pPr>
              <w:pStyle w:val="ListParagraph"/>
              <w:numPr>
                <w:ilvl w:val="0"/>
                <w:numId w:val="28"/>
              </w:numPr>
              <w:jc w:val="both"/>
              <w:rPr>
                <w:lang w:eastAsia="en-AU"/>
              </w:rPr>
            </w:pPr>
            <w:r>
              <w:rPr>
                <w:lang w:eastAsia="en-AU"/>
              </w:rPr>
              <w:t>intellectual property.</w:t>
            </w:r>
          </w:p>
        </w:tc>
      </w:tr>
      <w:tr w:rsidR="008B1A3C" w:rsidRPr="00F07D02" w14:paraId="7F4AFE71" w14:textId="77777777">
        <w:tc>
          <w:tcPr>
            <w:tcW w:w="1335" w:type="pct"/>
          </w:tcPr>
          <w:p w14:paraId="12B66BF4" w14:textId="77777777" w:rsidR="008B1A3C" w:rsidRPr="00E85F9B" w:rsidRDefault="008B1A3C">
            <w:pPr>
              <w:jc w:val="both"/>
              <w:rPr>
                <w:lang w:eastAsia="en-AU"/>
              </w:rPr>
            </w:pPr>
            <w:r w:rsidRPr="00E85F9B">
              <w:rPr>
                <w:lang w:eastAsia="en-AU"/>
              </w:rPr>
              <w:t>Private security trainers</w:t>
            </w:r>
          </w:p>
        </w:tc>
        <w:tc>
          <w:tcPr>
            <w:tcW w:w="3665" w:type="pct"/>
          </w:tcPr>
          <w:p w14:paraId="7B582331" w14:textId="37F61493" w:rsidR="008B1A3C" w:rsidRPr="00880FB2" w:rsidRDefault="008B1A3C">
            <w:pPr>
              <w:jc w:val="both"/>
              <w:rPr>
                <w:lang w:eastAsia="en-AU"/>
              </w:rPr>
            </w:pPr>
            <w:r>
              <w:rPr>
                <w:lang w:eastAsia="en-AU"/>
              </w:rPr>
              <w:t xml:space="preserve">Private security trainers are engaged by a registered education and training organisation to provide or assess private security training. </w:t>
            </w:r>
          </w:p>
        </w:tc>
      </w:tr>
    </w:tbl>
    <w:p w14:paraId="7B1027C3" w14:textId="77777777" w:rsidR="008B1A3C" w:rsidRDefault="008B1A3C" w:rsidP="008B1A3C">
      <w:pPr>
        <w:pStyle w:val="Source"/>
      </w:pPr>
      <w:r>
        <w:t xml:space="preserve">Source: Victoria Police </w:t>
      </w:r>
    </w:p>
    <w:p w14:paraId="35D267A4" w14:textId="73F59FF9" w:rsidR="008B1A3C" w:rsidRDefault="008B1A3C" w:rsidP="008B1A3C">
      <w:pPr>
        <w:pStyle w:val="Caption"/>
      </w:pPr>
      <w:bookmarkStart w:id="54" w:name="_Ref172707503"/>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8</w:t>
      </w:r>
      <w:r w:rsidR="00414520">
        <w:fldChar w:fldCharType="end"/>
      </w:r>
      <w:bookmarkEnd w:id="54"/>
      <w:r w:rsidRPr="000F470A">
        <w:t>:</w:t>
      </w:r>
      <w:r>
        <w:t xml:space="preserve"> Class B activities requiring registration</w:t>
      </w:r>
    </w:p>
    <w:tbl>
      <w:tblPr>
        <w:tblStyle w:val="Deloittetable1"/>
        <w:tblW w:w="5000" w:type="pct"/>
        <w:tblLook w:val="04A0" w:firstRow="1" w:lastRow="0" w:firstColumn="1" w:lastColumn="0" w:noHBand="0" w:noVBand="1"/>
      </w:tblPr>
      <w:tblGrid>
        <w:gridCol w:w="2573"/>
        <w:gridCol w:w="7065"/>
      </w:tblGrid>
      <w:tr w:rsidR="008B1A3C" w:rsidRPr="00F07D02" w14:paraId="47183B70" w14:textId="77777777">
        <w:trPr>
          <w:cnfStyle w:val="100000000000" w:firstRow="1" w:lastRow="0" w:firstColumn="0" w:lastColumn="0" w:oddVBand="0" w:evenVBand="0" w:oddHBand="0" w:evenHBand="0" w:firstRowFirstColumn="0" w:firstRowLastColumn="0" w:lastRowFirstColumn="0" w:lastRowLastColumn="0"/>
        </w:trPr>
        <w:tc>
          <w:tcPr>
            <w:tcW w:w="1335" w:type="pct"/>
          </w:tcPr>
          <w:p w14:paraId="63DEC589" w14:textId="03D059A3" w:rsidR="008B1A3C" w:rsidRPr="00477450" w:rsidRDefault="008B1A3C">
            <w:pPr>
              <w:jc w:val="both"/>
              <w:rPr>
                <w:b/>
                <w:lang w:eastAsia="en-AU"/>
              </w:rPr>
            </w:pPr>
            <w:r w:rsidRPr="00477450">
              <w:rPr>
                <w:b/>
                <w:lang w:eastAsia="en-AU"/>
              </w:rPr>
              <w:t>Activity</w:t>
            </w:r>
            <w:r w:rsidR="0036598D">
              <w:rPr>
                <w:b/>
                <w:lang w:eastAsia="en-AU"/>
              </w:rPr>
              <w:t xml:space="preserve"> </w:t>
            </w:r>
          </w:p>
        </w:tc>
        <w:tc>
          <w:tcPr>
            <w:tcW w:w="3665" w:type="pct"/>
          </w:tcPr>
          <w:p w14:paraId="744CF321" w14:textId="77777777" w:rsidR="008B1A3C" w:rsidRPr="00477450" w:rsidRDefault="008B1A3C">
            <w:pPr>
              <w:jc w:val="both"/>
              <w:rPr>
                <w:b/>
                <w:lang w:eastAsia="en-AU"/>
              </w:rPr>
            </w:pPr>
            <w:r w:rsidRPr="00477450">
              <w:rPr>
                <w:b/>
                <w:lang w:eastAsia="en-AU"/>
              </w:rPr>
              <w:t xml:space="preserve">Description </w:t>
            </w:r>
          </w:p>
        </w:tc>
      </w:tr>
      <w:tr w:rsidR="008B1A3C" w:rsidRPr="00F07D02" w14:paraId="66EF7187" w14:textId="77777777">
        <w:tc>
          <w:tcPr>
            <w:tcW w:w="1335" w:type="pct"/>
          </w:tcPr>
          <w:p w14:paraId="07AD1AAC" w14:textId="77777777" w:rsidR="008B1A3C" w:rsidRPr="00F07D02" w:rsidRDefault="008B1A3C">
            <w:pPr>
              <w:rPr>
                <w:lang w:eastAsia="en-AU"/>
              </w:rPr>
            </w:pPr>
            <w:r>
              <w:rPr>
                <w:lang w:eastAsia="en-AU"/>
              </w:rPr>
              <w:t xml:space="preserve">Security adviser </w:t>
            </w:r>
          </w:p>
        </w:tc>
        <w:tc>
          <w:tcPr>
            <w:tcW w:w="3665" w:type="pct"/>
          </w:tcPr>
          <w:p w14:paraId="16E4E9F1" w14:textId="0B348991" w:rsidR="008B1A3C" w:rsidRPr="00385B6B" w:rsidRDefault="008B1A3C">
            <w:pPr>
              <w:ind w:left="0"/>
              <w:rPr>
                <w:lang w:eastAsia="en-AU"/>
              </w:rPr>
            </w:pPr>
            <w:r>
              <w:rPr>
                <w:lang w:eastAsia="en-AU"/>
              </w:rPr>
              <w:t>Person employed to provide advice in relation to security equipment or principles</w:t>
            </w:r>
          </w:p>
        </w:tc>
      </w:tr>
      <w:tr w:rsidR="008B1A3C" w:rsidRPr="00F07D02" w14:paraId="42F23592" w14:textId="77777777">
        <w:tc>
          <w:tcPr>
            <w:tcW w:w="1335" w:type="pct"/>
          </w:tcPr>
          <w:p w14:paraId="0AE343FA" w14:textId="77777777" w:rsidR="008B1A3C" w:rsidRDefault="008B1A3C">
            <w:pPr>
              <w:rPr>
                <w:lang w:eastAsia="en-AU"/>
              </w:rPr>
            </w:pPr>
            <w:r>
              <w:rPr>
                <w:lang w:eastAsia="en-AU"/>
              </w:rPr>
              <w:t>Security equipment installer</w:t>
            </w:r>
          </w:p>
        </w:tc>
        <w:tc>
          <w:tcPr>
            <w:tcW w:w="3665" w:type="pct"/>
          </w:tcPr>
          <w:p w14:paraId="4BB391EE" w14:textId="67F4B4C7" w:rsidR="008B1A3C" w:rsidRDefault="008B1A3C">
            <w:pPr>
              <w:ind w:left="0"/>
              <w:rPr>
                <w:lang w:eastAsia="en-AU"/>
              </w:rPr>
            </w:pPr>
            <w:r>
              <w:rPr>
                <w:lang w:eastAsia="en-AU"/>
              </w:rPr>
              <w:t>Person employed to install, repair, service or maintain security equipment</w:t>
            </w:r>
          </w:p>
        </w:tc>
      </w:tr>
    </w:tbl>
    <w:p w14:paraId="60FE0145" w14:textId="77777777" w:rsidR="008B1A3C" w:rsidRDefault="008B1A3C" w:rsidP="008B1A3C">
      <w:pPr>
        <w:pStyle w:val="Source"/>
      </w:pPr>
      <w:r>
        <w:t xml:space="preserve">Source: Victoria Police </w:t>
      </w:r>
    </w:p>
    <w:p w14:paraId="0B83AF1A" w14:textId="1172C1D7" w:rsidR="008B1A3C" w:rsidRDefault="008B1A3C" w:rsidP="008B1A3C">
      <w:r>
        <w:t xml:space="preserve">There were over 35,000 individual </w:t>
      </w:r>
      <w:r w:rsidR="00124A2D">
        <w:t xml:space="preserve">private </w:t>
      </w:r>
      <w:r>
        <w:t xml:space="preserve">security licence holders and nearly 900 </w:t>
      </w:r>
      <w:r w:rsidR="00124A2D">
        <w:t xml:space="preserve">private </w:t>
      </w:r>
      <w:r>
        <w:t xml:space="preserve">security </w:t>
      </w:r>
      <w:r w:rsidR="00124A2D">
        <w:t xml:space="preserve">business </w:t>
      </w:r>
      <w:r>
        <w:t xml:space="preserve">licence holders in Victoria as </w:t>
      </w:r>
      <w:r w:rsidR="007F7D85">
        <w:t>of</w:t>
      </w:r>
      <w:r>
        <w:t xml:space="preserve"> 31 December 2023.</w:t>
      </w:r>
      <w:r>
        <w:rPr>
          <w:rStyle w:val="FootnoteReference"/>
        </w:rPr>
        <w:footnoteReference w:id="11"/>
      </w:r>
      <w:r>
        <w:t xml:space="preserve"> The sector experienced strong growth in 2023 with </w:t>
      </w:r>
      <w:r w:rsidR="00F125F5">
        <w:t>a 13% increase in</w:t>
      </w:r>
      <w:r>
        <w:t xml:space="preserve"> the number of individual security licence holders between 2022 and 2023. The number of licensed businesses increased by 5.6 per cent over this period. The number of individual and business registration holders only experienced a small increase of around 1 per cent in this period. As</w:t>
      </w:r>
      <w:r w:rsidR="00E60DC3">
        <w:t xml:space="preserve"> </w:t>
      </w:r>
      <w:r w:rsidR="00E60DC3">
        <w:fldChar w:fldCharType="begin"/>
      </w:r>
      <w:r w:rsidR="00E60DC3">
        <w:instrText xml:space="preserve"> REF _Ref174092827 \h </w:instrText>
      </w:r>
      <w:r w:rsidR="00E60DC3">
        <w:fldChar w:fldCharType="separate"/>
      </w:r>
      <w:r w:rsidR="009D133E">
        <w:t xml:space="preserve">Table </w:t>
      </w:r>
      <w:r w:rsidR="009D133E">
        <w:rPr>
          <w:noProof/>
        </w:rPr>
        <w:t>1</w:t>
      </w:r>
      <w:r w:rsidR="009D133E">
        <w:t>.</w:t>
      </w:r>
      <w:r w:rsidR="009D133E">
        <w:rPr>
          <w:noProof/>
        </w:rPr>
        <w:t>9</w:t>
      </w:r>
      <w:r w:rsidR="00E60DC3">
        <w:fldChar w:fldCharType="end"/>
      </w:r>
      <w:r>
        <w:t xml:space="preserve"> below shows, individuals and businesses holding licences for crowd control and security guard make up the bulk of the sector. The breakdown of individual registration holders is depicted in </w:t>
      </w:r>
      <w:r w:rsidR="00D64698">
        <w:fldChar w:fldCharType="begin"/>
      </w:r>
      <w:r w:rsidR="00D64698">
        <w:instrText xml:space="preserve"> REF _Ref174092855 \h </w:instrText>
      </w:r>
      <w:r w:rsidR="00D64698">
        <w:fldChar w:fldCharType="separate"/>
      </w:r>
      <w:r w:rsidR="009D133E">
        <w:t xml:space="preserve">Table </w:t>
      </w:r>
      <w:r w:rsidR="009D133E">
        <w:rPr>
          <w:noProof/>
        </w:rPr>
        <w:t>1</w:t>
      </w:r>
      <w:r w:rsidR="009D133E">
        <w:t>.</w:t>
      </w:r>
      <w:r w:rsidR="009D133E">
        <w:rPr>
          <w:noProof/>
        </w:rPr>
        <w:t>10</w:t>
      </w:r>
      <w:r w:rsidR="00D64698">
        <w:fldChar w:fldCharType="end"/>
      </w:r>
      <w:r>
        <w:t xml:space="preserve">. </w:t>
      </w:r>
    </w:p>
    <w:p w14:paraId="55E135A9" w14:textId="48C0EC38" w:rsidR="008B1A3C" w:rsidRDefault="008B1A3C" w:rsidP="008B1A3C">
      <w:pPr>
        <w:pStyle w:val="Caption"/>
      </w:pPr>
      <w:bookmarkStart w:id="55" w:name="_Ref174092827"/>
      <w:bookmarkStart w:id="56" w:name="_Ref169107461"/>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9</w:t>
      </w:r>
      <w:r w:rsidR="00414520">
        <w:fldChar w:fldCharType="end"/>
      </w:r>
      <w:bookmarkEnd w:id="55"/>
      <w:r w:rsidRPr="002A09A7">
        <w:t>:</w:t>
      </w:r>
      <w:r>
        <w:t xml:space="preserve"> </w:t>
      </w:r>
      <w:r w:rsidRPr="002A09A7">
        <w:t>Breakdown of private security licence holders as on 31 December 2023</w:t>
      </w:r>
      <w:bookmarkEnd w:id="56"/>
    </w:p>
    <w:tbl>
      <w:tblPr>
        <w:tblStyle w:val="Deloittetable1"/>
        <w:tblW w:w="5000" w:type="pct"/>
        <w:tblLook w:val="04A0" w:firstRow="1" w:lastRow="0" w:firstColumn="1" w:lastColumn="0" w:noHBand="0" w:noVBand="1"/>
      </w:tblPr>
      <w:tblGrid>
        <w:gridCol w:w="3212"/>
        <w:gridCol w:w="3213"/>
        <w:gridCol w:w="3213"/>
      </w:tblGrid>
      <w:tr w:rsidR="008B1A3C" w:rsidRPr="00F07D02" w14:paraId="47027C57" w14:textId="77777777" w:rsidTr="00477450">
        <w:trPr>
          <w:cnfStyle w:val="100000000000" w:firstRow="1" w:lastRow="0" w:firstColumn="0" w:lastColumn="0" w:oddVBand="0" w:evenVBand="0" w:oddHBand="0" w:evenHBand="0" w:firstRowFirstColumn="0" w:firstRowLastColumn="0" w:lastRowFirstColumn="0" w:lastRowLastColumn="0"/>
          <w:tblHeader/>
        </w:trPr>
        <w:tc>
          <w:tcPr>
            <w:tcW w:w="1666" w:type="pct"/>
          </w:tcPr>
          <w:p w14:paraId="3BD47D98" w14:textId="77777777" w:rsidR="008B1A3C" w:rsidRPr="00477450" w:rsidRDefault="008B1A3C">
            <w:pPr>
              <w:jc w:val="both"/>
              <w:rPr>
                <w:b/>
                <w:lang w:eastAsia="en-AU"/>
              </w:rPr>
            </w:pPr>
            <w:r w:rsidRPr="00477450">
              <w:rPr>
                <w:b/>
                <w:lang w:eastAsia="en-AU"/>
              </w:rPr>
              <w:t xml:space="preserve">Activity /Activities </w:t>
            </w:r>
          </w:p>
        </w:tc>
        <w:tc>
          <w:tcPr>
            <w:tcW w:w="1667" w:type="pct"/>
          </w:tcPr>
          <w:p w14:paraId="61E30AF5" w14:textId="2AD515CA" w:rsidR="008B1A3C" w:rsidRPr="00477450" w:rsidRDefault="008B1A3C" w:rsidP="00477450">
            <w:pPr>
              <w:jc w:val="center"/>
              <w:rPr>
                <w:b/>
                <w:lang w:eastAsia="en-AU"/>
              </w:rPr>
            </w:pPr>
            <w:r w:rsidRPr="00477450">
              <w:rPr>
                <w:b/>
                <w:lang w:eastAsia="en-AU"/>
              </w:rPr>
              <w:t>Number of individual licence holders</w:t>
            </w:r>
          </w:p>
        </w:tc>
        <w:tc>
          <w:tcPr>
            <w:tcW w:w="1667" w:type="pct"/>
          </w:tcPr>
          <w:p w14:paraId="5E283191" w14:textId="4BB1A40C" w:rsidR="008B1A3C" w:rsidRPr="00477450" w:rsidRDefault="008B1A3C" w:rsidP="00477450">
            <w:pPr>
              <w:jc w:val="center"/>
              <w:rPr>
                <w:b/>
                <w:lang w:eastAsia="en-AU"/>
              </w:rPr>
            </w:pPr>
            <w:r w:rsidRPr="00477450">
              <w:rPr>
                <w:b/>
                <w:lang w:eastAsia="en-AU"/>
              </w:rPr>
              <w:t>Number of business licence holders</w:t>
            </w:r>
          </w:p>
        </w:tc>
      </w:tr>
      <w:tr w:rsidR="008B1A3C" w:rsidRPr="00F07D02" w14:paraId="25EF3591" w14:textId="77777777" w:rsidTr="00477450">
        <w:tc>
          <w:tcPr>
            <w:tcW w:w="1666" w:type="pct"/>
          </w:tcPr>
          <w:p w14:paraId="4568E854" w14:textId="3A15A413" w:rsidR="008B1A3C" w:rsidRPr="00F07D02" w:rsidRDefault="008B1A3C">
            <w:pPr>
              <w:rPr>
                <w:lang w:eastAsia="en-AU"/>
              </w:rPr>
            </w:pPr>
            <w:r>
              <w:rPr>
                <w:lang w:eastAsia="en-AU"/>
              </w:rPr>
              <w:t xml:space="preserve">Security guard </w:t>
            </w:r>
          </w:p>
        </w:tc>
        <w:tc>
          <w:tcPr>
            <w:tcW w:w="1667" w:type="pct"/>
          </w:tcPr>
          <w:p w14:paraId="64A5A65F" w14:textId="77777777" w:rsidR="008B1A3C" w:rsidRPr="000D6839" w:rsidRDefault="008B1A3C" w:rsidP="00477450">
            <w:pPr>
              <w:pStyle w:val="ListParagraph"/>
              <w:ind w:left="417"/>
              <w:jc w:val="center"/>
              <w:rPr>
                <w:lang w:eastAsia="en-AU"/>
              </w:rPr>
            </w:pPr>
            <w:r>
              <w:rPr>
                <w:lang w:eastAsia="en-AU"/>
              </w:rPr>
              <w:t>1,054</w:t>
            </w:r>
          </w:p>
        </w:tc>
        <w:tc>
          <w:tcPr>
            <w:tcW w:w="1667" w:type="pct"/>
          </w:tcPr>
          <w:p w14:paraId="41EC6BC5" w14:textId="77777777" w:rsidR="008B1A3C" w:rsidRDefault="008B1A3C" w:rsidP="00477450">
            <w:pPr>
              <w:pStyle w:val="ListParagraph"/>
              <w:ind w:left="417"/>
              <w:jc w:val="center"/>
              <w:rPr>
                <w:lang w:eastAsia="en-AU"/>
              </w:rPr>
            </w:pPr>
            <w:r>
              <w:rPr>
                <w:lang w:eastAsia="en-AU"/>
              </w:rPr>
              <w:t>164</w:t>
            </w:r>
          </w:p>
        </w:tc>
      </w:tr>
      <w:tr w:rsidR="008B1A3C" w:rsidRPr="00F07D02" w14:paraId="0D9ED411" w14:textId="77777777" w:rsidTr="00477450">
        <w:tc>
          <w:tcPr>
            <w:tcW w:w="1666" w:type="pct"/>
          </w:tcPr>
          <w:p w14:paraId="64E6BCB6" w14:textId="51498E44" w:rsidR="008B1A3C" w:rsidRPr="00743F6E" w:rsidRDefault="008B1A3C" w:rsidP="00477450">
            <w:pPr>
              <w:rPr>
                <w:lang w:eastAsia="en-AU"/>
              </w:rPr>
            </w:pPr>
            <w:r>
              <w:rPr>
                <w:lang w:eastAsia="en-AU"/>
              </w:rPr>
              <w:t xml:space="preserve">Crowd controller </w:t>
            </w:r>
          </w:p>
        </w:tc>
        <w:tc>
          <w:tcPr>
            <w:tcW w:w="1667" w:type="pct"/>
          </w:tcPr>
          <w:p w14:paraId="02E28570" w14:textId="77777777" w:rsidR="008B1A3C" w:rsidRPr="00FA4C26" w:rsidRDefault="008B1A3C" w:rsidP="00477450">
            <w:pPr>
              <w:pStyle w:val="ListParagraph"/>
              <w:ind w:left="417"/>
              <w:jc w:val="center"/>
              <w:rPr>
                <w:lang w:eastAsia="en-AU"/>
              </w:rPr>
            </w:pPr>
            <w:r>
              <w:rPr>
                <w:lang w:eastAsia="en-AU"/>
              </w:rPr>
              <w:t>210</w:t>
            </w:r>
          </w:p>
        </w:tc>
        <w:tc>
          <w:tcPr>
            <w:tcW w:w="1667" w:type="pct"/>
          </w:tcPr>
          <w:p w14:paraId="4725BBB4" w14:textId="1ECFD9D8" w:rsidR="008B1A3C" w:rsidRDefault="008B1A3C" w:rsidP="00477450">
            <w:pPr>
              <w:pStyle w:val="ListParagraph"/>
              <w:ind w:left="417"/>
              <w:jc w:val="center"/>
              <w:rPr>
                <w:lang w:eastAsia="en-AU"/>
              </w:rPr>
            </w:pPr>
            <w:r>
              <w:rPr>
                <w:lang w:eastAsia="en-AU"/>
              </w:rPr>
              <w:t>-</w:t>
            </w:r>
          </w:p>
        </w:tc>
      </w:tr>
      <w:tr w:rsidR="008B1A3C" w:rsidRPr="00F07D02" w14:paraId="2A0305F0" w14:textId="77777777" w:rsidTr="00477450">
        <w:tc>
          <w:tcPr>
            <w:tcW w:w="1666" w:type="pct"/>
          </w:tcPr>
          <w:p w14:paraId="213A5B55" w14:textId="0EF6E7A3" w:rsidR="008B1A3C" w:rsidRPr="00344352" w:rsidRDefault="008B1A3C" w:rsidP="00477450">
            <w:pPr>
              <w:rPr>
                <w:lang w:eastAsia="en-AU"/>
              </w:rPr>
            </w:pPr>
            <w:r>
              <w:rPr>
                <w:lang w:eastAsia="en-AU"/>
              </w:rPr>
              <w:t xml:space="preserve">Investigators </w:t>
            </w:r>
          </w:p>
        </w:tc>
        <w:tc>
          <w:tcPr>
            <w:tcW w:w="1667" w:type="pct"/>
          </w:tcPr>
          <w:p w14:paraId="56CE8679" w14:textId="77777777" w:rsidR="008B1A3C" w:rsidRPr="0071525F" w:rsidRDefault="008B1A3C" w:rsidP="00477450">
            <w:pPr>
              <w:pStyle w:val="ListParagraph"/>
              <w:ind w:left="417"/>
              <w:jc w:val="center"/>
              <w:rPr>
                <w:lang w:eastAsia="en-AU"/>
              </w:rPr>
            </w:pPr>
            <w:r>
              <w:rPr>
                <w:lang w:eastAsia="en-AU"/>
              </w:rPr>
              <w:t>884</w:t>
            </w:r>
          </w:p>
        </w:tc>
        <w:tc>
          <w:tcPr>
            <w:tcW w:w="1667" w:type="pct"/>
          </w:tcPr>
          <w:p w14:paraId="4C09AB72" w14:textId="77777777" w:rsidR="008B1A3C" w:rsidRPr="0071525F" w:rsidRDefault="008B1A3C" w:rsidP="00477450">
            <w:pPr>
              <w:pStyle w:val="ListParagraph"/>
              <w:ind w:left="417"/>
              <w:jc w:val="center"/>
              <w:rPr>
                <w:lang w:eastAsia="en-AU"/>
              </w:rPr>
            </w:pPr>
            <w:r>
              <w:rPr>
                <w:lang w:eastAsia="en-AU"/>
              </w:rPr>
              <w:t>85</w:t>
            </w:r>
          </w:p>
        </w:tc>
      </w:tr>
      <w:tr w:rsidR="008B1A3C" w:rsidRPr="00F07D02" w14:paraId="4871B6CE" w14:textId="77777777" w:rsidTr="00477450">
        <w:tc>
          <w:tcPr>
            <w:tcW w:w="1666" w:type="pct"/>
          </w:tcPr>
          <w:p w14:paraId="510793A4" w14:textId="097D2493" w:rsidR="008B1A3C" w:rsidRDefault="008B1A3C" w:rsidP="00477450">
            <w:pPr>
              <w:rPr>
                <w:lang w:eastAsia="en-AU"/>
              </w:rPr>
            </w:pPr>
            <w:r>
              <w:rPr>
                <w:lang w:eastAsia="en-AU"/>
              </w:rPr>
              <w:t xml:space="preserve">Private security trainer </w:t>
            </w:r>
          </w:p>
        </w:tc>
        <w:tc>
          <w:tcPr>
            <w:tcW w:w="1667" w:type="pct"/>
          </w:tcPr>
          <w:p w14:paraId="2AB7D10C" w14:textId="21ABC22E" w:rsidR="008B1A3C" w:rsidRDefault="008B1A3C" w:rsidP="00477450">
            <w:pPr>
              <w:pStyle w:val="ListParagraph"/>
              <w:ind w:left="417"/>
              <w:jc w:val="center"/>
              <w:rPr>
                <w:lang w:eastAsia="en-AU"/>
              </w:rPr>
            </w:pPr>
            <w:r>
              <w:rPr>
                <w:lang w:eastAsia="en-AU"/>
              </w:rPr>
              <w:t>-</w:t>
            </w:r>
          </w:p>
        </w:tc>
        <w:tc>
          <w:tcPr>
            <w:tcW w:w="1667" w:type="pct"/>
          </w:tcPr>
          <w:p w14:paraId="68DB845C" w14:textId="77777777" w:rsidR="008B1A3C" w:rsidRDefault="008B1A3C" w:rsidP="00477450">
            <w:pPr>
              <w:pStyle w:val="ListParagraph"/>
              <w:ind w:left="417"/>
              <w:jc w:val="center"/>
              <w:rPr>
                <w:lang w:eastAsia="en-AU"/>
              </w:rPr>
            </w:pPr>
            <w:r>
              <w:rPr>
                <w:lang w:eastAsia="en-AU"/>
              </w:rPr>
              <w:t>23</w:t>
            </w:r>
          </w:p>
        </w:tc>
      </w:tr>
      <w:tr w:rsidR="008B1A3C" w:rsidRPr="00F07D02" w14:paraId="314EEFBF" w14:textId="77777777" w:rsidTr="00477450">
        <w:tc>
          <w:tcPr>
            <w:tcW w:w="1666" w:type="pct"/>
          </w:tcPr>
          <w:p w14:paraId="4D7EE091" w14:textId="6FCCCC47" w:rsidR="008B1A3C" w:rsidRPr="00E85F9B" w:rsidRDefault="008B1A3C" w:rsidP="00477450">
            <w:pPr>
              <w:rPr>
                <w:lang w:eastAsia="en-AU"/>
              </w:rPr>
            </w:pPr>
            <w:r>
              <w:rPr>
                <w:lang w:eastAsia="en-AU"/>
              </w:rPr>
              <w:lastRenderedPageBreak/>
              <w:t xml:space="preserve">Crowd controller, security guard </w:t>
            </w:r>
          </w:p>
        </w:tc>
        <w:tc>
          <w:tcPr>
            <w:tcW w:w="1667" w:type="pct"/>
          </w:tcPr>
          <w:p w14:paraId="1779EB74" w14:textId="77777777" w:rsidR="008B1A3C" w:rsidRPr="00880FB2" w:rsidRDefault="008B1A3C" w:rsidP="00477450">
            <w:pPr>
              <w:pStyle w:val="ListParagraph"/>
              <w:ind w:left="417"/>
              <w:jc w:val="center"/>
              <w:rPr>
                <w:lang w:eastAsia="en-AU"/>
              </w:rPr>
            </w:pPr>
            <w:r>
              <w:rPr>
                <w:lang w:eastAsia="en-AU"/>
              </w:rPr>
              <w:t>31,517</w:t>
            </w:r>
          </w:p>
        </w:tc>
        <w:tc>
          <w:tcPr>
            <w:tcW w:w="1667" w:type="pct"/>
          </w:tcPr>
          <w:p w14:paraId="3B4A6D46" w14:textId="77777777" w:rsidR="008B1A3C" w:rsidRPr="00880FB2" w:rsidRDefault="008B1A3C" w:rsidP="00477450">
            <w:pPr>
              <w:pStyle w:val="ListParagraph"/>
              <w:ind w:left="417"/>
              <w:jc w:val="center"/>
              <w:rPr>
                <w:lang w:eastAsia="en-AU"/>
              </w:rPr>
            </w:pPr>
            <w:r>
              <w:rPr>
                <w:lang w:eastAsia="en-AU"/>
              </w:rPr>
              <w:t>439</w:t>
            </w:r>
          </w:p>
        </w:tc>
      </w:tr>
      <w:tr w:rsidR="008B1A3C" w:rsidRPr="00F07D02" w14:paraId="192C5686" w14:textId="77777777" w:rsidTr="00477450">
        <w:tc>
          <w:tcPr>
            <w:tcW w:w="1666" w:type="pct"/>
          </w:tcPr>
          <w:p w14:paraId="3C5039A5" w14:textId="3AC1C79B" w:rsidR="008B1A3C" w:rsidRDefault="008B1A3C" w:rsidP="00477450">
            <w:pPr>
              <w:rPr>
                <w:lang w:eastAsia="en-AU"/>
              </w:rPr>
            </w:pPr>
            <w:r>
              <w:rPr>
                <w:lang w:eastAsia="en-AU"/>
              </w:rPr>
              <w:t xml:space="preserve">Bodyguard, crowd controller, security guard </w:t>
            </w:r>
          </w:p>
        </w:tc>
        <w:tc>
          <w:tcPr>
            <w:tcW w:w="1667" w:type="pct"/>
          </w:tcPr>
          <w:p w14:paraId="6CC03ED0" w14:textId="77777777" w:rsidR="008B1A3C" w:rsidRDefault="008B1A3C" w:rsidP="00477450">
            <w:pPr>
              <w:pStyle w:val="ListParagraph"/>
              <w:ind w:left="417"/>
              <w:jc w:val="center"/>
              <w:rPr>
                <w:lang w:eastAsia="en-AU"/>
              </w:rPr>
            </w:pPr>
            <w:r>
              <w:rPr>
                <w:lang w:eastAsia="en-AU"/>
              </w:rPr>
              <w:t>835</w:t>
            </w:r>
          </w:p>
        </w:tc>
        <w:tc>
          <w:tcPr>
            <w:tcW w:w="1667" w:type="pct"/>
          </w:tcPr>
          <w:p w14:paraId="2636A388" w14:textId="55452ECF" w:rsidR="008B1A3C" w:rsidRPr="00880FB2" w:rsidRDefault="008B1A3C" w:rsidP="00477450">
            <w:pPr>
              <w:pStyle w:val="ListParagraph"/>
              <w:ind w:left="417"/>
              <w:jc w:val="center"/>
              <w:rPr>
                <w:lang w:eastAsia="en-AU"/>
              </w:rPr>
            </w:pPr>
            <w:r>
              <w:rPr>
                <w:lang w:eastAsia="en-AU"/>
              </w:rPr>
              <w:t>-</w:t>
            </w:r>
          </w:p>
        </w:tc>
      </w:tr>
      <w:tr w:rsidR="008B1A3C" w:rsidRPr="00F07D02" w14:paraId="4A7DA69B" w14:textId="77777777" w:rsidTr="00477450">
        <w:tc>
          <w:tcPr>
            <w:tcW w:w="1666" w:type="pct"/>
          </w:tcPr>
          <w:p w14:paraId="55001C68" w14:textId="203CD029" w:rsidR="008B1A3C" w:rsidRDefault="008B1A3C" w:rsidP="00477450">
            <w:pPr>
              <w:rPr>
                <w:lang w:eastAsia="en-AU"/>
              </w:rPr>
            </w:pPr>
            <w:r>
              <w:rPr>
                <w:lang w:eastAsia="en-AU"/>
              </w:rPr>
              <w:t xml:space="preserve">Crowd controller, investigator, security guard </w:t>
            </w:r>
          </w:p>
        </w:tc>
        <w:tc>
          <w:tcPr>
            <w:tcW w:w="1667" w:type="pct"/>
          </w:tcPr>
          <w:p w14:paraId="004EB7CC" w14:textId="77777777" w:rsidR="008B1A3C" w:rsidRDefault="008B1A3C" w:rsidP="00477450">
            <w:pPr>
              <w:pStyle w:val="ListParagraph"/>
              <w:ind w:left="417"/>
              <w:jc w:val="center"/>
              <w:rPr>
                <w:lang w:eastAsia="en-AU"/>
              </w:rPr>
            </w:pPr>
            <w:r>
              <w:rPr>
                <w:lang w:eastAsia="en-AU"/>
              </w:rPr>
              <w:t>284</w:t>
            </w:r>
          </w:p>
        </w:tc>
        <w:tc>
          <w:tcPr>
            <w:tcW w:w="1667" w:type="pct"/>
          </w:tcPr>
          <w:p w14:paraId="66EDC3CE" w14:textId="77777777" w:rsidR="008B1A3C" w:rsidRPr="00880FB2" w:rsidRDefault="008B1A3C" w:rsidP="00477450">
            <w:pPr>
              <w:pStyle w:val="ListParagraph"/>
              <w:ind w:left="417"/>
              <w:jc w:val="center"/>
              <w:rPr>
                <w:lang w:eastAsia="en-AU"/>
              </w:rPr>
            </w:pPr>
            <w:r>
              <w:rPr>
                <w:lang w:eastAsia="en-AU"/>
              </w:rPr>
              <w:t>30</w:t>
            </w:r>
          </w:p>
        </w:tc>
      </w:tr>
      <w:tr w:rsidR="008B1A3C" w:rsidRPr="00F07D02" w14:paraId="5F42CBEE" w14:textId="77777777" w:rsidTr="00477450">
        <w:tc>
          <w:tcPr>
            <w:tcW w:w="1666" w:type="pct"/>
          </w:tcPr>
          <w:p w14:paraId="516D5855" w14:textId="4BC72EA6" w:rsidR="008B1A3C" w:rsidRDefault="008B1A3C" w:rsidP="00477450">
            <w:pPr>
              <w:rPr>
                <w:lang w:eastAsia="en-AU"/>
              </w:rPr>
            </w:pPr>
            <w:r>
              <w:rPr>
                <w:lang w:eastAsia="en-AU"/>
              </w:rPr>
              <w:t xml:space="preserve">Private security trainer, crowd controller, security guard </w:t>
            </w:r>
          </w:p>
        </w:tc>
        <w:tc>
          <w:tcPr>
            <w:tcW w:w="1667" w:type="pct"/>
          </w:tcPr>
          <w:p w14:paraId="6AE28E6A" w14:textId="77777777" w:rsidR="008B1A3C" w:rsidRDefault="008B1A3C" w:rsidP="00477450">
            <w:pPr>
              <w:pStyle w:val="ListParagraph"/>
              <w:ind w:left="417"/>
              <w:jc w:val="center"/>
              <w:rPr>
                <w:lang w:eastAsia="en-AU"/>
              </w:rPr>
            </w:pPr>
            <w:r>
              <w:rPr>
                <w:lang w:eastAsia="en-AU"/>
              </w:rPr>
              <w:t>151</w:t>
            </w:r>
          </w:p>
        </w:tc>
        <w:tc>
          <w:tcPr>
            <w:tcW w:w="1667" w:type="pct"/>
          </w:tcPr>
          <w:p w14:paraId="107E7B09" w14:textId="5A219BB5" w:rsidR="008B1A3C" w:rsidRPr="00880FB2" w:rsidRDefault="008B1A3C" w:rsidP="00477450">
            <w:pPr>
              <w:pStyle w:val="ListParagraph"/>
              <w:ind w:left="417"/>
              <w:jc w:val="center"/>
              <w:rPr>
                <w:lang w:eastAsia="en-AU"/>
              </w:rPr>
            </w:pPr>
            <w:r>
              <w:rPr>
                <w:lang w:eastAsia="en-AU"/>
              </w:rPr>
              <w:t>-</w:t>
            </w:r>
          </w:p>
        </w:tc>
      </w:tr>
      <w:tr w:rsidR="008B1A3C" w:rsidRPr="00F07D02" w14:paraId="166F2656" w14:textId="77777777" w:rsidTr="00477450">
        <w:tc>
          <w:tcPr>
            <w:tcW w:w="1666" w:type="pct"/>
          </w:tcPr>
          <w:p w14:paraId="20964420" w14:textId="4C04C223" w:rsidR="008B1A3C" w:rsidRDefault="008B1A3C" w:rsidP="00477450">
            <w:pPr>
              <w:rPr>
                <w:lang w:eastAsia="en-AU"/>
              </w:rPr>
            </w:pPr>
            <w:r>
              <w:rPr>
                <w:lang w:eastAsia="en-AU"/>
              </w:rPr>
              <w:t xml:space="preserve">Other </w:t>
            </w:r>
          </w:p>
        </w:tc>
        <w:tc>
          <w:tcPr>
            <w:tcW w:w="1667" w:type="pct"/>
          </w:tcPr>
          <w:p w14:paraId="3FC05139" w14:textId="77777777" w:rsidR="008B1A3C" w:rsidRDefault="008B1A3C" w:rsidP="00477450">
            <w:pPr>
              <w:pStyle w:val="ListParagraph"/>
              <w:ind w:left="417"/>
              <w:jc w:val="center"/>
              <w:rPr>
                <w:lang w:eastAsia="en-AU"/>
              </w:rPr>
            </w:pPr>
            <w:r>
              <w:rPr>
                <w:lang w:eastAsia="en-AU"/>
              </w:rPr>
              <w:t>318</w:t>
            </w:r>
          </w:p>
        </w:tc>
        <w:tc>
          <w:tcPr>
            <w:tcW w:w="1667" w:type="pct"/>
          </w:tcPr>
          <w:p w14:paraId="4FF8CA21" w14:textId="78EF4D01" w:rsidR="008B1A3C" w:rsidRPr="00880FB2" w:rsidRDefault="008B1A3C" w:rsidP="00477450">
            <w:pPr>
              <w:jc w:val="center"/>
              <w:rPr>
                <w:lang w:eastAsia="en-AU"/>
              </w:rPr>
            </w:pPr>
            <w:r>
              <w:rPr>
                <w:lang w:eastAsia="en-AU"/>
              </w:rPr>
              <w:t>138</w:t>
            </w:r>
          </w:p>
        </w:tc>
      </w:tr>
      <w:tr w:rsidR="008B1A3C" w:rsidRPr="00F07D02" w14:paraId="1A34E3E1" w14:textId="77777777" w:rsidTr="00477450">
        <w:tc>
          <w:tcPr>
            <w:tcW w:w="1666" w:type="pct"/>
          </w:tcPr>
          <w:p w14:paraId="411E7C9F" w14:textId="77777777" w:rsidR="008B1A3C" w:rsidRPr="007C0596" w:rsidRDefault="008B1A3C">
            <w:pPr>
              <w:jc w:val="both"/>
              <w:rPr>
                <w:b/>
                <w:bCs/>
                <w:lang w:eastAsia="en-AU"/>
              </w:rPr>
            </w:pPr>
            <w:r w:rsidRPr="007C0596">
              <w:rPr>
                <w:b/>
                <w:bCs/>
                <w:lang w:eastAsia="en-AU"/>
              </w:rPr>
              <w:t>Total</w:t>
            </w:r>
          </w:p>
        </w:tc>
        <w:tc>
          <w:tcPr>
            <w:tcW w:w="1667" w:type="pct"/>
          </w:tcPr>
          <w:p w14:paraId="499FAF43" w14:textId="77777777" w:rsidR="008B1A3C" w:rsidRPr="007C0596" w:rsidRDefault="008B1A3C" w:rsidP="00477450">
            <w:pPr>
              <w:pStyle w:val="ListParagraph"/>
              <w:ind w:left="417"/>
              <w:jc w:val="center"/>
              <w:rPr>
                <w:b/>
                <w:bCs/>
                <w:lang w:eastAsia="en-AU"/>
              </w:rPr>
            </w:pPr>
            <w:r w:rsidRPr="007C0596">
              <w:rPr>
                <w:b/>
                <w:bCs/>
                <w:lang w:eastAsia="en-AU"/>
              </w:rPr>
              <w:t>35,249</w:t>
            </w:r>
          </w:p>
        </w:tc>
        <w:tc>
          <w:tcPr>
            <w:tcW w:w="1667" w:type="pct"/>
          </w:tcPr>
          <w:p w14:paraId="0E136C78" w14:textId="0F6A07BE" w:rsidR="008B1A3C" w:rsidRPr="007C0596" w:rsidRDefault="008B1A3C" w:rsidP="00477450">
            <w:pPr>
              <w:jc w:val="center"/>
              <w:rPr>
                <w:b/>
                <w:bCs/>
                <w:lang w:eastAsia="en-AU"/>
              </w:rPr>
            </w:pPr>
            <w:r w:rsidRPr="007C0596">
              <w:rPr>
                <w:b/>
                <w:bCs/>
                <w:lang w:eastAsia="en-AU"/>
              </w:rPr>
              <w:t>879</w:t>
            </w:r>
          </w:p>
        </w:tc>
      </w:tr>
    </w:tbl>
    <w:p w14:paraId="7A16EF9F" w14:textId="31C828A2" w:rsidR="008B1A3C" w:rsidRPr="005202C3" w:rsidRDefault="008B1A3C" w:rsidP="008B1A3C">
      <w:pPr>
        <w:pStyle w:val="Source"/>
      </w:pPr>
      <w:r>
        <w:t xml:space="preserve">Source: Australian Security Industry </w:t>
      </w:r>
      <w:r w:rsidR="00AE54EF">
        <w:t xml:space="preserve">Licensing </w:t>
      </w:r>
      <w:r>
        <w:t xml:space="preserve">Report 2024. </w:t>
      </w:r>
    </w:p>
    <w:p w14:paraId="5CF3B280" w14:textId="15644134" w:rsidR="008B1A3C" w:rsidRDefault="008B1A3C" w:rsidP="008B1A3C">
      <w:pPr>
        <w:pStyle w:val="Caption"/>
      </w:pPr>
      <w:bookmarkStart w:id="57" w:name="_Ref174092855"/>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10</w:t>
      </w:r>
      <w:r w:rsidR="00414520">
        <w:fldChar w:fldCharType="end"/>
      </w:r>
      <w:bookmarkEnd w:id="57"/>
      <w:r w:rsidRPr="00083CCB">
        <w:t>:</w:t>
      </w:r>
      <w:r>
        <w:t xml:space="preserve"> Breakdown of private security registration holders as on 31 December 2023</w:t>
      </w:r>
    </w:p>
    <w:tbl>
      <w:tblPr>
        <w:tblStyle w:val="Deloittetable1"/>
        <w:tblW w:w="5000" w:type="pct"/>
        <w:tblLook w:val="04A0" w:firstRow="1" w:lastRow="0" w:firstColumn="1" w:lastColumn="0" w:noHBand="0" w:noVBand="1"/>
      </w:tblPr>
      <w:tblGrid>
        <w:gridCol w:w="6265"/>
        <w:gridCol w:w="3373"/>
      </w:tblGrid>
      <w:tr w:rsidR="008B1A3C" w:rsidRPr="00F07D02" w14:paraId="1D241F8B" w14:textId="77777777">
        <w:trPr>
          <w:cnfStyle w:val="100000000000" w:firstRow="1" w:lastRow="0" w:firstColumn="0" w:lastColumn="0" w:oddVBand="0" w:evenVBand="0" w:oddHBand="0" w:evenHBand="0" w:firstRowFirstColumn="0" w:firstRowLastColumn="0" w:lastRowFirstColumn="0" w:lastRowLastColumn="0"/>
        </w:trPr>
        <w:tc>
          <w:tcPr>
            <w:tcW w:w="3250" w:type="pct"/>
          </w:tcPr>
          <w:p w14:paraId="0C13CF91" w14:textId="77777777" w:rsidR="008B1A3C" w:rsidRPr="0059190D" w:rsidRDefault="008B1A3C">
            <w:pPr>
              <w:jc w:val="both"/>
              <w:rPr>
                <w:b/>
                <w:lang w:eastAsia="en-AU"/>
              </w:rPr>
            </w:pPr>
            <w:r w:rsidRPr="0059190D">
              <w:rPr>
                <w:b/>
                <w:lang w:eastAsia="en-AU"/>
              </w:rPr>
              <w:t xml:space="preserve">Activity /Activities </w:t>
            </w:r>
          </w:p>
        </w:tc>
        <w:tc>
          <w:tcPr>
            <w:tcW w:w="1750" w:type="pct"/>
          </w:tcPr>
          <w:p w14:paraId="6F0E92D6" w14:textId="3CEF1C30" w:rsidR="008B1A3C" w:rsidRPr="0059190D" w:rsidRDefault="008B1A3C" w:rsidP="0059190D">
            <w:pPr>
              <w:jc w:val="center"/>
              <w:rPr>
                <w:b/>
                <w:lang w:eastAsia="en-AU"/>
              </w:rPr>
            </w:pPr>
            <w:r w:rsidRPr="0059190D">
              <w:rPr>
                <w:b/>
                <w:lang w:eastAsia="en-AU"/>
              </w:rPr>
              <w:t>Number of individual licence holders</w:t>
            </w:r>
          </w:p>
        </w:tc>
      </w:tr>
      <w:tr w:rsidR="008B1A3C" w:rsidRPr="00F07D02" w14:paraId="0AC24AF4" w14:textId="77777777">
        <w:tc>
          <w:tcPr>
            <w:tcW w:w="3250" w:type="pct"/>
          </w:tcPr>
          <w:p w14:paraId="0DDADE75" w14:textId="77777777" w:rsidR="008B1A3C" w:rsidRPr="00F07D02" w:rsidRDefault="008B1A3C">
            <w:pPr>
              <w:rPr>
                <w:lang w:eastAsia="en-AU"/>
              </w:rPr>
            </w:pPr>
            <w:r>
              <w:rPr>
                <w:lang w:eastAsia="en-AU"/>
              </w:rPr>
              <w:t>Security advisor</w:t>
            </w:r>
          </w:p>
        </w:tc>
        <w:tc>
          <w:tcPr>
            <w:tcW w:w="1750" w:type="pct"/>
          </w:tcPr>
          <w:p w14:paraId="2094E282" w14:textId="77777777" w:rsidR="008B1A3C" w:rsidRPr="000D6839" w:rsidRDefault="008B1A3C" w:rsidP="0059190D">
            <w:pPr>
              <w:ind w:left="0"/>
              <w:jc w:val="center"/>
              <w:rPr>
                <w:lang w:eastAsia="en-AU"/>
              </w:rPr>
            </w:pPr>
            <w:r>
              <w:rPr>
                <w:lang w:eastAsia="en-AU"/>
              </w:rPr>
              <w:t>563</w:t>
            </w:r>
          </w:p>
        </w:tc>
      </w:tr>
      <w:tr w:rsidR="008B1A3C" w:rsidRPr="00F07D02" w14:paraId="1412AD34" w14:textId="77777777">
        <w:tc>
          <w:tcPr>
            <w:tcW w:w="3250" w:type="pct"/>
          </w:tcPr>
          <w:p w14:paraId="5AC22F2E" w14:textId="77777777" w:rsidR="008B1A3C" w:rsidRPr="00743F6E" w:rsidRDefault="008B1A3C" w:rsidP="00765BE8">
            <w:pPr>
              <w:rPr>
                <w:lang w:eastAsia="en-AU"/>
              </w:rPr>
            </w:pPr>
            <w:r w:rsidRPr="001107A4">
              <w:rPr>
                <w:lang w:eastAsia="en-AU"/>
              </w:rPr>
              <w:t>Security equipment installer</w:t>
            </w:r>
          </w:p>
        </w:tc>
        <w:tc>
          <w:tcPr>
            <w:tcW w:w="1750" w:type="pct"/>
          </w:tcPr>
          <w:p w14:paraId="6698EEEB" w14:textId="3C192EA9" w:rsidR="008B1A3C" w:rsidRPr="003E5069" w:rsidRDefault="008B1A3C" w:rsidP="0059190D">
            <w:pPr>
              <w:ind w:left="0"/>
              <w:jc w:val="center"/>
              <w:rPr>
                <w:b/>
                <w:lang w:eastAsia="en-AU"/>
              </w:rPr>
            </w:pPr>
            <w:r w:rsidRPr="003E5069">
              <w:rPr>
                <w:lang w:eastAsia="en-AU"/>
              </w:rPr>
              <w:t>1,462</w:t>
            </w:r>
          </w:p>
        </w:tc>
      </w:tr>
      <w:tr w:rsidR="008B1A3C" w:rsidRPr="00F07D02" w14:paraId="35D0E675" w14:textId="77777777">
        <w:tc>
          <w:tcPr>
            <w:tcW w:w="3250" w:type="pct"/>
          </w:tcPr>
          <w:p w14:paraId="2B8B52B9" w14:textId="77777777" w:rsidR="008B1A3C" w:rsidRPr="00344352" w:rsidRDefault="008B1A3C">
            <w:pPr>
              <w:jc w:val="both"/>
              <w:rPr>
                <w:lang w:eastAsia="en-AU"/>
              </w:rPr>
            </w:pPr>
            <w:r>
              <w:rPr>
                <w:lang w:eastAsia="en-AU"/>
              </w:rPr>
              <w:t>Security advisor, security equipment installer</w:t>
            </w:r>
          </w:p>
        </w:tc>
        <w:tc>
          <w:tcPr>
            <w:tcW w:w="1750" w:type="pct"/>
          </w:tcPr>
          <w:p w14:paraId="1AF14AD7" w14:textId="77777777" w:rsidR="008B1A3C" w:rsidRPr="0071525F" w:rsidRDefault="008B1A3C" w:rsidP="0059190D">
            <w:pPr>
              <w:ind w:left="0"/>
              <w:jc w:val="center"/>
              <w:rPr>
                <w:lang w:eastAsia="en-AU"/>
              </w:rPr>
            </w:pPr>
            <w:r>
              <w:rPr>
                <w:lang w:eastAsia="en-AU"/>
              </w:rPr>
              <w:t>2,601</w:t>
            </w:r>
          </w:p>
        </w:tc>
      </w:tr>
      <w:tr w:rsidR="008B1A3C" w:rsidRPr="00F07D02" w14:paraId="38A4AAD4" w14:textId="77777777">
        <w:tc>
          <w:tcPr>
            <w:tcW w:w="3250" w:type="pct"/>
          </w:tcPr>
          <w:p w14:paraId="2A25F3DE" w14:textId="77777777" w:rsidR="008B1A3C" w:rsidRPr="007C0596" w:rsidRDefault="008B1A3C">
            <w:pPr>
              <w:jc w:val="both"/>
              <w:rPr>
                <w:b/>
                <w:bCs/>
                <w:lang w:eastAsia="en-AU"/>
              </w:rPr>
            </w:pPr>
            <w:r w:rsidRPr="007C0596">
              <w:rPr>
                <w:b/>
                <w:bCs/>
                <w:lang w:eastAsia="en-AU"/>
              </w:rPr>
              <w:t>Total</w:t>
            </w:r>
          </w:p>
        </w:tc>
        <w:tc>
          <w:tcPr>
            <w:tcW w:w="1750" w:type="pct"/>
          </w:tcPr>
          <w:p w14:paraId="0D094B91" w14:textId="77777777" w:rsidR="008B1A3C" w:rsidRPr="007C0596" w:rsidRDefault="008B1A3C" w:rsidP="0059190D">
            <w:pPr>
              <w:ind w:left="0"/>
              <w:jc w:val="center"/>
              <w:rPr>
                <w:b/>
                <w:bCs/>
                <w:lang w:eastAsia="en-AU"/>
              </w:rPr>
            </w:pPr>
            <w:r>
              <w:rPr>
                <w:b/>
                <w:bCs/>
                <w:lang w:eastAsia="en-AU"/>
              </w:rPr>
              <w:t>4,626</w:t>
            </w:r>
          </w:p>
        </w:tc>
      </w:tr>
    </w:tbl>
    <w:p w14:paraId="203A66DA" w14:textId="105CC000" w:rsidR="008B1A3C" w:rsidRPr="005202C3" w:rsidRDefault="008B1A3C" w:rsidP="008B1A3C">
      <w:pPr>
        <w:pStyle w:val="Source"/>
      </w:pPr>
      <w:r>
        <w:t>Source: Australian Security Industry Licen</w:t>
      </w:r>
      <w:r w:rsidR="00AE54EF">
        <w:t>s</w:t>
      </w:r>
      <w:r>
        <w:t xml:space="preserve">ing Report 2024. </w:t>
      </w:r>
    </w:p>
    <w:p w14:paraId="7B8878E2" w14:textId="7A0E872C" w:rsidR="008B1A3C" w:rsidRPr="00076B61" w:rsidRDefault="008B1A3C" w:rsidP="008B1A3C">
      <w:r>
        <w:t xml:space="preserve">There were 988 </w:t>
      </w:r>
      <w:r w:rsidR="002A25DF">
        <w:t>businesses</w:t>
      </w:r>
      <w:r>
        <w:t xml:space="preserve"> holding private security registration on 31 December. The breakdown of business registration holders is not available. </w:t>
      </w:r>
    </w:p>
    <w:p w14:paraId="49B661D7" w14:textId="6E15EEEF" w:rsidR="005F1544" w:rsidRPr="002B5F40" w:rsidRDefault="005F1544" w:rsidP="005F1544">
      <w:pPr>
        <w:pStyle w:val="Heading2"/>
      </w:pPr>
      <w:bookmarkStart w:id="58" w:name="_Toc189832247"/>
      <w:r w:rsidRPr="002B5F40">
        <w:t xml:space="preserve">Preparation </w:t>
      </w:r>
      <w:bookmarkEnd w:id="51"/>
      <w:r w:rsidR="00570170">
        <w:t>of the RIS</w:t>
      </w:r>
      <w:bookmarkEnd w:id="58"/>
      <w:r w:rsidR="00570170">
        <w:t xml:space="preserve"> </w:t>
      </w:r>
    </w:p>
    <w:p w14:paraId="253F7007" w14:textId="43D5F500" w:rsidR="003869E0" w:rsidRPr="00294696" w:rsidRDefault="003869E0" w:rsidP="003869E0">
      <w:r w:rsidRPr="00294696">
        <w:t xml:space="preserve">The key purpose of this RIS is to assess the impact of </w:t>
      </w:r>
      <w:r w:rsidR="001D0073">
        <w:t>remaking the</w:t>
      </w:r>
      <w:r w:rsidR="006B4604">
        <w:t xml:space="preserve"> sunsetting</w:t>
      </w:r>
      <w:r w:rsidRPr="00294696">
        <w:t xml:space="preserve"> </w:t>
      </w:r>
      <w:r w:rsidR="00163981">
        <w:t xml:space="preserve">Private Security </w:t>
      </w:r>
      <w:r w:rsidRPr="00294696">
        <w:t>Regulations</w:t>
      </w:r>
      <w:r w:rsidR="00163981">
        <w:t xml:space="preserve"> 201</w:t>
      </w:r>
      <w:r w:rsidR="00A20AF1">
        <w:t>6</w:t>
      </w:r>
      <w:r w:rsidR="001D0073">
        <w:t xml:space="preserve"> a</w:t>
      </w:r>
      <w:r w:rsidR="006B4604">
        <w:t>nd</w:t>
      </w:r>
      <w:r w:rsidRPr="00294696">
        <w:t xml:space="preserve"> to </w:t>
      </w:r>
      <w:r w:rsidR="006E0D20">
        <w:t xml:space="preserve">operationalise the recent amendments to the </w:t>
      </w:r>
      <w:r w:rsidR="00CB2576" w:rsidRPr="00CB2576">
        <w:t>Act</w:t>
      </w:r>
      <w:r w:rsidR="006E0D20">
        <w:t>.</w:t>
      </w:r>
      <w:r w:rsidR="00C47484">
        <w:t xml:space="preserve"> </w:t>
      </w:r>
    </w:p>
    <w:p w14:paraId="5F548BD1" w14:textId="77777777" w:rsidR="006E0D20" w:rsidRDefault="005F1544" w:rsidP="006E0D20">
      <w:r w:rsidRPr="00294696">
        <w:t xml:space="preserve">This RIS has been prepared in accordance with the </w:t>
      </w:r>
      <w:r w:rsidRPr="00294696">
        <w:rPr>
          <w:i/>
        </w:rPr>
        <w:t>Victorian Guide to Regulation,</w:t>
      </w:r>
      <w:r w:rsidRPr="00294696">
        <w:rPr>
          <w:rStyle w:val="FootnoteReference"/>
          <w:i/>
        </w:rPr>
        <w:footnoteReference w:id="12"/>
      </w:r>
      <w:r w:rsidRPr="00294696">
        <w:t xml:space="preserve"> which provides a best practice approach to analysing any proposed regulatory intervention. This RIS estimates the impact of the proposed Regulations</w:t>
      </w:r>
      <w:r w:rsidRPr="00294696">
        <w:rPr>
          <w:i/>
        </w:rPr>
        <w:t xml:space="preserve"> </w:t>
      </w:r>
      <w:r w:rsidRPr="00294696">
        <w:t>on Victorian businesses and community.</w:t>
      </w:r>
    </w:p>
    <w:p w14:paraId="6B321381" w14:textId="0D66F104" w:rsidR="005F1544" w:rsidRPr="00294696" w:rsidRDefault="006E0D20" w:rsidP="006E0D20">
      <w:r>
        <w:t>The</w:t>
      </w:r>
      <w:r w:rsidR="005F1544" w:rsidRPr="00294696">
        <w:t xml:space="preserve"> </w:t>
      </w:r>
      <w:r>
        <w:t>k</w:t>
      </w:r>
      <w:r w:rsidR="005F1544" w:rsidRPr="00294696">
        <w:t>ey steps in the process to introduce the proposed Regulations are:</w:t>
      </w:r>
    </w:p>
    <w:p w14:paraId="7B233F22" w14:textId="43F86BA4" w:rsidR="005F1544" w:rsidRPr="00294696" w:rsidRDefault="005F1544" w:rsidP="005F1544">
      <w:pPr>
        <w:pStyle w:val="ListBullet"/>
        <w:spacing w:before="120" w:after="170"/>
      </w:pPr>
      <w:r w:rsidRPr="00294696">
        <w:t>preparation of the RIS (this document)</w:t>
      </w:r>
    </w:p>
    <w:p w14:paraId="123A048C" w14:textId="2C46509D" w:rsidR="005F1544" w:rsidRPr="00294696" w:rsidRDefault="005F1544" w:rsidP="005F1544">
      <w:pPr>
        <w:pStyle w:val="ListBullet"/>
        <w:spacing w:before="120" w:after="170"/>
      </w:pPr>
      <w:r w:rsidRPr="00294696">
        <w:t>independent assessment by Better Regulation Victoria (BRV)</w:t>
      </w:r>
    </w:p>
    <w:p w14:paraId="56CD38D0" w14:textId="6CA7EAD2" w:rsidR="005F1544" w:rsidRPr="00294696" w:rsidRDefault="005F1544" w:rsidP="005F1544">
      <w:pPr>
        <w:pStyle w:val="ListBullet"/>
        <w:spacing w:before="120" w:after="170"/>
      </w:pPr>
      <w:r w:rsidRPr="00294696">
        <w:t>public comment on the proposed Regulations</w:t>
      </w:r>
    </w:p>
    <w:p w14:paraId="75EC1798" w14:textId="4B0FF352" w:rsidR="005F1544" w:rsidRDefault="00364558" w:rsidP="008D1AF4">
      <w:pPr>
        <w:pStyle w:val="ListBullet"/>
        <w:spacing w:before="120" w:after="120"/>
        <w:contextualSpacing w:val="0"/>
      </w:pPr>
      <w:r>
        <w:t xml:space="preserve">reviewing responses </w:t>
      </w:r>
      <w:r w:rsidR="000D6A52">
        <w:t xml:space="preserve">from </w:t>
      </w:r>
      <w:r w:rsidR="00FD07DF">
        <w:t xml:space="preserve">public </w:t>
      </w:r>
      <w:r w:rsidR="00F3413D">
        <w:t>consultation</w:t>
      </w:r>
      <w:r w:rsidR="008E44A7">
        <w:t xml:space="preserve"> prior to introducing the </w:t>
      </w:r>
      <w:r w:rsidR="00E51ACD">
        <w:t>proposed</w:t>
      </w:r>
      <w:r w:rsidR="008E44A7">
        <w:t xml:space="preserve"> Regulations</w:t>
      </w:r>
      <w:r w:rsidR="005F1544" w:rsidRPr="00294696">
        <w:t>.</w:t>
      </w:r>
    </w:p>
    <w:p w14:paraId="51B812A0" w14:textId="18B14C5C" w:rsidR="00570170" w:rsidRDefault="00997F24" w:rsidP="00997F24">
      <w:pPr>
        <w:pStyle w:val="Heading3"/>
      </w:pPr>
      <w:bookmarkStart w:id="59" w:name="_Ref172186637"/>
      <w:r>
        <w:t>The Victorian Government’s Pricing Principles</w:t>
      </w:r>
      <w:bookmarkEnd w:id="59"/>
      <w:r>
        <w:t xml:space="preserve"> </w:t>
      </w:r>
    </w:p>
    <w:p w14:paraId="3F70F02D" w14:textId="71434044" w:rsidR="006932A6" w:rsidRDefault="00997F24" w:rsidP="00997F24">
      <w:r>
        <w:t>The RIS also draws upon the Victorian Government</w:t>
      </w:r>
      <w:r w:rsidR="00464C85">
        <w:t>’</w:t>
      </w:r>
      <w:r>
        <w:t xml:space="preserve">s </w:t>
      </w:r>
      <w:r w:rsidRPr="00F411ED">
        <w:rPr>
          <w:i/>
          <w:iCs/>
        </w:rPr>
        <w:t xml:space="preserve">Pricing </w:t>
      </w:r>
      <w:r w:rsidR="00724CC5" w:rsidRPr="00F411ED">
        <w:rPr>
          <w:i/>
          <w:iCs/>
        </w:rPr>
        <w:t>for Value</w:t>
      </w:r>
      <w:r>
        <w:t xml:space="preserve"> </w:t>
      </w:r>
      <w:r w:rsidR="005D18CC">
        <w:t xml:space="preserve">guide. The guide introduces Pricing Principles which decision makers are encouraged to consider when pricing government services. The </w:t>
      </w:r>
      <w:r w:rsidR="005D18CC" w:rsidRPr="00F411ED">
        <w:rPr>
          <w:i/>
          <w:iCs/>
        </w:rPr>
        <w:t>Pricing for Value</w:t>
      </w:r>
      <w:r w:rsidR="005D18CC">
        <w:t xml:space="preserve"> guide builds upon the Department of </w:t>
      </w:r>
      <w:r w:rsidR="005D18CC">
        <w:lastRenderedPageBreak/>
        <w:t xml:space="preserve">Treasury and Finance’s previous Cost Recovery Guidelines, which were underpinned by the key principle of setting fees and charges on a full cost </w:t>
      </w:r>
      <w:r w:rsidR="0092640A">
        <w:t xml:space="preserve">recovery basis for the efficient and equitable use of government resources. </w:t>
      </w:r>
    </w:p>
    <w:p w14:paraId="618F1E4F" w14:textId="52B9C1F3" w:rsidR="00997F24" w:rsidRDefault="00F411ED" w:rsidP="00997F24">
      <w:r>
        <w:t xml:space="preserve">Under the Pricing for Value framework, cost recovery is one framework among a broader range of 12 Pricing Principles. </w:t>
      </w:r>
      <w:r w:rsidR="006932A6">
        <w:t xml:space="preserve">These </w:t>
      </w:r>
      <w:r w:rsidR="007949BB">
        <w:t xml:space="preserve">include potential scenarios </w:t>
      </w:r>
      <w:r w:rsidR="00BC548D">
        <w:t xml:space="preserve">where setting prices of </w:t>
      </w:r>
      <w:r w:rsidR="002D2B54">
        <w:t xml:space="preserve">individual regulatory activities, at, above, or below </w:t>
      </w:r>
      <w:r w:rsidR="00C638B5">
        <w:t xml:space="preserve">the cost of those activities may be warranted. For example, setting prices above cost </w:t>
      </w:r>
      <w:r w:rsidR="00725641">
        <w:t xml:space="preserve">can send price signals to regulated parties about the higher risk associated with their activities, or setting prices below cost to avoid creating a barrier to entry or unintended negative consequences. </w:t>
      </w:r>
    </w:p>
    <w:p w14:paraId="64E87099" w14:textId="34FC9614" w:rsidR="00725641" w:rsidRDefault="00725641" w:rsidP="00997F24">
      <w:r>
        <w:t xml:space="preserve">The 12 Principles are </w:t>
      </w:r>
      <w:r w:rsidR="007233A8">
        <w:t xml:space="preserve">outlined in </w:t>
      </w:r>
      <w:r w:rsidR="00D64698">
        <w:fldChar w:fldCharType="begin"/>
      </w:r>
      <w:r w:rsidR="00D64698">
        <w:instrText xml:space="preserve"> REF _Ref174092884 \h </w:instrText>
      </w:r>
      <w:r w:rsidR="00D64698">
        <w:fldChar w:fldCharType="separate"/>
      </w:r>
      <w:r w:rsidR="009D133E">
        <w:t xml:space="preserve">Table </w:t>
      </w:r>
      <w:r w:rsidR="009D133E">
        <w:rPr>
          <w:noProof/>
        </w:rPr>
        <w:t>1</w:t>
      </w:r>
      <w:r w:rsidR="009D133E">
        <w:t>.</w:t>
      </w:r>
      <w:r w:rsidR="009D133E">
        <w:rPr>
          <w:noProof/>
        </w:rPr>
        <w:t>11</w:t>
      </w:r>
      <w:r w:rsidR="00D64698">
        <w:fldChar w:fldCharType="end"/>
      </w:r>
      <w:r w:rsidR="007233A8">
        <w:t xml:space="preserve"> below. As the Regulations prescribe fees, analysis of their appropriateness </w:t>
      </w:r>
      <w:r w:rsidR="00B56B8C">
        <w:t xml:space="preserve">is required in line with relevant Pricing Principles. </w:t>
      </w:r>
    </w:p>
    <w:p w14:paraId="29647046" w14:textId="5959E524" w:rsidR="00274B0F" w:rsidRDefault="002A09A7" w:rsidP="002A09A7">
      <w:pPr>
        <w:pStyle w:val="Caption"/>
      </w:pPr>
      <w:bookmarkStart w:id="60" w:name="_Ref174092884"/>
      <w:r>
        <w:t xml:space="preserve">Table </w:t>
      </w:r>
      <w:r w:rsidR="00414520">
        <w:fldChar w:fldCharType="begin"/>
      </w:r>
      <w:r w:rsidR="00414520">
        <w:instrText xml:space="preserve"> STYLEREF 1 \s </w:instrText>
      </w:r>
      <w:r w:rsidR="00414520">
        <w:fldChar w:fldCharType="separate"/>
      </w:r>
      <w:r w:rsidR="009D133E">
        <w:rPr>
          <w:noProof/>
        </w:rPr>
        <w:t>1</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11</w:t>
      </w:r>
      <w:r w:rsidR="00414520">
        <w:fldChar w:fldCharType="end"/>
      </w:r>
      <w:bookmarkEnd w:id="60"/>
      <w:r w:rsidRPr="00370A5A">
        <w:t>:</w:t>
      </w:r>
      <w:r w:rsidR="00274B0F">
        <w:t xml:space="preserve"> </w:t>
      </w:r>
      <w:r w:rsidR="00743F6E">
        <w:t>Victorian Government’s Pricing Principles</w:t>
      </w:r>
    </w:p>
    <w:tbl>
      <w:tblPr>
        <w:tblStyle w:val="Deloittetable1"/>
        <w:tblW w:w="5000" w:type="pct"/>
        <w:tblLook w:val="04A0" w:firstRow="1" w:lastRow="0" w:firstColumn="1" w:lastColumn="0" w:noHBand="0" w:noVBand="1"/>
      </w:tblPr>
      <w:tblGrid>
        <w:gridCol w:w="9638"/>
      </w:tblGrid>
      <w:tr w:rsidR="00743F6E" w:rsidRPr="00F07D02" w14:paraId="39D6A7B5" w14:textId="77777777" w:rsidTr="00743F6E">
        <w:trPr>
          <w:cnfStyle w:val="100000000000" w:firstRow="1" w:lastRow="0" w:firstColumn="0" w:lastColumn="0" w:oddVBand="0" w:evenVBand="0" w:oddHBand="0" w:evenHBand="0" w:firstRowFirstColumn="0" w:firstRowLastColumn="0" w:lastRowFirstColumn="0" w:lastRowLastColumn="0"/>
        </w:trPr>
        <w:tc>
          <w:tcPr>
            <w:tcW w:w="5000" w:type="pct"/>
          </w:tcPr>
          <w:p w14:paraId="52656613" w14:textId="4CB196AD" w:rsidR="00743F6E" w:rsidRPr="00F07D02" w:rsidRDefault="00743F6E">
            <w:pPr>
              <w:jc w:val="both"/>
              <w:rPr>
                <w:b/>
                <w:color w:val="62B5E5" w:themeColor="accent3"/>
                <w:lang w:eastAsia="en-AU"/>
              </w:rPr>
            </w:pPr>
            <w:r w:rsidRPr="0059190D">
              <w:rPr>
                <w:b/>
                <w:lang w:eastAsia="en-AU"/>
              </w:rPr>
              <w:t>Pricing Principle</w:t>
            </w:r>
            <w:r w:rsidR="0059190D" w:rsidRPr="0059190D">
              <w:rPr>
                <w:b/>
                <w:lang w:eastAsia="en-AU"/>
              </w:rPr>
              <w:t>s</w:t>
            </w:r>
            <w:r w:rsidRPr="0059190D">
              <w:rPr>
                <w:b/>
                <w:lang w:eastAsia="en-AU"/>
              </w:rPr>
              <w:t xml:space="preserve"> </w:t>
            </w:r>
          </w:p>
        </w:tc>
      </w:tr>
      <w:tr w:rsidR="00743F6E" w:rsidRPr="00F07D02" w14:paraId="3F8FF818" w14:textId="77777777" w:rsidTr="00743F6E">
        <w:tc>
          <w:tcPr>
            <w:tcW w:w="5000" w:type="pct"/>
          </w:tcPr>
          <w:p w14:paraId="7AECAA95" w14:textId="6CC75CFA" w:rsidR="00743F6E" w:rsidRPr="00F07D02" w:rsidRDefault="00743F6E">
            <w:pPr>
              <w:rPr>
                <w:lang w:eastAsia="en-AU"/>
              </w:rPr>
            </w:pPr>
            <w:r w:rsidRPr="00EA55E6">
              <w:rPr>
                <w:b/>
                <w:bCs/>
                <w:lang w:eastAsia="en-AU"/>
              </w:rPr>
              <w:t>Principle 1:</w:t>
            </w:r>
            <w:r>
              <w:rPr>
                <w:lang w:eastAsia="en-AU"/>
              </w:rPr>
              <w:t xml:space="preserve"> Prices should reflect costs </w:t>
            </w:r>
          </w:p>
        </w:tc>
      </w:tr>
      <w:tr w:rsidR="00743F6E" w:rsidRPr="00F07D02" w14:paraId="635D0A24" w14:textId="77777777" w:rsidTr="00743F6E">
        <w:tc>
          <w:tcPr>
            <w:tcW w:w="5000" w:type="pct"/>
          </w:tcPr>
          <w:p w14:paraId="112D7EB9" w14:textId="5F91F9B8" w:rsidR="00743F6E" w:rsidRPr="00743F6E" w:rsidRDefault="00743F6E">
            <w:pPr>
              <w:jc w:val="both"/>
              <w:rPr>
                <w:lang w:eastAsia="en-AU"/>
              </w:rPr>
            </w:pPr>
            <w:r w:rsidRPr="00EA55E6">
              <w:rPr>
                <w:b/>
                <w:bCs/>
                <w:lang w:eastAsia="en-AU"/>
              </w:rPr>
              <w:t>Principle 2:</w:t>
            </w:r>
            <w:r>
              <w:rPr>
                <w:lang w:eastAsia="en-AU"/>
              </w:rPr>
              <w:t xml:space="preserve"> Costs should be recovered from tho</w:t>
            </w:r>
            <w:r w:rsidR="00344352">
              <w:rPr>
                <w:lang w:eastAsia="en-AU"/>
              </w:rPr>
              <w:t xml:space="preserve">se who benefit from or trigger the need for regulation </w:t>
            </w:r>
          </w:p>
        </w:tc>
      </w:tr>
      <w:tr w:rsidR="00743F6E" w:rsidRPr="00F07D02" w14:paraId="6FA4EA1C" w14:textId="77777777" w:rsidTr="00743F6E">
        <w:tc>
          <w:tcPr>
            <w:tcW w:w="5000" w:type="pct"/>
          </w:tcPr>
          <w:p w14:paraId="209E3005" w14:textId="76425E85" w:rsidR="00743F6E" w:rsidRPr="00344352" w:rsidRDefault="00344352">
            <w:pPr>
              <w:jc w:val="both"/>
              <w:rPr>
                <w:lang w:eastAsia="en-AU"/>
              </w:rPr>
            </w:pPr>
            <w:r>
              <w:rPr>
                <w:b/>
                <w:bCs/>
                <w:lang w:eastAsia="en-AU"/>
              </w:rPr>
              <w:t xml:space="preserve">Principle 3: </w:t>
            </w:r>
            <w:r>
              <w:rPr>
                <w:lang w:eastAsia="en-AU"/>
              </w:rPr>
              <w:t xml:space="preserve">Services creating broad benefits for the community should be price to support efficient consumption </w:t>
            </w:r>
          </w:p>
        </w:tc>
      </w:tr>
      <w:tr w:rsidR="00743F6E" w:rsidRPr="00F07D02" w14:paraId="791605E2" w14:textId="77777777" w:rsidTr="00743F6E">
        <w:tc>
          <w:tcPr>
            <w:tcW w:w="5000" w:type="pct"/>
          </w:tcPr>
          <w:p w14:paraId="24B61A27" w14:textId="54B541FD" w:rsidR="00743F6E" w:rsidRPr="00344352" w:rsidRDefault="00344352">
            <w:pPr>
              <w:jc w:val="both"/>
              <w:rPr>
                <w:lang w:eastAsia="en-AU"/>
              </w:rPr>
            </w:pPr>
            <w:r>
              <w:rPr>
                <w:b/>
                <w:bCs/>
                <w:lang w:eastAsia="en-AU"/>
              </w:rPr>
              <w:t xml:space="preserve">Principle 4: </w:t>
            </w:r>
            <w:r>
              <w:rPr>
                <w:lang w:eastAsia="en-AU"/>
              </w:rPr>
              <w:t xml:space="preserve">The cost of interagency services should be borne by the user agency </w:t>
            </w:r>
          </w:p>
        </w:tc>
      </w:tr>
      <w:tr w:rsidR="00743F6E" w:rsidRPr="00F07D02" w14:paraId="31B55277" w14:textId="77777777" w:rsidTr="00743F6E">
        <w:tc>
          <w:tcPr>
            <w:tcW w:w="5000" w:type="pct"/>
          </w:tcPr>
          <w:p w14:paraId="59AF35F1" w14:textId="3EF7EB53" w:rsidR="00743F6E" w:rsidRPr="008C45CE" w:rsidRDefault="008C45CE">
            <w:pPr>
              <w:jc w:val="both"/>
              <w:rPr>
                <w:lang w:eastAsia="en-AU"/>
              </w:rPr>
            </w:pPr>
            <w:r>
              <w:rPr>
                <w:b/>
                <w:bCs/>
                <w:lang w:eastAsia="en-AU"/>
              </w:rPr>
              <w:t xml:space="preserve">Principle 5: </w:t>
            </w:r>
            <w:r>
              <w:rPr>
                <w:lang w:eastAsia="en-AU"/>
              </w:rPr>
              <w:t xml:space="preserve">The price of services should not limit access to those with a lower ability to pay </w:t>
            </w:r>
          </w:p>
        </w:tc>
      </w:tr>
      <w:tr w:rsidR="00743F6E" w:rsidRPr="00F07D02" w14:paraId="16139958" w14:textId="77777777" w:rsidTr="00743F6E">
        <w:tc>
          <w:tcPr>
            <w:tcW w:w="5000" w:type="pct"/>
          </w:tcPr>
          <w:p w14:paraId="142978FF" w14:textId="6199DAC0" w:rsidR="00743F6E" w:rsidRPr="008C45CE" w:rsidRDefault="008C45CE">
            <w:pPr>
              <w:jc w:val="both"/>
              <w:rPr>
                <w:lang w:eastAsia="en-AU"/>
              </w:rPr>
            </w:pPr>
            <w:r>
              <w:rPr>
                <w:b/>
                <w:bCs/>
                <w:lang w:eastAsia="en-AU"/>
              </w:rPr>
              <w:t xml:space="preserve">Principle 6: </w:t>
            </w:r>
            <w:r>
              <w:rPr>
                <w:lang w:eastAsia="en-AU"/>
              </w:rPr>
              <w:t xml:space="preserve">Users should pay for differentiated service based on the value created by the differentiation </w:t>
            </w:r>
          </w:p>
        </w:tc>
      </w:tr>
      <w:tr w:rsidR="00743F6E" w:rsidRPr="00F07D02" w14:paraId="401C58C0" w14:textId="77777777" w:rsidTr="00743F6E">
        <w:tc>
          <w:tcPr>
            <w:tcW w:w="5000" w:type="pct"/>
          </w:tcPr>
          <w:p w14:paraId="08EE7C1F" w14:textId="43CC3D73" w:rsidR="00743F6E" w:rsidRPr="007562F8" w:rsidRDefault="008C45CE">
            <w:pPr>
              <w:jc w:val="both"/>
              <w:rPr>
                <w:lang w:eastAsia="en-AU"/>
              </w:rPr>
            </w:pPr>
            <w:r>
              <w:rPr>
                <w:b/>
                <w:bCs/>
                <w:lang w:eastAsia="en-AU"/>
              </w:rPr>
              <w:t xml:space="preserve">Principle 7: </w:t>
            </w:r>
            <w:r w:rsidR="007562F8">
              <w:rPr>
                <w:lang w:eastAsia="en-AU"/>
              </w:rPr>
              <w:t xml:space="preserve">The public should share in the value generated by pricing based on user differentiation </w:t>
            </w:r>
          </w:p>
        </w:tc>
      </w:tr>
      <w:tr w:rsidR="00743F6E" w:rsidRPr="00F07D02" w14:paraId="107FFFC4" w14:textId="77777777" w:rsidTr="00743F6E">
        <w:tc>
          <w:tcPr>
            <w:tcW w:w="5000" w:type="pct"/>
          </w:tcPr>
          <w:p w14:paraId="1A858D07" w14:textId="0D51611B" w:rsidR="00743F6E" w:rsidRPr="007562F8" w:rsidRDefault="007562F8">
            <w:pPr>
              <w:jc w:val="both"/>
              <w:rPr>
                <w:lang w:eastAsia="en-AU"/>
              </w:rPr>
            </w:pPr>
            <w:r>
              <w:rPr>
                <w:b/>
                <w:bCs/>
                <w:lang w:eastAsia="en-AU"/>
              </w:rPr>
              <w:t xml:space="preserve">Principle 8: </w:t>
            </w:r>
            <w:r>
              <w:rPr>
                <w:lang w:eastAsia="en-AU"/>
              </w:rPr>
              <w:t xml:space="preserve">Pricing should support positive behaviours </w:t>
            </w:r>
          </w:p>
        </w:tc>
      </w:tr>
      <w:tr w:rsidR="00743F6E" w:rsidRPr="00F07D02" w14:paraId="178D8E21" w14:textId="77777777" w:rsidTr="00743F6E">
        <w:tc>
          <w:tcPr>
            <w:tcW w:w="5000" w:type="pct"/>
          </w:tcPr>
          <w:p w14:paraId="7DB80465" w14:textId="420FEBD5" w:rsidR="00743F6E" w:rsidRPr="007562F8" w:rsidRDefault="007562F8">
            <w:pPr>
              <w:jc w:val="both"/>
              <w:rPr>
                <w:lang w:eastAsia="en-AU"/>
              </w:rPr>
            </w:pPr>
            <w:r>
              <w:rPr>
                <w:b/>
                <w:bCs/>
                <w:lang w:eastAsia="en-AU"/>
              </w:rPr>
              <w:t xml:space="preserve">Principle 9: </w:t>
            </w:r>
            <w:r>
              <w:rPr>
                <w:lang w:eastAsia="en-AU"/>
              </w:rPr>
              <w:t xml:space="preserve">Pricing should ensure sustainable usage of public services </w:t>
            </w:r>
            <w:r w:rsidR="00597047">
              <w:rPr>
                <w:lang w:eastAsia="en-AU"/>
              </w:rPr>
              <w:t xml:space="preserve">and reflect the value of natural resources </w:t>
            </w:r>
          </w:p>
        </w:tc>
      </w:tr>
      <w:tr w:rsidR="00743F6E" w:rsidRPr="00F07D02" w14:paraId="04197236" w14:textId="77777777" w:rsidTr="00743F6E">
        <w:tc>
          <w:tcPr>
            <w:tcW w:w="5000" w:type="pct"/>
          </w:tcPr>
          <w:p w14:paraId="2C925025" w14:textId="4DD29DDC" w:rsidR="00743F6E" w:rsidRPr="00597047" w:rsidRDefault="00597047">
            <w:pPr>
              <w:jc w:val="both"/>
              <w:rPr>
                <w:lang w:eastAsia="en-AU"/>
              </w:rPr>
            </w:pPr>
            <w:r>
              <w:rPr>
                <w:b/>
                <w:bCs/>
                <w:lang w:eastAsia="en-AU"/>
              </w:rPr>
              <w:t xml:space="preserve">Principle 10: </w:t>
            </w:r>
            <w:r>
              <w:rPr>
                <w:lang w:eastAsia="en-AU"/>
              </w:rPr>
              <w:t xml:space="preserve">Where services are in competition with the private sector, pricing should be relative to market prices </w:t>
            </w:r>
          </w:p>
        </w:tc>
      </w:tr>
      <w:tr w:rsidR="00743F6E" w:rsidRPr="00F07D02" w14:paraId="18D8D4E4" w14:textId="77777777" w:rsidTr="00743F6E">
        <w:tc>
          <w:tcPr>
            <w:tcW w:w="5000" w:type="pct"/>
          </w:tcPr>
          <w:p w14:paraId="5F3F4221" w14:textId="11622832" w:rsidR="00743F6E" w:rsidRPr="00597047" w:rsidRDefault="00597047">
            <w:pPr>
              <w:jc w:val="both"/>
              <w:rPr>
                <w:lang w:eastAsia="en-AU"/>
              </w:rPr>
            </w:pPr>
            <w:r>
              <w:rPr>
                <w:b/>
                <w:bCs/>
                <w:lang w:eastAsia="en-AU"/>
              </w:rPr>
              <w:t xml:space="preserve">Principle 11: </w:t>
            </w:r>
            <w:r>
              <w:rPr>
                <w:lang w:eastAsia="en-AU"/>
              </w:rPr>
              <w:t xml:space="preserve">Pricing structures should be easy to understand </w:t>
            </w:r>
          </w:p>
        </w:tc>
      </w:tr>
      <w:tr w:rsidR="00743F6E" w:rsidRPr="00F07D02" w14:paraId="348A885A" w14:textId="77777777" w:rsidTr="00743F6E">
        <w:tc>
          <w:tcPr>
            <w:tcW w:w="5000" w:type="pct"/>
          </w:tcPr>
          <w:p w14:paraId="516BEDB1" w14:textId="2483AFE7" w:rsidR="00743F6E" w:rsidRPr="00597047" w:rsidRDefault="00597047">
            <w:pPr>
              <w:jc w:val="both"/>
              <w:rPr>
                <w:lang w:eastAsia="en-AU"/>
              </w:rPr>
            </w:pPr>
            <w:r>
              <w:rPr>
                <w:b/>
                <w:bCs/>
                <w:lang w:eastAsia="en-AU"/>
              </w:rPr>
              <w:t xml:space="preserve">Principle 12: </w:t>
            </w:r>
            <w:r>
              <w:rPr>
                <w:lang w:eastAsia="en-AU"/>
              </w:rPr>
              <w:t xml:space="preserve">Pricing arrangements should be monitored annually and reviewed periodically </w:t>
            </w:r>
          </w:p>
        </w:tc>
      </w:tr>
    </w:tbl>
    <w:p w14:paraId="2F81456A" w14:textId="7B08BF16" w:rsidR="00E8340F" w:rsidRDefault="00E8340F" w:rsidP="006338C1"/>
    <w:p w14:paraId="15209607" w14:textId="77777777" w:rsidR="008F6A8D" w:rsidRPr="008F6A8D" w:rsidRDefault="008F6A8D" w:rsidP="008F6A8D"/>
    <w:p w14:paraId="3E84589B" w14:textId="6EAB1BC5" w:rsidR="00AE0C9E" w:rsidRDefault="00DA5960" w:rsidP="00165901">
      <w:pPr>
        <w:pStyle w:val="Heading1"/>
      </w:pPr>
      <w:bookmarkStart w:id="61" w:name="_Toc189832248"/>
      <w:r>
        <w:lastRenderedPageBreak/>
        <w:t>The problem and objectives</w:t>
      </w:r>
      <w:bookmarkEnd w:id="61"/>
      <w:r>
        <w:t xml:space="preserve"> </w:t>
      </w:r>
    </w:p>
    <w:p w14:paraId="34C1FF37" w14:textId="77777777" w:rsidR="00F80332" w:rsidRPr="00294696" w:rsidRDefault="00F80332" w:rsidP="00F80332">
      <w:pPr>
        <w:pStyle w:val="Sectionintro"/>
      </w:pPr>
      <w:r w:rsidRPr="00294696">
        <w:t xml:space="preserve">This chapter outlines the nature and scale of the problem the proposed Regulations seek to address. </w:t>
      </w:r>
    </w:p>
    <w:p w14:paraId="796E0DD2" w14:textId="0646C7FA" w:rsidR="00F372AD" w:rsidRDefault="00F372AD" w:rsidP="00F372AD">
      <w:pPr>
        <w:pStyle w:val="Heading2"/>
      </w:pPr>
      <w:bookmarkStart w:id="62" w:name="_Ref173312702"/>
      <w:bookmarkStart w:id="63" w:name="_Toc189832249"/>
      <w:bookmarkStart w:id="64" w:name="_Ref170296492"/>
      <w:r>
        <w:t xml:space="preserve">Rationale </w:t>
      </w:r>
      <w:r w:rsidR="00E126C3">
        <w:t>for government intervention in the private security industry</w:t>
      </w:r>
      <w:bookmarkEnd w:id="62"/>
      <w:bookmarkEnd w:id="63"/>
    </w:p>
    <w:p w14:paraId="403794D1" w14:textId="49807619" w:rsidR="00AF5F99" w:rsidRPr="008C1FFC" w:rsidRDefault="00BD728C" w:rsidP="00BD728C">
      <w:pPr>
        <w:rPr>
          <w:rFonts w:ascii="Aptos" w:hAnsi="Aptos"/>
          <w:sz w:val="22"/>
          <w:szCs w:val="22"/>
        </w:rPr>
      </w:pPr>
      <w:r>
        <w:t xml:space="preserve">Private security plays an integral role in protecting people, property, assets, and information in Victoria. The use of private security is common across a range of sectors including large public events, </w:t>
      </w:r>
      <w:r w:rsidR="001020DF">
        <w:t xml:space="preserve">hospitals, government and </w:t>
      </w:r>
      <w:r>
        <w:t>corporate environments, hospitality,</w:t>
      </w:r>
      <w:r w:rsidR="0030752A">
        <w:t xml:space="preserve"> </w:t>
      </w:r>
      <w:r w:rsidR="00EC47E6">
        <w:t>retail, entertainment</w:t>
      </w:r>
      <w:r>
        <w:t xml:space="preserve"> venues</w:t>
      </w:r>
      <w:r w:rsidR="003A7875">
        <w:t xml:space="preserve">, </w:t>
      </w:r>
      <w:r w:rsidR="00CC5BB8">
        <w:t>and cash</w:t>
      </w:r>
      <w:r w:rsidR="001020DF">
        <w:t xml:space="preserve"> in transit</w:t>
      </w:r>
      <w:r w:rsidR="00CC5BB8">
        <w:t xml:space="preserve"> management</w:t>
      </w:r>
      <w:r w:rsidR="0030752A">
        <w:t>.</w:t>
      </w:r>
      <w:r w:rsidR="001A5317">
        <w:t xml:space="preserve"> </w:t>
      </w:r>
      <w:r w:rsidR="00156E16">
        <w:t>P</w:t>
      </w:r>
      <w:r w:rsidR="001A5317">
        <w:t xml:space="preserve">rivate security </w:t>
      </w:r>
      <w:r w:rsidR="00392D10">
        <w:t>providers</w:t>
      </w:r>
      <w:r w:rsidR="001A5317">
        <w:t xml:space="preserve"> often interact directly with the pub</w:t>
      </w:r>
      <w:r w:rsidR="005A6C11">
        <w:t>l</w:t>
      </w:r>
      <w:r w:rsidR="001A5317">
        <w:t>ic</w:t>
      </w:r>
      <w:r w:rsidR="003F4C9F">
        <w:t xml:space="preserve"> and </w:t>
      </w:r>
      <w:r w:rsidR="00E83E2F">
        <w:t>can have access to sensitive areas and information</w:t>
      </w:r>
      <w:r w:rsidR="00156E16">
        <w:t>.</w:t>
      </w:r>
      <w:r w:rsidR="00E7703F">
        <w:t xml:space="preserve"> </w:t>
      </w:r>
      <w:r w:rsidR="00156E16">
        <w:t>They also</w:t>
      </w:r>
      <w:r w:rsidR="008120A4">
        <w:t xml:space="preserve"> often</w:t>
      </w:r>
      <w:r w:rsidR="005A041A">
        <w:t xml:space="preserve"> work in challenging </w:t>
      </w:r>
      <w:r w:rsidR="00DB564E">
        <w:t xml:space="preserve">environments such as interacting with people under the influence of alcohol and/or illicit </w:t>
      </w:r>
      <w:r w:rsidR="008120A4">
        <w:t>substance</w:t>
      </w:r>
      <w:r w:rsidR="00DB564E">
        <w:t>s. Therefore, it</w:t>
      </w:r>
      <w:r w:rsidR="00156E16">
        <w:t xml:space="preserve"> is important that the sector be effectively regulated to mitigate potential risks to the public and to the </w:t>
      </w:r>
      <w:r w:rsidR="00392D10">
        <w:t>providers</w:t>
      </w:r>
      <w:r w:rsidR="00156E16">
        <w:t>.</w:t>
      </w:r>
      <w:r w:rsidR="00871AB5">
        <w:t xml:space="preserve"> </w:t>
      </w:r>
    </w:p>
    <w:p w14:paraId="446C7BBF" w14:textId="38197823" w:rsidR="0021042B" w:rsidRDefault="00662AC2" w:rsidP="00BD728C">
      <w:r>
        <w:t xml:space="preserve">Government intervention in the sector is critical for ensuring probity and </w:t>
      </w:r>
      <w:r w:rsidR="00D23D4D">
        <w:t>competenc</w:t>
      </w:r>
      <w:r w:rsidR="008011B8">
        <w:t>y</w:t>
      </w:r>
      <w:r w:rsidR="00D23D4D">
        <w:t xml:space="preserve"> in the industry. </w:t>
      </w:r>
      <w:r w:rsidR="000C4AC8">
        <w:t>The</w:t>
      </w:r>
      <w:r w:rsidR="00C24C6A">
        <w:t xml:space="preserve"> Act </w:t>
      </w:r>
      <w:r w:rsidR="007A259F">
        <w:t>introduces the</w:t>
      </w:r>
      <w:r w:rsidR="00FD1FCB">
        <w:t xml:space="preserve"> requirement</w:t>
      </w:r>
      <w:r w:rsidR="007A259F">
        <w:t xml:space="preserve"> for individuals and businesses working in the sector to obtain </w:t>
      </w:r>
      <w:r w:rsidR="00862B7B">
        <w:t>a</w:t>
      </w:r>
      <w:r w:rsidR="00793DD3">
        <w:t xml:space="preserve"> licence</w:t>
      </w:r>
      <w:r w:rsidR="00656465">
        <w:t xml:space="preserve"> or registration</w:t>
      </w:r>
      <w:r w:rsidR="00793DD3">
        <w:t xml:space="preserve"> authorising them to</w:t>
      </w:r>
      <w:r w:rsidR="00FF56EC">
        <w:t xml:space="preserve"> undertake private-security related activities. </w:t>
      </w:r>
      <w:r w:rsidR="00F37CFF">
        <w:t xml:space="preserve">The Act requires Victoria Police to be satisfied that the applicant meets the probity and competency </w:t>
      </w:r>
      <w:r w:rsidR="001020DF">
        <w:t xml:space="preserve">requirements </w:t>
      </w:r>
      <w:r w:rsidR="00C13193">
        <w:t>and that granting the licence is in the public interest.</w:t>
      </w:r>
      <w:r w:rsidR="00D917E4">
        <w:t xml:space="preserve"> </w:t>
      </w:r>
      <w:r w:rsidR="00E23B5E">
        <w:t>The private security industry has been identified as being vulnerable to infiltration by organised crime</w:t>
      </w:r>
      <w:r w:rsidR="00E2797F">
        <w:t xml:space="preserve"> groups</w:t>
      </w:r>
      <w:r w:rsidR="007C68E6">
        <w:t xml:space="preserve"> for reasons such as access to</w:t>
      </w:r>
      <w:r w:rsidR="0046500F">
        <w:t xml:space="preserve"> property and confidential information</w:t>
      </w:r>
      <w:r w:rsidR="00C74E06">
        <w:t xml:space="preserve"> and</w:t>
      </w:r>
      <w:r w:rsidR="0046500F">
        <w:t xml:space="preserve"> opportunities for distribution of illicit goods and services</w:t>
      </w:r>
      <w:r w:rsidR="00A321EB">
        <w:t>.</w:t>
      </w:r>
      <w:r w:rsidR="00A321EB">
        <w:rPr>
          <w:rStyle w:val="FootnoteReference"/>
        </w:rPr>
        <w:footnoteReference w:id="13"/>
      </w:r>
      <w:r w:rsidR="00A321EB">
        <w:t xml:space="preserve"> </w:t>
      </w:r>
      <w:r w:rsidR="00F9783F">
        <w:t xml:space="preserve">Therefore, requirements prescribed in the Act such </w:t>
      </w:r>
      <w:r w:rsidR="00797291">
        <w:t xml:space="preserve">as </w:t>
      </w:r>
      <w:r w:rsidR="006E0644">
        <w:t>probity checks of close associates for private security business licences and registrations can he</w:t>
      </w:r>
      <w:r w:rsidR="000A6DC6">
        <w:t xml:space="preserve">lp minimise criminal involvement in the industry. </w:t>
      </w:r>
    </w:p>
    <w:p w14:paraId="2485734A" w14:textId="7912AFBB" w:rsidR="00873C3F" w:rsidRDefault="00867FC9" w:rsidP="00BD728C">
      <w:r>
        <w:t xml:space="preserve">Government-mandated training requirements can </w:t>
      </w:r>
      <w:r w:rsidR="00AF349E">
        <w:t xml:space="preserve">ensure that all private security </w:t>
      </w:r>
      <w:r w:rsidR="00392D10">
        <w:t xml:space="preserve">providers </w:t>
      </w:r>
      <w:r w:rsidR="00AF349E">
        <w:t>undergo a standardised training program</w:t>
      </w:r>
      <w:r w:rsidR="00904148">
        <w:t>, such as Certificate III in Security Operations,</w:t>
      </w:r>
      <w:r w:rsidR="00AF349E">
        <w:t xml:space="preserve"> </w:t>
      </w:r>
      <w:r w:rsidR="002C5983">
        <w:t>to prepare them for their roles. Without consistent training requirement</w:t>
      </w:r>
      <w:r w:rsidR="00904148">
        <w:t>s</w:t>
      </w:r>
      <w:r w:rsidR="00932113">
        <w:t xml:space="preserve">, </w:t>
      </w:r>
      <w:r w:rsidR="00F239F4">
        <w:t xml:space="preserve">there can potentially be significant variability in the quality of training programs and competencies of </w:t>
      </w:r>
      <w:r w:rsidR="00392D10">
        <w:t>providers</w:t>
      </w:r>
      <w:r w:rsidR="00F239F4">
        <w:t xml:space="preserve">. </w:t>
      </w:r>
      <w:r w:rsidR="00A22BC6">
        <w:t xml:space="preserve">Security guards undertaking activities such as </w:t>
      </w:r>
      <w:r w:rsidR="00631C08">
        <w:t xml:space="preserve">cash in transit guards and armed security guards carry firearms in the course of their jobs. </w:t>
      </w:r>
      <w:r w:rsidR="00461610">
        <w:t>Legal requirements to obtain a firearms licence along with a private security licence</w:t>
      </w:r>
      <w:r w:rsidR="006D0356">
        <w:t xml:space="preserve"> and to undergo annual re-qualification</w:t>
      </w:r>
      <w:r w:rsidR="00EB7C1C">
        <w:t xml:space="preserve"> training,</w:t>
      </w:r>
      <w:r w:rsidR="00EB7C1C">
        <w:rPr>
          <w:rStyle w:val="FootnoteReference"/>
        </w:rPr>
        <w:footnoteReference w:id="14"/>
      </w:r>
      <w:r w:rsidR="00461610">
        <w:t xml:space="preserve"> </w:t>
      </w:r>
      <w:r w:rsidR="00120615">
        <w:t>are critical to ensuring that the guards are well-trained in operating them.</w:t>
      </w:r>
      <w:r w:rsidR="00631C08">
        <w:t xml:space="preserve"> </w:t>
      </w:r>
      <w:r w:rsidR="00D917E4">
        <w:t>Therefore, government-issued private security licences and registrations serve a</w:t>
      </w:r>
      <w:r w:rsidR="008A483C">
        <w:t xml:space="preserve">s </w:t>
      </w:r>
      <w:r w:rsidR="00D917E4">
        <w:t>a baseline verification of an individua</w:t>
      </w:r>
      <w:r w:rsidR="006165C4">
        <w:t>l</w:t>
      </w:r>
      <w:r w:rsidR="00987FD7">
        <w:t>’s</w:t>
      </w:r>
      <w:r w:rsidR="00D917E4">
        <w:t xml:space="preserve">/business’ qualifications, </w:t>
      </w:r>
      <w:r w:rsidR="000469DC">
        <w:t>training,</w:t>
      </w:r>
      <w:r w:rsidR="00D917E4">
        <w:t xml:space="preserve"> and suitability for undertaking security activities.</w:t>
      </w:r>
      <w:r w:rsidR="00873C3F">
        <w:t xml:space="preserve"> </w:t>
      </w:r>
    </w:p>
    <w:p w14:paraId="008957CA" w14:textId="267B87BE" w:rsidR="00054B90" w:rsidRDefault="00BA3127" w:rsidP="00BD728C">
      <w:r>
        <w:t xml:space="preserve">Government oversight also enables accountability within the sector. Licenced and registered individuals and businesses </w:t>
      </w:r>
      <w:r w:rsidR="00A41D34">
        <w:t>are required to</w:t>
      </w:r>
      <w:r>
        <w:t xml:space="preserve"> adhere to the requirements of </w:t>
      </w:r>
      <w:r w:rsidR="0069546C">
        <w:t>their licences or registrations</w:t>
      </w:r>
      <w:r w:rsidR="00D604CD">
        <w:t>. P</w:t>
      </w:r>
      <w:r w:rsidR="00E76D09">
        <w:t xml:space="preserve">rovisions in the Act allow for the suspension or cancellation of </w:t>
      </w:r>
      <w:r w:rsidR="00054B90">
        <w:t>licences/registrations in case the holder becomes a prohibited person or is found guilty or convicted of an offence</w:t>
      </w:r>
      <w:r w:rsidR="001020DF">
        <w:t xml:space="preserve"> or otherwise ceases to be considered a fit and proper person to hold a licence or registration</w:t>
      </w:r>
      <w:r w:rsidR="00A41D34">
        <w:t xml:space="preserve">. </w:t>
      </w:r>
      <w:r w:rsidR="005538DC">
        <w:t xml:space="preserve">In 2022-23, Victoria Police suspended </w:t>
      </w:r>
      <w:r w:rsidR="00342901">
        <w:t>103 private security licences and registration and cancelled another 149 licences and registrations.</w:t>
      </w:r>
      <w:r w:rsidR="00342901">
        <w:rPr>
          <w:rStyle w:val="FootnoteReference"/>
        </w:rPr>
        <w:footnoteReference w:id="15"/>
      </w:r>
      <w:r w:rsidR="00342901">
        <w:t xml:space="preserve"> </w:t>
      </w:r>
      <w:r w:rsidR="004D6435">
        <w:t xml:space="preserve">This can serve as a deterrent </w:t>
      </w:r>
      <w:r w:rsidR="00A82AD9">
        <w:t>to engaging in</w:t>
      </w:r>
      <w:r w:rsidR="004D6435">
        <w:t xml:space="preserve"> unethical</w:t>
      </w:r>
      <w:r w:rsidR="00582A32">
        <w:t xml:space="preserve"> and unlawful </w:t>
      </w:r>
      <w:r w:rsidR="00D604CD">
        <w:t>behaviour</w:t>
      </w:r>
      <w:r w:rsidR="00D959E1">
        <w:t xml:space="preserve">. </w:t>
      </w:r>
    </w:p>
    <w:p w14:paraId="691F5FDA" w14:textId="69169A8E" w:rsidR="00BD728C" w:rsidRDefault="00BD728C" w:rsidP="0074185D">
      <w:pPr>
        <w:pStyle w:val="Heading2"/>
      </w:pPr>
      <w:bookmarkStart w:id="65" w:name="_Toc189832250"/>
      <w:r>
        <w:t xml:space="preserve">Specific rationale for the </w:t>
      </w:r>
      <w:r w:rsidR="000B5E54">
        <w:t>R</w:t>
      </w:r>
      <w:r>
        <w:t>egulations</w:t>
      </w:r>
      <w:bookmarkEnd w:id="65"/>
    </w:p>
    <w:p w14:paraId="1DEA73AC" w14:textId="2325B764" w:rsidR="00B12535" w:rsidRDefault="000E5E3E" w:rsidP="00B12535">
      <w:pPr>
        <w:pStyle w:val="Heading3"/>
      </w:pPr>
      <w:r>
        <w:t>P</w:t>
      </w:r>
      <w:r w:rsidRPr="000E5E3E">
        <w:t xml:space="preserve">roblems, causes and harms that have </w:t>
      </w:r>
      <w:r>
        <w:t xml:space="preserve">required </w:t>
      </w:r>
      <w:r w:rsidRPr="000E5E3E">
        <w:t>the</w:t>
      </w:r>
      <w:r w:rsidR="003440FA">
        <w:t xml:space="preserve"> amended Act and</w:t>
      </w:r>
      <w:r w:rsidRPr="000E5E3E">
        <w:t xml:space="preserve"> </w:t>
      </w:r>
      <w:r w:rsidR="005A2BFB">
        <w:t>supporting r</w:t>
      </w:r>
      <w:r w:rsidRPr="000E5E3E">
        <w:t>egulations</w:t>
      </w:r>
    </w:p>
    <w:p w14:paraId="7A217CD4" w14:textId="27DC4363" w:rsidR="002F2A63" w:rsidRDefault="00E257E8" w:rsidP="000E5E3E">
      <w:r>
        <w:t xml:space="preserve">The amended Act seeks to improve the integrity of the private security industry and efficiency of </w:t>
      </w:r>
      <w:r w:rsidR="00684DC7">
        <w:t xml:space="preserve">administering the regulatory framework. </w:t>
      </w:r>
      <w:r w:rsidR="00743872">
        <w:t xml:space="preserve">This includes </w:t>
      </w:r>
      <w:r w:rsidR="002A7FDD">
        <w:t>reducing the</w:t>
      </w:r>
      <w:r w:rsidR="008302DC">
        <w:t xml:space="preserve"> prevalence of sham contracting, </w:t>
      </w:r>
      <w:r w:rsidR="002A7FDD">
        <w:t xml:space="preserve">inadequate refresher training, </w:t>
      </w:r>
      <w:r w:rsidR="002F2A63">
        <w:t xml:space="preserve">and </w:t>
      </w:r>
      <w:r w:rsidR="002A7FDD">
        <w:t>inconsistent licensing</w:t>
      </w:r>
      <w:r w:rsidR="002F2A63">
        <w:t xml:space="preserve">. </w:t>
      </w:r>
    </w:p>
    <w:p w14:paraId="4BAA5CF5" w14:textId="0B648192" w:rsidR="007D348F" w:rsidRDefault="007D348F" w:rsidP="00C16448">
      <w:r>
        <w:t xml:space="preserve">Independent contracting is widely used as a means of engaging workers in the industry. Genuine independent contracting is a legitimate business arrangement, </w:t>
      </w:r>
      <w:r w:rsidR="00060D68">
        <w:t xml:space="preserve">however, sham contracting can occur </w:t>
      </w:r>
      <w:r>
        <w:t>when an employer attempts to disguise an employment relationship as a</w:t>
      </w:r>
      <w:r w:rsidR="00060D68">
        <w:t xml:space="preserve"> </w:t>
      </w:r>
      <w:r>
        <w:t>contractor relationship by engaging individual Australian Business Number (ABN) holders providing labour</w:t>
      </w:r>
      <w:r w:rsidR="00060D68">
        <w:t xml:space="preserve"> </w:t>
      </w:r>
      <w:r>
        <w:t>only. This practice avoids payment of superannuation, penalty rates for night shifts, weekends, public</w:t>
      </w:r>
      <w:r w:rsidR="00060D68">
        <w:t xml:space="preserve"> </w:t>
      </w:r>
      <w:r>
        <w:t xml:space="preserve">holidays, overtime payments, or any form of paid leave. Under the Section 50 of the </w:t>
      </w:r>
      <w:r w:rsidRPr="005063E2">
        <w:rPr>
          <w:i/>
          <w:iCs/>
        </w:rPr>
        <w:t>Fair Work Act 2009</w:t>
      </w:r>
      <w:r>
        <w:t>, it</w:t>
      </w:r>
      <w:r w:rsidR="001E729D">
        <w:t xml:space="preserve"> </w:t>
      </w:r>
      <w:r>
        <w:t xml:space="preserve">is unlawful to misrepresent an employment relationship as an </w:t>
      </w:r>
      <w:r>
        <w:lastRenderedPageBreak/>
        <w:t>independent contracting relationship.</w:t>
      </w:r>
      <w:r w:rsidR="00CC4358">
        <w:t xml:space="preserve"> It is difficult to accurately measure the extent of sham contracting in the industry, however, feedback from the Minister for Police’s industry advisory body, the Victorian Security Industry Advisory Council (VSIAC), indicate</w:t>
      </w:r>
      <w:r w:rsidR="00CE67B1">
        <w:t>s</w:t>
      </w:r>
      <w:r w:rsidR="00CC4358">
        <w:t xml:space="preserve"> the practice is widespread.</w:t>
      </w:r>
      <w:r w:rsidR="00C16448">
        <w:t xml:space="preserve"> While regulation of sham contracting is largely</w:t>
      </w:r>
      <w:r w:rsidR="005063E2">
        <w:t xml:space="preserve"> </w:t>
      </w:r>
      <w:r w:rsidR="00C16448">
        <w:t xml:space="preserve">an issue for the Commonwealth Fair Work Ombudsman through the </w:t>
      </w:r>
      <w:r w:rsidR="00C16448" w:rsidRPr="005063E2">
        <w:rPr>
          <w:i/>
          <w:iCs/>
        </w:rPr>
        <w:t>Fair Work Act 2009</w:t>
      </w:r>
      <w:r w:rsidR="005063E2">
        <w:t xml:space="preserve">, the </w:t>
      </w:r>
      <w:r w:rsidR="00E95B90">
        <w:t xml:space="preserve">amended </w:t>
      </w:r>
      <w:r w:rsidR="005063E2">
        <w:t xml:space="preserve">Act </w:t>
      </w:r>
      <w:r w:rsidR="00E95B90">
        <w:t>seeks</w:t>
      </w:r>
      <w:r w:rsidR="00E95B90" w:rsidRPr="00E95B90">
        <w:t xml:space="preserve"> to deter sham contracting by requiring a person seeking to operate under an ABN as an individual security supplier to also obtain a business private security licence. This makes it much harder for employers to ask individual workers </w:t>
      </w:r>
      <w:r w:rsidR="00F773A3">
        <w:t>to</w:t>
      </w:r>
      <w:r w:rsidR="00E95B90" w:rsidRPr="00E95B90">
        <w:t xml:space="preserve"> </w:t>
      </w:r>
      <w:r w:rsidR="00570D73">
        <w:t>work as</w:t>
      </w:r>
      <w:r w:rsidR="00E95B90" w:rsidRPr="00E95B90">
        <w:t xml:space="preserve"> </w:t>
      </w:r>
      <w:r w:rsidR="007F5DC8">
        <w:t>independent contractors</w:t>
      </w:r>
      <w:r w:rsidR="00E95B90" w:rsidRPr="00E95B90">
        <w:t xml:space="preserve"> so they can inappropriately avoid paying employment related costs.</w:t>
      </w:r>
    </w:p>
    <w:p w14:paraId="53C8F293" w14:textId="0305B366" w:rsidR="001D5144" w:rsidRDefault="009A560A" w:rsidP="001D5144">
      <w:r>
        <w:t>Refresher training describes retraining undertaken by a person already qualified or previously assessed as competent in a field with the intention of updating skills and/or knowledge to a changed standard or providing the opportunity to ensure that no important skills or knowledge have been lost due to lack of use.</w:t>
      </w:r>
      <w:r w:rsidR="001D5144">
        <w:t xml:space="preserve"> There are a number of causes which contribute to inadequate refresher training. The central reason is that</w:t>
      </w:r>
      <w:r w:rsidR="0086642A">
        <w:t xml:space="preserve"> </w:t>
      </w:r>
      <w:r w:rsidR="001D5144">
        <w:t>refresher training is not expected or mandatory for licence holders when renewing their licence. A lack of refresher training in the industry means that workers in crowd control and club/pub security may</w:t>
      </w:r>
      <w:r w:rsidR="00121EB2">
        <w:t xml:space="preserve"> </w:t>
      </w:r>
      <w:r w:rsidR="001D5144">
        <w:t>not have updated training in conflict resolution and safe restraint techniques for many years. Regular</w:t>
      </w:r>
      <w:r w:rsidR="00121EB2">
        <w:t xml:space="preserve"> </w:t>
      </w:r>
      <w:r w:rsidR="001D5144">
        <w:t>refresher training is viewed as critical to ensuring workers have the most up to date skills to complete their</w:t>
      </w:r>
      <w:r w:rsidR="00121EB2">
        <w:t xml:space="preserve"> </w:t>
      </w:r>
      <w:r w:rsidR="001D5144">
        <w:t>roles safely and competently</w:t>
      </w:r>
      <w:r w:rsidR="00BB646A">
        <w:t>, and t</w:t>
      </w:r>
      <w:r w:rsidR="00121EB2">
        <w:t xml:space="preserve">he amended Act </w:t>
      </w:r>
      <w:r w:rsidR="00BB646A">
        <w:t xml:space="preserve">will require </w:t>
      </w:r>
      <w:r w:rsidR="00BB646A" w:rsidRPr="00BB646A">
        <w:t>workers in high-risk roles (e.g., crowd controllers) to undertake refresher training prior to licence renewal.</w:t>
      </w:r>
    </w:p>
    <w:p w14:paraId="68960923" w14:textId="29CB6E5F" w:rsidR="001D5144" w:rsidRDefault="00F1775C" w:rsidP="00F1775C">
      <w:r>
        <w:t xml:space="preserve">Inconsistency of licensing in the industry is related to the current requirements in the Act </w:t>
      </w:r>
      <w:r w:rsidR="00DE3459">
        <w:t>for Class A</w:t>
      </w:r>
      <w:r w:rsidR="006D11BD">
        <w:t xml:space="preserve"> lice</w:t>
      </w:r>
      <w:r w:rsidR="005D3ABB">
        <w:t>nces</w:t>
      </w:r>
      <w:r w:rsidR="00DE3459">
        <w:t xml:space="preserve"> and Class B </w:t>
      </w:r>
      <w:r w:rsidR="005D3ABB">
        <w:t>registration</w:t>
      </w:r>
      <w:r>
        <w:t xml:space="preserve">. The rationale for creating a two-tiered licensing scheme at the Act’s inception was </w:t>
      </w:r>
      <w:r w:rsidR="00DE3459">
        <w:t xml:space="preserve">Class A activities were </w:t>
      </w:r>
      <w:r>
        <w:t>viewed as attracting higher risk, both to workers and community safety, and that training was critical</w:t>
      </w:r>
      <w:r w:rsidR="00D35AE5">
        <w:t xml:space="preserve"> </w:t>
      </w:r>
      <w:r>
        <w:t>for these workers. There was also a concern that small businesses installing security equipment would be</w:t>
      </w:r>
      <w:r w:rsidR="00D35AE5">
        <w:t xml:space="preserve"> </w:t>
      </w:r>
      <w:r>
        <w:t>unduly burdened by having to apply for a licence.</w:t>
      </w:r>
      <w:r w:rsidR="00D35AE5">
        <w:t xml:space="preserve"> </w:t>
      </w:r>
    </w:p>
    <w:p w14:paraId="7672B1FC" w14:textId="011CDB99" w:rsidR="00A23AE8" w:rsidRDefault="00A23AE8" w:rsidP="005A0C6F">
      <w:r>
        <w:t xml:space="preserve">The central harm associated with the two-tier licensing and registration system relates to the lack of prescribed training to obtain a registration compared to a licence. The </w:t>
      </w:r>
      <w:r w:rsidR="00C030B3">
        <w:t>security equipment installation and advice sector</w:t>
      </w:r>
      <w:r>
        <w:t xml:space="preserve"> has evolved significantly over time with the advancement of technology and is playing a crucial role in communicating with private security guards and other security activity providers to manage incidents. Those working in the technical sector increasingly have access to Government and private enterprise electronic information.</w:t>
      </w:r>
      <w:r w:rsidR="003440FA">
        <w:t xml:space="preserve"> There are also regulatory inefficiencies associated with the two-tier licensing and registration system. It places an administrative burden on individuals and business who </w:t>
      </w:r>
      <w:r w:rsidR="00C030B3">
        <w:t>undertake both Class A and Class B activities</w:t>
      </w:r>
      <w:r w:rsidR="003440FA">
        <w:t xml:space="preserve"> and must therefore complete multiple applications with different requirements.</w:t>
      </w:r>
      <w:r w:rsidR="005A0C6F">
        <w:t xml:space="preserve"> The current licensing and registration system also creates regulatory inefficiencies for the regulator who must provide extensive training to staff on multiple sections of the Act to be able to accurately assess licence and registration applications.</w:t>
      </w:r>
      <w:r w:rsidR="00194900">
        <w:t xml:space="preserve"> To address these harms, the amended Act replaces</w:t>
      </w:r>
      <w:r w:rsidR="00194900" w:rsidRPr="00194900">
        <w:t xml:space="preserve"> the current two-tier system</w:t>
      </w:r>
      <w:r w:rsidR="00194900">
        <w:t>,</w:t>
      </w:r>
      <w:r w:rsidR="00194900" w:rsidRPr="00194900">
        <w:t xml:space="preserve"> which requires most sectors of the industry to obtain a licence and others to obtain registration</w:t>
      </w:r>
      <w:r w:rsidR="00194900">
        <w:t>,</w:t>
      </w:r>
      <w:r w:rsidR="00194900" w:rsidRPr="00194900">
        <w:t xml:space="preserve"> with a single tier licensing system.</w:t>
      </w:r>
    </w:p>
    <w:p w14:paraId="589F2411" w14:textId="6DA95DDD" w:rsidR="00C030B3" w:rsidRDefault="007C0231" w:rsidP="005A0C6F">
      <w:r>
        <w:t xml:space="preserve">Just as the current Regulations give effect to licensing scheme in the current </w:t>
      </w:r>
      <w:r w:rsidR="005D4CBB">
        <w:t>A</w:t>
      </w:r>
      <w:r>
        <w:t>ct by setting out the prescribed particulars and documents required to support an application and the fees charged for applications, the proposed Regulations are required to give effect to the single tier licensing scheme under the amended Act by similarly prescribing the required particulars, documents and fees.</w:t>
      </w:r>
    </w:p>
    <w:p w14:paraId="09695BF6" w14:textId="20C9D759" w:rsidR="004879EB" w:rsidRDefault="00B25C01" w:rsidP="004879EB">
      <w:pPr>
        <w:pStyle w:val="Heading3"/>
      </w:pPr>
      <w:r>
        <w:t>Efficiency of licence</w:t>
      </w:r>
      <w:r w:rsidR="008E4D97">
        <w:t xml:space="preserve"> applications and </w:t>
      </w:r>
      <w:r w:rsidR="00370399">
        <w:t>other administration</w:t>
      </w:r>
    </w:p>
    <w:p w14:paraId="33CCF921" w14:textId="074DC21C" w:rsidR="00BE2C8D" w:rsidRDefault="00562EDD" w:rsidP="00217CA2">
      <w:r w:rsidDel="00CB4733">
        <w:t xml:space="preserve">The Regulations </w:t>
      </w:r>
      <w:r w:rsidR="006B6A94">
        <w:t xml:space="preserve">are intended to </w:t>
      </w:r>
      <w:r w:rsidDel="00CB4733">
        <w:t>support the</w:t>
      </w:r>
      <w:r w:rsidR="002550EB" w:rsidDel="00CB4733">
        <w:t xml:space="preserve"> effective functioning of the</w:t>
      </w:r>
      <w:r w:rsidDel="00CB4733">
        <w:t xml:space="preserve"> </w:t>
      </w:r>
      <w:r w:rsidR="006B6A94">
        <w:t xml:space="preserve">amended </w:t>
      </w:r>
      <w:r w:rsidDel="00CB4733">
        <w:t>Act</w:t>
      </w:r>
      <w:r w:rsidR="00037302" w:rsidDel="00CB4733">
        <w:t xml:space="preserve">. </w:t>
      </w:r>
      <w:r w:rsidR="00C01471">
        <w:t xml:space="preserve">While the </w:t>
      </w:r>
      <w:r w:rsidR="006B6A94">
        <w:t xml:space="preserve">amended </w:t>
      </w:r>
      <w:r w:rsidR="00C01471">
        <w:t xml:space="preserve">Act </w:t>
      </w:r>
      <w:r w:rsidR="006B6A94">
        <w:t xml:space="preserve">will </w:t>
      </w:r>
      <w:r w:rsidR="00C01471">
        <w:t>s</w:t>
      </w:r>
      <w:r w:rsidR="008655A0">
        <w:t>pecif</w:t>
      </w:r>
      <w:r w:rsidR="006B6A94">
        <w:t>y</w:t>
      </w:r>
      <w:r w:rsidR="008655A0">
        <w:t xml:space="preserve"> the probity </w:t>
      </w:r>
      <w:r w:rsidR="00352E0E">
        <w:t>and competency</w:t>
      </w:r>
      <w:r w:rsidR="008655A0">
        <w:t xml:space="preserve"> requirements that must be met to be granted a licence, the Regulations list the </w:t>
      </w:r>
      <w:r w:rsidR="00391361">
        <w:t>documents and particulars required to be included</w:t>
      </w:r>
      <w:r w:rsidR="00352E0E">
        <w:t xml:space="preserve"> to fulfil these requirements</w:t>
      </w:r>
      <w:r w:rsidR="00391361">
        <w:t xml:space="preserve">. This provides the industry and Victoria Police with the certainty over documents and information required. </w:t>
      </w:r>
      <w:r w:rsidR="0090162F">
        <w:t xml:space="preserve">While it is likely that Victoria Police would provide </w:t>
      </w:r>
      <w:r w:rsidR="005C4439">
        <w:t>guidance to applicants regarding the required documentation</w:t>
      </w:r>
      <w:r w:rsidR="0090289F">
        <w:t xml:space="preserve"> in the absence of Regulations</w:t>
      </w:r>
      <w:r w:rsidR="005C4439">
        <w:t>, th</w:t>
      </w:r>
      <w:r w:rsidR="0090289F">
        <w:t>is guidance</w:t>
      </w:r>
      <w:r w:rsidR="005C4439">
        <w:t xml:space="preserve"> would not have the legal authority that the Regulations do.</w:t>
      </w:r>
      <w:r w:rsidR="00885C1C">
        <w:t xml:space="preserve"> </w:t>
      </w:r>
      <w:r w:rsidR="00A63A37">
        <w:t>Victoria Police would</w:t>
      </w:r>
      <w:r w:rsidR="00410517">
        <w:t xml:space="preserve"> likely</w:t>
      </w:r>
      <w:r w:rsidR="00A63A37">
        <w:t xml:space="preserve"> not have a legal basis </w:t>
      </w:r>
      <w:r w:rsidR="00410517">
        <w:t xml:space="preserve">for </w:t>
      </w:r>
      <w:r w:rsidR="00A63A37">
        <w:t>rejecting applications with ins</w:t>
      </w:r>
      <w:r w:rsidR="00410517">
        <w:t>ufficient or incorrect documentation in the absence of legally prescribed documentation</w:t>
      </w:r>
      <w:r w:rsidR="00B64DB5">
        <w:t xml:space="preserve"> requirement</w:t>
      </w:r>
      <w:r w:rsidR="00410517">
        <w:t xml:space="preserve">. </w:t>
      </w:r>
    </w:p>
    <w:p w14:paraId="304EBA95" w14:textId="7BCE36EF" w:rsidR="00F9029B" w:rsidRDefault="008E125A" w:rsidP="00217CA2">
      <w:r>
        <w:t xml:space="preserve">The Regulations prescribe the requirement for private security businesses to </w:t>
      </w:r>
      <w:r w:rsidR="00897AD0">
        <w:t>keep permanent records of services provided by them</w:t>
      </w:r>
      <w:r w:rsidR="00571286">
        <w:t xml:space="preserve"> including </w:t>
      </w:r>
      <w:r w:rsidR="008F69DA">
        <w:t>the name</w:t>
      </w:r>
      <w:r w:rsidR="00720075">
        <w:t xml:space="preserve"> and address of the person requesting the service, the date the service was requested and was provide</w:t>
      </w:r>
      <w:r w:rsidR="007436FB">
        <w:t>d</w:t>
      </w:r>
      <w:r w:rsidR="00720075">
        <w:t>,</w:t>
      </w:r>
      <w:r w:rsidR="00FE351B">
        <w:t xml:space="preserve"> the nature of services provided</w:t>
      </w:r>
      <w:r w:rsidR="00320C09">
        <w:t>,</w:t>
      </w:r>
      <w:r w:rsidR="00FE351B">
        <w:t xml:space="preserve"> and the names and addresses </w:t>
      </w:r>
      <w:r w:rsidR="00F51207">
        <w:t>of any persons engaged to provide these services</w:t>
      </w:r>
      <w:r w:rsidR="00897AD0">
        <w:t xml:space="preserve">. </w:t>
      </w:r>
      <w:r w:rsidR="000320D2">
        <w:t xml:space="preserve">While it is likely that businesses would hold these records for business purposes even in the absence of Regulations, Victoria Police would not have the </w:t>
      </w:r>
      <w:r w:rsidR="00381FAF">
        <w:t>authority</w:t>
      </w:r>
      <w:r w:rsidR="000320D2">
        <w:t xml:space="preserve"> to inspect these records. It is the Regulations that grant </w:t>
      </w:r>
      <w:r w:rsidR="00381FAF">
        <w:t>Victoria</w:t>
      </w:r>
      <w:r w:rsidR="000320D2">
        <w:t xml:space="preserve"> Police </w:t>
      </w:r>
      <w:r w:rsidR="00264645">
        <w:t>the power</w:t>
      </w:r>
      <w:r w:rsidR="000320D2">
        <w:t xml:space="preserve"> to inspect the records and prescribes fines for both failing to keep records and</w:t>
      </w:r>
      <w:r w:rsidR="00381FAF">
        <w:t xml:space="preserve"> for failing to make the records available for inspection. </w:t>
      </w:r>
      <w:r w:rsidR="00F02209">
        <w:t xml:space="preserve">These records are important for Victoria Police’s monitoring and </w:t>
      </w:r>
      <w:r w:rsidR="000C67F8">
        <w:t xml:space="preserve">compliance </w:t>
      </w:r>
      <w:r w:rsidR="005B2B9E">
        <w:t>activities.</w:t>
      </w:r>
      <w:r w:rsidR="004F755D">
        <w:rPr>
          <w:rStyle w:val="FootnoteReference"/>
        </w:rPr>
        <w:footnoteReference w:id="16"/>
      </w:r>
      <w:r w:rsidR="005B2B9E">
        <w:t xml:space="preserve"> </w:t>
      </w:r>
      <w:r w:rsidR="00BE2C8D">
        <w:t>The Regulations also require</w:t>
      </w:r>
      <w:r w:rsidR="00320C09">
        <w:t xml:space="preserve"> crowd controllers to record their start and finish times </w:t>
      </w:r>
      <w:r w:rsidR="00AD1371">
        <w:t xml:space="preserve">along with their signatures for each duty period. This </w:t>
      </w:r>
      <w:r w:rsidR="00F84925">
        <w:t>requirem</w:t>
      </w:r>
      <w:r w:rsidR="00360C2D">
        <w:t xml:space="preserve">ent </w:t>
      </w:r>
      <w:r w:rsidR="00FB4202">
        <w:t>en</w:t>
      </w:r>
      <w:r w:rsidR="00BE1B66">
        <w:t>sures that accurate records are available in case of any incidents involving crowd controllers</w:t>
      </w:r>
      <w:r w:rsidR="00F7541B">
        <w:t xml:space="preserve">. </w:t>
      </w:r>
    </w:p>
    <w:p w14:paraId="5E86A9AE" w14:textId="086527DB" w:rsidR="004879EB" w:rsidRPr="004879EB" w:rsidRDefault="004879EB" w:rsidP="004879EB">
      <w:pPr>
        <w:pStyle w:val="Heading3"/>
      </w:pPr>
      <w:r w:rsidRPr="004879EB">
        <w:lastRenderedPageBreak/>
        <w:t xml:space="preserve">Cost recovery for the </w:t>
      </w:r>
      <w:r>
        <w:t>a</w:t>
      </w:r>
      <w:r w:rsidRPr="004879EB">
        <w:t xml:space="preserve">dministration of the </w:t>
      </w:r>
      <w:r w:rsidR="00F30A9C">
        <w:t>regulatory framework</w:t>
      </w:r>
    </w:p>
    <w:p w14:paraId="6F2863E1" w14:textId="628C5650" w:rsidR="002F7EB5" w:rsidRDefault="002F7EB5" w:rsidP="002F7EB5">
      <w:r>
        <w:t xml:space="preserve">The Regulations provide a mechanism for Victoria Police </w:t>
      </w:r>
      <w:r w:rsidR="005B03E9">
        <w:t xml:space="preserve">to recover the cost of issuing licences </w:t>
      </w:r>
      <w:r w:rsidR="007542E9">
        <w:t>and for regulating the sector</w:t>
      </w:r>
      <w:r w:rsidR="00BC53BC">
        <w:t xml:space="preserve"> through prescribing the fees for</w:t>
      </w:r>
      <w:r w:rsidR="00E250B2">
        <w:t xml:space="preserve"> </w:t>
      </w:r>
      <w:r w:rsidR="0001720C">
        <w:t>private security licences</w:t>
      </w:r>
      <w:r w:rsidR="007542E9">
        <w:t>.</w:t>
      </w:r>
      <w:r w:rsidR="005C7C73">
        <w:t xml:space="preserve"> In the event of the Regulations sunsetting without being remade, Victoria Police would still need to regulate the private security industry and issue licences to individuals and businesses working in the industry. However, i</w:t>
      </w:r>
      <w:r w:rsidR="007542E9">
        <w:t xml:space="preserve">n the absence of the Regulations prescribing the fees, the cost of administering the Regulations would need to be funded through other sources such as </w:t>
      </w:r>
      <w:r w:rsidR="00E062DE">
        <w:t xml:space="preserve">consolidated revenue or from Victoria Police’s budget. </w:t>
      </w:r>
      <w:r w:rsidR="005121FE">
        <w:t xml:space="preserve">This would shift the cost burden from those who gain a direct benefit from the services (the private security industry) to the Victorian community. </w:t>
      </w:r>
    </w:p>
    <w:p w14:paraId="285EE89B" w14:textId="77777777" w:rsidR="00A05539" w:rsidRDefault="00A05539" w:rsidP="00A05539">
      <w:pPr>
        <w:pStyle w:val="Heading4"/>
      </w:pPr>
      <w:r>
        <w:t>Revenue received from private security licensing and registration</w:t>
      </w:r>
    </w:p>
    <w:p w14:paraId="5C0E44C5" w14:textId="77777777" w:rsidR="00A05539" w:rsidRDefault="00A05539" w:rsidP="00A05539">
      <w:r>
        <w:t xml:space="preserve">Data provided by Victoria Police indicates that private security fees generated between $6.25 million and $9.44 million per annum in net revenue from 2016-17 to 2023-24. There was a slightly positive trend in total net revenue during most of the life of the sunsetting Regulations. The increase to $9.14 million in the 2022-23 financial year (from $7.86 million in 2021-22) was because of the policy decision to cease issuing short-term private security licences. </w:t>
      </w:r>
    </w:p>
    <w:p w14:paraId="7B8CAF9D" w14:textId="77777777" w:rsidR="00FC4C8B" w:rsidRPr="00CB1280" w:rsidRDefault="00BC56EA" w:rsidP="00945DAD">
      <w:pPr>
        <w:pStyle w:val="Heading4"/>
      </w:pPr>
      <w:r>
        <w:t>C</w:t>
      </w:r>
      <w:r w:rsidR="00B57413">
        <w:t xml:space="preserve">ost base </w:t>
      </w:r>
      <w:r w:rsidR="00C74C81">
        <w:t xml:space="preserve">for private security </w:t>
      </w:r>
      <w:r w:rsidR="00AE54EF">
        <w:t xml:space="preserve">licensing </w:t>
      </w:r>
      <w:r w:rsidR="00C74C81">
        <w:t xml:space="preserve">and registration </w:t>
      </w:r>
      <w:r>
        <w:t xml:space="preserve">in financial year </w:t>
      </w:r>
      <w:r w:rsidRPr="00CB1280">
        <w:t>202</w:t>
      </w:r>
      <w:r w:rsidR="004810BE" w:rsidRPr="00CB1280">
        <w:t>4</w:t>
      </w:r>
      <w:r w:rsidRPr="00CB1280">
        <w:t>-2</w:t>
      </w:r>
      <w:r w:rsidR="004810BE" w:rsidRPr="00CB1280">
        <w:t>5</w:t>
      </w:r>
    </w:p>
    <w:p w14:paraId="5F3A040F" w14:textId="40B65FA0" w:rsidR="00FD46FF" w:rsidRDefault="00543022" w:rsidP="002F7EB5">
      <w:r w:rsidRPr="00CB1280">
        <w:t xml:space="preserve">Data provided by Victoria Police </w:t>
      </w:r>
      <w:r w:rsidR="002A6597" w:rsidRPr="00CB1280">
        <w:t>indicates a total cost base of $</w:t>
      </w:r>
      <w:r w:rsidR="00AA6C1B" w:rsidRPr="00CB1280">
        <w:t>10.74</w:t>
      </w:r>
      <w:r w:rsidR="002A6597" w:rsidRPr="00CB1280">
        <w:t xml:space="preserve"> million </w:t>
      </w:r>
      <w:r w:rsidR="009A21C3" w:rsidRPr="00CB1280">
        <w:t xml:space="preserve">for FY2024-25 </w:t>
      </w:r>
      <w:r w:rsidR="00ED160D" w:rsidRPr="00CB1280">
        <w:t>in</w:t>
      </w:r>
      <w:r w:rsidR="00ED160D">
        <w:t xml:space="preserve"> regulating the private security sector. This includes the direct cost of </w:t>
      </w:r>
      <w:r w:rsidR="00B207DF">
        <w:t xml:space="preserve">processing </w:t>
      </w:r>
      <w:r w:rsidR="001249FC">
        <w:t xml:space="preserve">new, </w:t>
      </w:r>
      <w:r w:rsidR="00B96457">
        <w:t xml:space="preserve">renewed </w:t>
      </w:r>
      <w:r w:rsidR="001249FC">
        <w:t>and vari</w:t>
      </w:r>
      <w:r w:rsidR="00EA34DE">
        <w:t>ed</w:t>
      </w:r>
      <w:r w:rsidR="00862F0B">
        <w:t xml:space="preserve"> private security licences and </w:t>
      </w:r>
      <w:r w:rsidR="00D349AD">
        <w:t>registrations, regulatory</w:t>
      </w:r>
      <w:r w:rsidR="00A2104D">
        <w:t xml:space="preserve"> costs such as </w:t>
      </w:r>
      <w:r w:rsidR="000C67F8">
        <w:t>monitoring and compliance</w:t>
      </w:r>
      <w:r w:rsidR="00A2104D">
        <w:t xml:space="preserve"> activities, and indirect overheads associated with enabling regulatory activities. </w:t>
      </w:r>
      <w:r w:rsidR="005546C1">
        <w:t xml:space="preserve">The breakdown of the costs </w:t>
      </w:r>
      <w:r w:rsidR="00F603E2">
        <w:t xml:space="preserve">in FY2024-25 </w:t>
      </w:r>
      <w:r w:rsidR="005546C1">
        <w:t>is provided in</w:t>
      </w:r>
      <w:r w:rsidR="001B00E4">
        <w:t xml:space="preserve"> Table 2.1</w:t>
      </w:r>
      <w:r w:rsidR="005546C1">
        <w:t xml:space="preserve"> below</w:t>
      </w:r>
      <w:r w:rsidR="00CB1280">
        <w:t xml:space="preserve"> and expanded on in </w:t>
      </w:r>
      <w:r w:rsidR="00CB1280" w:rsidRPr="00414AF9">
        <w:t xml:space="preserve">Appendix </w:t>
      </w:r>
      <w:r w:rsidR="00414AF9" w:rsidRPr="00414AF9">
        <w:t>8.2</w:t>
      </w:r>
      <w:r w:rsidR="00CB1280" w:rsidRPr="00414AF9">
        <w:t>.</w:t>
      </w:r>
      <w:r w:rsidR="005546C1">
        <w:t xml:space="preserve"> </w:t>
      </w:r>
    </w:p>
    <w:p w14:paraId="4FBA8E30" w14:textId="5E632718" w:rsidR="005546C1" w:rsidRDefault="005546C1" w:rsidP="005546C1">
      <w:pPr>
        <w:pStyle w:val="Caption"/>
      </w:pPr>
      <w:r>
        <w:t xml:space="preserve">Table </w:t>
      </w:r>
      <w:r w:rsidR="00414520">
        <w:fldChar w:fldCharType="begin"/>
      </w:r>
      <w:r w:rsidR="00414520">
        <w:instrText xml:space="preserve"> STYLEREF 1 \s </w:instrText>
      </w:r>
      <w:r w:rsidR="00414520">
        <w:fldChar w:fldCharType="separate"/>
      </w:r>
      <w:r w:rsidR="009D133E">
        <w:rPr>
          <w:noProof/>
        </w:rPr>
        <w:t>2</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1</w:t>
      </w:r>
      <w:r w:rsidR="00414520">
        <w:fldChar w:fldCharType="end"/>
      </w:r>
      <w:r>
        <w:t xml:space="preserve">: Breakdown of Victoria Police cost base relating to private security </w:t>
      </w:r>
      <w:r w:rsidR="00042467">
        <w:t>in FY2024-25</w:t>
      </w:r>
    </w:p>
    <w:tbl>
      <w:tblPr>
        <w:tblStyle w:val="Deloittetable1"/>
        <w:tblW w:w="5000" w:type="pct"/>
        <w:tblLook w:val="04A0" w:firstRow="1" w:lastRow="0" w:firstColumn="1" w:lastColumn="0" w:noHBand="0" w:noVBand="1"/>
      </w:tblPr>
      <w:tblGrid>
        <w:gridCol w:w="6265"/>
        <w:gridCol w:w="3373"/>
      </w:tblGrid>
      <w:tr w:rsidR="005546C1" w:rsidRPr="00F07D02" w14:paraId="36C5907B" w14:textId="77777777" w:rsidTr="009B36B6">
        <w:trPr>
          <w:cnfStyle w:val="100000000000" w:firstRow="1" w:lastRow="0" w:firstColumn="0" w:lastColumn="0" w:oddVBand="0" w:evenVBand="0" w:oddHBand="0" w:evenHBand="0" w:firstRowFirstColumn="0" w:firstRowLastColumn="0" w:lastRowFirstColumn="0" w:lastRowLastColumn="0"/>
          <w:tblHeader/>
        </w:trPr>
        <w:tc>
          <w:tcPr>
            <w:tcW w:w="3250" w:type="pct"/>
          </w:tcPr>
          <w:p w14:paraId="42EDA001" w14:textId="77777777" w:rsidR="005546C1" w:rsidRPr="0059190D" w:rsidRDefault="00506F6E" w:rsidP="005546C1">
            <w:pPr>
              <w:jc w:val="both"/>
              <w:rPr>
                <w:b/>
                <w:lang w:eastAsia="en-AU"/>
              </w:rPr>
            </w:pPr>
            <w:r w:rsidRPr="0059190D">
              <w:rPr>
                <w:b/>
                <w:lang w:eastAsia="en-AU"/>
              </w:rPr>
              <w:t>Cost type</w:t>
            </w:r>
            <w:r w:rsidR="005546C1" w:rsidRPr="0059190D">
              <w:rPr>
                <w:b/>
                <w:lang w:eastAsia="en-AU"/>
              </w:rPr>
              <w:t xml:space="preserve"> </w:t>
            </w:r>
          </w:p>
        </w:tc>
        <w:tc>
          <w:tcPr>
            <w:tcW w:w="1750" w:type="pct"/>
          </w:tcPr>
          <w:p w14:paraId="312014AA" w14:textId="77777777" w:rsidR="005546C1" w:rsidRPr="0059190D" w:rsidRDefault="00506F6E" w:rsidP="00042467">
            <w:pPr>
              <w:jc w:val="center"/>
              <w:rPr>
                <w:b/>
                <w:lang w:eastAsia="en-AU"/>
              </w:rPr>
            </w:pPr>
            <w:r w:rsidRPr="0059190D">
              <w:rPr>
                <w:b/>
                <w:lang w:eastAsia="en-AU"/>
              </w:rPr>
              <w:t>Cost</w:t>
            </w:r>
            <w:r w:rsidR="00F858C8" w:rsidRPr="0059190D">
              <w:rPr>
                <w:b/>
                <w:lang w:eastAsia="en-AU"/>
              </w:rPr>
              <w:t xml:space="preserve"> ($ millions)</w:t>
            </w:r>
          </w:p>
        </w:tc>
      </w:tr>
      <w:tr w:rsidR="005546C1" w:rsidRPr="00F07D02" w14:paraId="2C41F654" w14:textId="77777777">
        <w:tc>
          <w:tcPr>
            <w:tcW w:w="3250" w:type="pct"/>
          </w:tcPr>
          <w:p w14:paraId="5444868A" w14:textId="77777777" w:rsidR="005546C1" w:rsidRPr="009B36B6" w:rsidRDefault="00C32532" w:rsidP="005546C1">
            <w:pPr>
              <w:rPr>
                <w:lang w:eastAsia="en-AU"/>
              </w:rPr>
            </w:pPr>
            <w:r w:rsidRPr="009B36B6">
              <w:rPr>
                <w:lang w:eastAsia="en-AU"/>
              </w:rPr>
              <w:t>Licensing and Regulat</w:t>
            </w:r>
            <w:r w:rsidR="00FA50ED" w:rsidRPr="009B36B6">
              <w:rPr>
                <w:lang w:eastAsia="en-AU"/>
              </w:rPr>
              <w:t>ion</w:t>
            </w:r>
            <w:r w:rsidRPr="009B36B6">
              <w:rPr>
                <w:lang w:eastAsia="en-AU"/>
              </w:rPr>
              <w:t xml:space="preserve"> Division </w:t>
            </w:r>
          </w:p>
        </w:tc>
        <w:tc>
          <w:tcPr>
            <w:tcW w:w="1750" w:type="pct"/>
          </w:tcPr>
          <w:p w14:paraId="63EA3D63" w14:textId="77777777" w:rsidR="005546C1" w:rsidRPr="009B36B6" w:rsidRDefault="00AF3450" w:rsidP="00042467">
            <w:pPr>
              <w:pStyle w:val="ListParagraph"/>
              <w:ind w:left="57"/>
              <w:jc w:val="center"/>
              <w:rPr>
                <w:lang w:eastAsia="en-AU"/>
              </w:rPr>
            </w:pPr>
            <w:r>
              <w:rPr>
                <w:lang w:eastAsia="en-AU"/>
              </w:rPr>
              <w:t>5.42</w:t>
            </w:r>
          </w:p>
        </w:tc>
      </w:tr>
      <w:tr w:rsidR="005546C1" w:rsidRPr="00F07D02" w14:paraId="1214D797" w14:textId="77777777">
        <w:tc>
          <w:tcPr>
            <w:tcW w:w="3250" w:type="pct"/>
          </w:tcPr>
          <w:p w14:paraId="7993B58D" w14:textId="77777777" w:rsidR="005546C1" w:rsidRPr="009B36B6" w:rsidRDefault="000D6737" w:rsidP="005546C1">
            <w:pPr>
              <w:rPr>
                <w:lang w:eastAsia="en-AU"/>
              </w:rPr>
            </w:pPr>
            <w:r>
              <w:rPr>
                <w:lang w:eastAsia="en-AU"/>
              </w:rPr>
              <w:t>Legal Services Department</w:t>
            </w:r>
          </w:p>
        </w:tc>
        <w:tc>
          <w:tcPr>
            <w:tcW w:w="1750" w:type="pct"/>
          </w:tcPr>
          <w:p w14:paraId="32A8D58A" w14:textId="77777777" w:rsidR="005546C1" w:rsidRPr="00CB1280" w:rsidRDefault="00AF3450" w:rsidP="00042467">
            <w:pPr>
              <w:jc w:val="center"/>
              <w:rPr>
                <w:bCs/>
                <w:lang w:eastAsia="en-AU"/>
              </w:rPr>
            </w:pPr>
            <w:r w:rsidRPr="00CB1280">
              <w:rPr>
                <w:bCs/>
                <w:lang w:eastAsia="en-AU"/>
              </w:rPr>
              <w:t>0.19</w:t>
            </w:r>
          </w:p>
        </w:tc>
      </w:tr>
      <w:tr w:rsidR="00C753D7" w:rsidRPr="00F07D02" w14:paraId="3AAAA16C" w14:textId="77777777">
        <w:tc>
          <w:tcPr>
            <w:tcW w:w="3250" w:type="pct"/>
          </w:tcPr>
          <w:p w14:paraId="449F8822" w14:textId="77777777" w:rsidR="00C753D7" w:rsidRPr="009B36B6" w:rsidRDefault="000D6737" w:rsidP="005546C1">
            <w:pPr>
              <w:rPr>
                <w:lang w:eastAsia="en-AU"/>
              </w:rPr>
            </w:pPr>
            <w:r>
              <w:rPr>
                <w:lang w:eastAsia="en-AU"/>
              </w:rPr>
              <w:t>State Liquor Unit</w:t>
            </w:r>
          </w:p>
        </w:tc>
        <w:tc>
          <w:tcPr>
            <w:tcW w:w="1750" w:type="pct"/>
          </w:tcPr>
          <w:p w14:paraId="373656BF" w14:textId="77777777" w:rsidR="00C753D7" w:rsidRPr="009B36B6" w:rsidRDefault="00AF3450" w:rsidP="00042467">
            <w:pPr>
              <w:jc w:val="center"/>
              <w:rPr>
                <w:lang w:eastAsia="en-AU"/>
              </w:rPr>
            </w:pPr>
            <w:r>
              <w:rPr>
                <w:lang w:eastAsia="en-AU"/>
              </w:rPr>
              <w:t>0.20</w:t>
            </w:r>
          </w:p>
        </w:tc>
      </w:tr>
      <w:tr w:rsidR="00D67A03" w:rsidRPr="00F07D02" w14:paraId="57B6F4BA" w14:textId="77777777">
        <w:tc>
          <w:tcPr>
            <w:tcW w:w="3250" w:type="pct"/>
          </w:tcPr>
          <w:p w14:paraId="3EFF8360" w14:textId="77777777" w:rsidR="00D67A03" w:rsidRPr="009B36B6" w:rsidRDefault="000D6737" w:rsidP="005546C1">
            <w:pPr>
              <w:rPr>
                <w:lang w:eastAsia="en-AU"/>
              </w:rPr>
            </w:pPr>
            <w:r>
              <w:rPr>
                <w:lang w:eastAsia="en-AU"/>
              </w:rPr>
              <w:t>Regulatory Services Effectiveness Division</w:t>
            </w:r>
          </w:p>
        </w:tc>
        <w:tc>
          <w:tcPr>
            <w:tcW w:w="1750" w:type="pct"/>
          </w:tcPr>
          <w:p w14:paraId="6B5FDD3A" w14:textId="77777777" w:rsidR="00D67A03" w:rsidRPr="009B36B6" w:rsidRDefault="00AF3450" w:rsidP="00042467">
            <w:pPr>
              <w:jc w:val="center"/>
              <w:rPr>
                <w:lang w:eastAsia="en-AU"/>
              </w:rPr>
            </w:pPr>
            <w:r>
              <w:rPr>
                <w:lang w:eastAsia="en-AU"/>
              </w:rPr>
              <w:t>0.69</w:t>
            </w:r>
          </w:p>
        </w:tc>
      </w:tr>
      <w:tr w:rsidR="005546C1" w:rsidRPr="00F07D02" w14:paraId="0A3009DB" w14:textId="77777777">
        <w:tc>
          <w:tcPr>
            <w:tcW w:w="3250" w:type="pct"/>
          </w:tcPr>
          <w:p w14:paraId="20D76AC0" w14:textId="77777777" w:rsidR="005546C1" w:rsidRPr="009B36B6" w:rsidRDefault="000D6737">
            <w:pPr>
              <w:jc w:val="both"/>
              <w:rPr>
                <w:lang w:eastAsia="en-AU"/>
              </w:rPr>
            </w:pPr>
            <w:r>
              <w:rPr>
                <w:lang w:eastAsia="en-AU"/>
              </w:rPr>
              <w:t>Divisional Firearm Officers</w:t>
            </w:r>
          </w:p>
        </w:tc>
        <w:tc>
          <w:tcPr>
            <w:tcW w:w="1750" w:type="pct"/>
          </w:tcPr>
          <w:p w14:paraId="0326FFCD" w14:textId="77777777" w:rsidR="005546C1" w:rsidRPr="009B36B6" w:rsidRDefault="00AF3450" w:rsidP="00042467">
            <w:pPr>
              <w:pStyle w:val="ListParagraph"/>
              <w:ind w:left="57"/>
              <w:jc w:val="center"/>
              <w:rPr>
                <w:lang w:eastAsia="en-AU"/>
              </w:rPr>
            </w:pPr>
            <w:r>
              <w:rPr>
                <w:lang w:eastAsia="en-AU"/>
              </w:rPr>
              <w:t>0.23</w:t>
            </w:r>
          </w:p>
        </w:tc>
      </w:tr>
      <w:tr w:rsidR="000D6737" w:rsidRPr="00F07D02" w14:paraId="6E412CFE" w14:textId="77777777">
        <w:tc>
          <w:tcPr>
            <w:tcW w:w="3250" w:type="pct"/>
          </w:tcPr>
          <w:p w14:paraId="6FF6DABE" w14:textId="77777777" w:rsidR="000D6737" w:rsidRDefault="00AF3450">
            <w:pPr>
              <w:jc w:val="both"/>
              <w:rPr>
                <w:lang w:eastAsia="en-AU"/>
              </w:rPr>
            </w:pPr>
            <w:r w:rsidRPr="00AF3450">
              <w:rPr>
                <w:lang w:eastAsia="en-AU"/>
              </w:rPr>
              <w:t>Other related Victoria Police policing</w:t>
            </w:r>
          </w:p>
        </w:tc>
        <w:tc>
          <w:tcPr>
            <w:tcW w:w="1750" w:type="pct"/>
          </w:tcPr>
          <w:p w14:paraId="6C32A718" w14:textId="77777777" w:rsidR="000D6737" w:rsidRPr="009B36B6" w:rsidRDefault="00CB1280" w:rsidP="00042467">
            <w:pPr>
              <w:pStyle w:val="ListParagraph"/>
              <w:ind w:left="57"/>
              <w:jc w:val="center"/>
              <w:rPr>
                <w:lang w:eastAsia="en-AU"/>
              </w:rPr>
            </w:pPr>
            <w:r>
              <w:rPr>
                <w:lang w:eastAsia="en-AU"/>
              </w:rPr>
              <w:t>2.37</w:t>
            </w:r>
          </w:p>
        </w:tc>
      </w:tr>
      <w:tr w:rsidR="000D6737" w:rsidRPr="00F07D02" w14:paraId="03195AEE" w14:textId="77777777">
        <w:tc>
          <w:tcPr>
            <w:tcW w:w="3250" w:type="pct"/>
          </w:tcPr>
          <w:p w14:paraId="5567EE0E" w14:textId="77777777" w:rsidR="000D6737" w:rsidRPr="009B36B6" w:rsidRDefault="000D6737" w:rsidP="000D6737">
            <w:pPr>
              <w:jc w:val="both"/>
              <w:rPr>
                <w:lang w:eastAsia="en-AU"/>
              </w:rPr>
            </w:pPr>
            <w:r w:rsidRPr="009B36B6">
              <w:rPr>
                <w:lang w:eastAsia="en-AU"/>
              </w:rPr>
              <w:t>Technology costs*</w:t>
            </w:r>
          </w:p>
        </w:tc>
        <w:tc>
          <w:tcPr>
            <w:tcW w:w="1750" w:type="pct"/>
          </w:tcPr>
          <w:p w14:paraId="0F246A94" w14:textId="77777777" w:rsidR="000D6737" w:rsidRPr="009B36B6" w:rsidRDefault="00CB1280" w:rsidP="00042467">
            <w:pPr>
              <w:pStyle w:val="ListParagraph"/>
              <w:ind w:left="57"/>
              <w:jc w:val="center"/>
              <w:rPr>
                <w:lang w:eastAsia="en-AU"/>
              </w:rPr>
            </w:pPr>
            <w:r>
              <w:rPr>
                <w:lang w:eastAsia="en-AU"/>
              </w:rPr>
              <w:t>1.59</w:t>
            </w:r>
          </w:p>
        </w:tc>
      </w:tr>
      <w:tr w:rsidR="000D6737" w:rsidRPr="00F07D02" w14:paraId="0137EC63" w14:textId="77777777">
        <w:tc>
          <w:tcPr>
            <w:tcW w:w="3250" w:type="pct"/>
          </w:tcPr>
          <w:p w14:paraId="7EC2018C" w14:textId="77777777" w:rsidR="000D6737" w:rsidRPr="009B36B6" w:rsidRDefault="000D6737" w:rsidP="000D6737">
            <w:pPr>
              <w:jc w:val="both"/>
              <w:rPr>
                <w:lang w:eastAsia="en-AU"/>
              </w:rPr>
            </w:pPr>
            <w:r w:rsidRPr="009B36B6">
              <w:rPr>
                <w:lang w:eastAsia="en-AU"/>
              </w:rPr>
              <w:t>Printing costs</w:t>
            </w:r>
          </w:p>
        </w:tc>
        <w:tc>
          <w:tcPr>
            <w:tcW w:w="1750" w:type="pct"/>
          </w:tcPr>
          <w:p w14:paraId="73C254B0" w14:textId="77777777" w:rsidR="000D6737" w:rsidRPr="009B36B6" w:rsidRDefault="00CB1280" w:rsidP="00042467">
            <w:pPr>
              <w:pStyle w:val="ListParagraph"/>
              <w:ind w:left="57"/>
              <w:jc w:val="center"/>
              <w:rPr>
                <w:lang w:eastAsia="en-AU"/>
              </w:rPr>
            </w:pPr>
            <w:r>
              <w:rPr>
                <w:lang w:eastAsia="en-AU"/>
              </w:rPr>
              <w:t>0.05</w:t>
            </w:r>
          </w:p>
        </w:tc>
      </w:tr>
      <w:tr w:rsidR="000D6737" w:rsidRPr="00F07D02" w14:paraId="193DBBF7" w14:textId="77777777">
        <w:tc>
          <w:tcPr>
            <w:tcW w:w="3250" w:type="pct"/>
          </w:tcPr>
          <w:p w14:paraId="59743C99" w14:textId="77777777" w:rsidR="000D6737" w:rsidRPr="009B36B6" w:rsidRDefault="000D6737" w:rsidP="000D6737">
            <w:pPr>
              <w:jc w:val="both"/>
              <w:rPr>
                <w:b/>
                <w:bCs/>
                <w:lang w:eastAsia="en-AU"/>
              </w:rPr>
            </w:pPr>
            <w:r w:rsidRPr="009B36B6">
              <w:rPr>
                <w:b/>
                <w:bCs/>
                <w:lang w:eastAsia="en-AU"/>
              </w:rPr>
              <w:t>Total</w:t>
            </w:r>
          </w:p>
        </w:tc>
        <w:tc>
          <w:tcPr>
            <w:tcW w:w="1750" w:type="pct"/>
          </w:tcPr>
          <w:p w14:paraId="5B45A0FC" w14:textId="77777777" w:rsidR="000D6737" w:rsidRPr="009B36B6" w:rsidRDefault="00CB1280" w:rsidP="00042467">
            <w:pPr>
              <w:pStyle w:val="ListParagraph"/>
              <w:ind w:left="57"/>
              <w:jc w:val="center"/>
              <w:rPr>
                <w:b/>
                <w:bCs/>
                <w:lang w:eastAsia="en-AU"/>
              </w:rPr>
            </w:pPr>
            <w:r>
              <w:rPr>
                <w:b/>
                <w:bCs/>
                <w:lang w:eastAsia="en-AU"/>
              </w:rPr>
              <w:t>10.74</w:t>
            </w:r>
          </w:p>
        </w:tc>
      </w:tr>
    </w:tbl>
    <w:p w14:paraId="7060B317" w14:textId="77777777" w:rsidR="00C5210F" w:rsidRDefault="000B610D" w:rsidP="000C67F8">
      <w:pPr>
        <w:spacing w:before="120"/>
        <w:rPr>
          <w:i/>
          <w:iCs/>
        </w:rPr>
      </w:pPr>
      <w:r w:rsidRPr="00656591">
        <w:rPr>
          <w:i/>
          <w:iCs/>
        </w:rPr>
        <w:t>*</w:t>
      </w:r>
      <w:r w:rsidR="00CB1280" w:rsidRPr="00656591">
        <w:rPr>
          <w:i/>
          <w:iCs/>
        </w:rPr>
        <w:t>Technology costs r</w:t>
      </w:r>
      <w:r w:rsidRPr="00656591">
        <w:rPr>
          <w:i/>
          <w:iCs/>
        </w:rPr>
        <w:t xml:space="preserve">elate to the </w:t>
      </w:r>
      <w:r w:rsidR="00CB1280" w:rsidRPr="00656591">
        <w:rPr>
          <w:i/>
          <w:iCs/>
        </w:rPr>
        <w:t xml:space="preserve">on-going </w:t>
      </w:r>
      <w:r w:rsidRPr="00656591">
        <w:rPr>
          <w:i/>
          <w:iCs/>
        </w:rPr>
        <w:t>cost</w:t>
      </w:r>
      <w:r w:rsidR="00CB1280" w:rsidRPr="00656591">
        <w:rPr>
          <w:i/>
          <w:iCs/>
        </w:rPr>
        <w:t>s</w:t>
      </w:r>
      <w:r w:rsidRPr="00656591">
        <w:rPr>
          <w:i/>
          <w:iCs/>
        </w:rPr>
        <w:t xml:space="preserve"> of producing private security licences, software licence, maintenance</w:t>
      </w:r>
      <w:r w:rsidR="00D313AF" w:rsidRPr="00656591">
        <w:rPr>
          <w:i/>
          <w:iCs/>
        </w:rPr>
        <w:t>,</w:t>
      </w:r>
      <w:r w:rsidRPr="00656591">
        <w:rPr>
          <w:i/>
          <w:iCs/>
        </w:rPr>
        <w:t xml:space="preserve"> and technical</w:t>
      </w:r>
      <w:r w:rsidR="008A49F0" w:rsidRPr="00656591">
        <w:rPr>
          <w:i/>
          <w:iCs/>
        </w:rPr>
        <w:t xml:space="preserve"> support for </w:t>
      </w:r>
      <w:r w:rsidR="00E21BEE" w:rsidRPr="00656591">
        <w:rPr>
          <w:i/>
          <w:iCs/>
        </w:rPr>
        <w:t>Victoria Police Licence and Registration System</w:t>
      </w:r>
      <w:r w:rsidR="008A49F0" w:rsidRPr="00656591">
        <w:rPr>
          <w:i/>
          <w:iCs/>
        </w:rPr>
        <w:t xml:space="preserve"> and private security e-forms.</w:t>
      </w:r>
      <w:r w:rsidR="00CB1280" w:rsidRPr="00656591">
        <w:rPr>
          <w:i/>
          <w:iCs/>
        </w:rPr>
        <w:t xml:space="preserve"> Costs have also been attributed for implementation of a new registr</w:t>
      </w:r>
      <w:r w:rsidR="00656591" w:rsidRPr="00656591">
        <w:rPr>
          <w:i/>
          <w:iCs/>
        </w:rPr>
        <w:t>y management system.</w:t>
      </w:r>
    </w:p>
    <w:p w14:paraId="48C37AAE" w14:textId="1C7A363D" w:rsidR="00A17BC9" w:rsidRDefault="00AF4005" w:rsidP="000B610D">
      <w:r>
        <w:t>To estimate the expected on-going costs for Victoria Police and other related government administration cost centres, a 10</w:t>
      </w:r>
      <w:r w:rsidR="0052424E">
        <w:t>-year average annual cost was calculated</w:t>
      </w:r>
      <w:r w:rsidR="004B5519">
        <w:t xml:space="preserve">. </w:t>
      </w:r>
      <w:r w:rsidR="005E7364">
        <w:t>The calculated costs</w:t>
      </w:r>
      <w:r w:rsidR="004B5519">
        <w:t xml:space="preserve"> assum</w:t>
      </w:r>
      <w:r w:rsidR="00CC79B1">
        <w:t>e</w:t>
      </w:r>
      <w:r w:rsidR="004B5519">
        <w:t xml:space="preserve"> </w:t>
      </w:r>
      <w:r w:rsidR="005E7364">
        <w:t>that future costs w</w:t>
      </w:r>
      <w:r w:rsidR="00CC79B1">
        <w:t>ill</w:t>
      </w:r>
      <w:r w:rsidR="005E7364">
        <w:t xml:space="preserve"> reflect current costs (in terms of volume and type of resources)</w:t>
      </w:r>
      <w:r w:rsidR="002B56BC">
        <w:t xml:space="preserve"> and </w:t>
      </w:r>
      <w:r w:rsidR="00F603E2">
        <w:t xml:space="preserve">accounts for </w:t>
      </w:r>
      <w:r w:rsidR="002B56BC">
        <w:t xml:space="preserve">growth in wages and </w:t>
      </w:r>
      <w:r w:rsidR="00F603E2">
        <w:t xml:space="preserve">inflation. </w:t>
      </w:r>
      <w:r w:rsidR="00F603E2" w:rsidRPr="00F603E2">
        <w:t>The breakdown of costs</w:t>
      </w:r>
      <w:r w:rsidR="00F603E2">
        <w:t xml:space="preserve"> as a 10-year average annual costs </w:t>
      </w:r>
      <w:r w:rsidR="00F603E2" w:rsidRPr="00F603E2">
        <w:t>is provided in Table 2.</w:t>
      </w:r>
      <w:r w:rsidR="00F603E2">
        <w:t>2</w:t>
      </w:r>
      <w:r w:rsidR="00F603E2" w:rsidRPr="00F603E2">
        <w:t xml:space="preserve"> below and expanded on in </w:t>
      </w:r>
      <w:r w:rsidR="00F603E2" w:rsidRPr="00414AF9">
        <w:t xml:space="preserve">Appendix </w:t>
      </w:r>
      <w:r w:rsidR="00414AF9" w:rsidRPr="00414AF9">
        <w:t>8.2</w:t>
      </w:r>
      <w:r w:rsidR="00F603E2" w:rsidRPr="00414AF9">
        <w:t>.</w:t>
      </w:r>
    </w:p>
    <w:p w14:paraId="0E4652D6" w14:textId="72A19EE0" w:rsidR="00F603E2" w:rsidRDefault="00F603E2" w:rsidP="00F603E2">
      <w:pPr>
        <w:pStyle w:val="Caption"/>
      </w:pPr>
      <w:r>
        <w:t xml:space="preserve">Table </w:t>
      </w:r>
      <w:r w:rsidR="00414520">
        <w:fldChar w:fldCharType="begin"/>
      </w:r>
      <w:r w:rsidR="00414520">
        <w:instrText xml:space="preserve"> STYLEREF 1 \s </w:instrText>
      </w:r>
      <w:r w:rsidR="00414520">
        <w:fldChar w:fldCharType="separate"/>
      </w:r>
      <w:r w:rsidR="009D133E">
        <w:rPr>
          <w:noProof/>
        </w:rPr>
        <w:t>2</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2</w:t>
      </w:r>
      <w:r w:rsidR="00414520">
        <w:fldChar w:fldCharType="end"/>
      </w:r>
      <w:r>
        <w:t>: Breakdown of Victoria Police cost base relating to private security, as a 10-year average from FY2025</w:t>
      </w:r>
      <w:r w:rsidR="00ED3EDE">
        <w:t>-26 to FY</w:t>
      </w:r>
      <w:r w:rsidR="00A57137">
        <w:t>2</w:t>
      </w:r>
      <w:r w:rsidR="00ED3EDE">
        <w:t>03</w:t>
      </w:r>
      <w:r w:rsidR="00357EDF">
        <w:t>4-35</w:t>
      </w:r>
    </w:p>
    <w:tbl>
      <w:tblPr>
        <w:tblStyle w:val="Deloittetable1"/>
        <w:tblW w:w="5000" w:type="pct"/>
        <w:tblLook w:val="04A0" w:firstRow="1" w:lastRow="0" w:firstColumn="1" w:lastColumn="0" w:noHBand="0" w:noVBand="1"/>
      </w:tblPr>
      <w:tblGrid>
        <w:gridCol w:w="6265"/>
        <w:gridCol w:w="3373"/>
      </w:tblGrid>
      <w:tr w:rsidR="00F603E2" w:rsidRPr="00F07D02" w14:paraId="79385462" w14:textId="77777777" w:rsidTr="00F10D42">
        <w:trPr>
          <w:cnfStyle w:val="100000000000" w:firstRow="1" w:lastRow="0" w:firstColumn="0" w:lastColumn="0" w:oddVBand="0" w:evenVBand="0" w:oddHBand="0" w:evenHBand="0" w:firstRowFirstColumn="0" w:firstRowLastColumn="0" w:lastRowFirstColumn="0" w:lastRowLastColumn="0"/>
          <w:tblHeader/>
        </w:trPr>
        <w:tc>
          <w:tcPr>
            <w:tcW w:w="3250" w:type="pct"/>
          </w:tcPr>
          <w:p w14:paraId="3AE48541" w14:textId="77777777" w:rsidR="00F603E2" w:rsidRPr="0059190D" w:rsidRDefault="00F603E2" w:rsidP="00F10D42">
            <w:pPr>
              <w:jc w:val="both"/>
              <w:rPr>
                <w:b/>
                <w:lang w:eastAsia="en-AU"/>
              </w:rPr>
            </w:pPr>
            <w:r w:rsidRPr="0059190D">
              <w:rPr>
                <w:b/>
                <w:lang w:eastAsia="en-AU"/>
              </w:rPr>
              <w:t xml:space="preserve">Cost type </w:t>
            </w:r>
          </w:p>
        </w:tc>
        <w:tc>
          <w:tcPr>
            <w:tcW w:w="1750" w:type="pct"/>
          </w:tcPr>
          <w:p w14:paraId="6BD8DA37" w14:textId="77777777" w:rsidR="00F603E2" w:rsidRPr="0059190D" w:rsidRDefault="00F603E2" w:rsidP="00F10D42">
            <w:pPr>
              <w:jc w:val="center"/>
              <w:rPr>
                <w:b/>
                <w:lang w:eastAsia="en-AU"/>
              </w:rPr>
            </w:pPr>
            <w:r w:rsidRPr="0059190D">
              <w:rPr>
                <w:b/>
                <w:lang w:eastAsia="en-AU"/>
              </w:rPr>
              <w:t>Cost ($ millions)</w:t>
            </w:r>
          </w:p>
        </w:tc>
      </w:tr>
      <w:tr w:rsidR="00F603E2" w:rsidRPr="00F07D02" w14:paraId="2F13C92A" w14:textId="77777777" w:rsidTr="00F10D42">
        <w:tc>
          <w:tcPr>
            <w:tcW w:w="3250" w:type="pct"/>
          </w:tcPr>
          <w:p w14:paraId="010A1CBB" w14:textId="77777777" w:rsidR="00F603E2" w:rsidRPr="009B36B6" w:rsidRDefault="00F603E2" w:rsidP="00F10D42">
            <w:pPr>
              <w:rPr>
                <w:lang w:eastAsia="en-AU"/>
              </w:rPr>
            </w:pPr>
            <w:r w:rsidRPr="009B36B6">
              <w:rPr>
                <w:lang w:eastAsia="en-AU"/>
              </w:rPr>
              <w:t xml:space="preserve">Licensing and Regulation Division </w:t>
            </w:r>
          </w:p>
        </w:tc>
        <w:tc>
          <w:tcPr>
            <w:tcW w:w="1750" w:type="pct"/>
          </w:tcPr>
          <w:p w14:paraId="7BFCDF69" w14:textId="77777777" w:rsidR="00F603E2" w:rsidRPr="009B36B6" w:rsidRDefault="00357EDF" w:rsidP="00F10D42">
            <w:pPr>
              <w:pStyle w:val="ListParagraph"/>
              <w:ind w:left="57"/>
              <w:jc w:val="center"/>
              <w:rPr>
                <w:lang w:eastAsia="en-AU"/>
              </w:rPr>
            </w:pPr>
            <w:r>
              <w:rPr>
                <w:lang w:eastAsia="en-AU"/>
              </w:rPr>
              <w:t>6.66</w:t>
            </w:r>
          </w:p>
        </w:tc>
      </w:tr>
      <w:tr w:rsidR="00F603E2" w:rsidRPr="00F07D02" w14:paraId="17D13E11" w14:textId="77777777" w:rsidTr="00F10D42">
        <w:tc>
          <w:tcPr>
            <w:tcW w:w="3250" w:type="pct"/>
          </w:tcPr>
          <w:p w14:paraId="2519259A" w14:textId="77777777" w:rsidR="00F603E2" w:rsidRPr="009B36B6" w:rsidRDefault="00F603E2" w:rsidP="00F10D42">
            <w:pPr>
              <w:rPr>
                <w:lang w:eastAsia="en-AU"/>
              </w:rPr>
            </w:pPr>
            <w:r>
              <w:rPr>
                <w:lang w:eastAsia="en-AU"/>
              </w:rPr>
              <w:lastRenderedPageBreak/>
              <w:t>Legal Services Department</w:t>
            </w:r>
          </w:p>
        </w:tc>
        <w:tc>
          <w:tcPr>
            <w:tcW w:w="1750" w:type="pct"/>
          </w:tcPr>
          <w:p w14:paraId="50C45A83" w14:textId="77777777" w:rsidR="00F603E2" w:rsidRPr="00CB1280" w:rsidRDefault="00357EDF" w:rsidP="00F10D42">
            <w:pPr>
              <w:jc w:val="center"/>
              <w:rPr>
                <w:bCs/>
                <w:lang w:eastAsia="en-AU"/>
              </w:rPr>
            </w:pPr>
            <w:r>
              <w:rPr>
                <w:bCs/>
                <w:lang w:eastAsia="en-AU"/>
              </w:rPr>
              <w:t>0.</w:t>
            </w:r>
            <w:r w:rsidR="009F4258">
              <w:rPr>
                <w:bCs/>
                <w:lang w:eastAsia="en-AU"/>
              </w:rPr>
              <w:t>22</w:t>
            </w:r>
          </w:p>
        </w:tc>
      </w:tr>
      <w:tr w:rsidR="00F603E2" w:rsidRPr="00F07D02" w14:paraId="2E989BC4" w14:textId="77777777" w:rsidTr="00F10D42">
        <w:tc>
          <w:tcPr>
            <w:tcW w:w="3250" w:type="pct"/>
          </w:tcPr>
          <w:p w14:paraId="5146C9EC" w14:textId="77777777" w:rsidR="00F603E2" w:rsidRPr="009B36B6" w:rsidRDefault="00F603E2" w:rsidP="00F10D42">
            <w:pPr>
              <w:rPr>
                <w:lang w:eastAsia="en-AU"/>
              </w:rPr>
            </w:pPr>
            <w:r>
              <w:rPr>
                <w:lang w:eastAsia="en-AU"/>
              </w:rPr>
              <w:t>State Liquor Unit</w:t>
            </w:r>
          </w:p>
        </w:tc>
        <w:tc>
          <w:tcPr>
            <w:tcW w:w="1750" w:type="pct"/>
          </w:tcPr>
          <w:p w14:paraId="23BD41F8" w14:textId="77777777" w:rsidR="00F603E2" w:rsidRPr="009B36B6" w:rsidRDefault="009F4258" w:rsidP="00F10D42">
            <w:pPr>
              <w:jc w:val="center"/>
              <w:rPr>
                <w:lang w:eastAsia="en-AU"/>
              </w:rPr>
            </w:pPr>
            <w:r>
              <w:rPr>
                <w:lang w:eastAsia="en-AU"/>
              </w:rPr>
              <w:t>0.24</w:t>
            </w:r>
          </w:p>
        </w:tc>
      </w:tr>
      <w:tr w:rsidR="00F603E2" w:rsidRPr="00F07D02" w14:paraId="724E7A46" w14:textId="77777777" w:rsidTr="00F10D42">
        <w:tc>
          <w:tcPr>
            <w:tcW w:w="3250" w:type="pct"/>
          </w:tcPr>
          <w:p w14:paraId="2F9C6B6C" w14:textId="77777777" w:rsidR="00F603E2" w:rsidRPr="009B36B6" w:rsidRDefault="00F603E2" w:rsidP="00F10D42">
            <w:pPr>
              <w:rPr>
                <w:lang w:eastAsia="en-AU"/>
              </w:rPr>
            </w:pPr>
            <w:r>
              <w:rPr>
                <w:lang w:eastAsia="en-AU"/>
              </w:rPr>
              <w:t>Regulatory Services Effectiveness Division</w:t>
            </w:r>
          </w:p>
        </w:tc>
        <w:tc>
          <w:tcPr>
            <w:tcW w:w="1750" w:type="pct"/>
          </w:tcPr>
          <w:p w14:paraId="1ED1D113" w14:textId="77777777" w:rsidR="00F603E2" w:rsidRPr="009B36B6" w:rsidRDefault="009F4258" w:rsidP="00F10D42">
            <w:pPr>
              <w:jc w:val="center"/>
              <w:rPr>
                <w:lang w:eastAsia="en-AU"/>
              </w:rPr>
            </w:pPr>
            <w:r>
              <w:rPr>
                <w:lang w:eastAsia="en-AU"/>
              </w:rPr>
              <w:t>0.82</w:t>
            </w:r>
          </w:p>
        </w:tc>
      </w:tr>
      <w:tr w:rsidR="00F603E2" w:rsidRPr="00F07D02" w14:paraId="1F15E4AC" w14:textId="77777777" w:rsidTr="00F10D42">
        <w:tc>
          <w:tcPr>
            <w:tcW w:w="3250" w:type="pct"/>
          </w:tcPr>
          <w:p w14:paraId="47B5CE5C" w14:textId="77777777" w:rsidR="00F603E2" w:rsidRPr="009B36B6" w:rsidRDefault="00F603E2" w:rsidP="00F10D42">
            <w:pPr>
              <w:jc w:val="both"/>
              <w:rPr>
                <w:lang w:eastAsia="en-AU"/>
              </w:rPr>
            </w:pPr>
            <w:r>
              <w:rPr>
                <w:lang w:eastAsia="en-AU"/>
              </w:rPr>
              <w:t>Divisional Firearm Officers</w:t>
            </w:r>
          </w:p>
        </w:tc>
        <w:tc>
          <w:tcPr>
            <w:tcW w:w="1750" w:type="pct"/>
          </w:tcPr>
          <w:p w14:paraId="24BA6DE0" w14:textId="77777777" w:rsidR="00F603E2" w:rsidRPr="009B36B6" w:rsidRDefault="009F4258" w:rsidP="00F10D42">
            <w:pPr>
              <w:pStyle w:val="ListParagraph"/>
              <w:ind w:left="57"/>
              <w:jc w:val="center"/>
              <w:rPr>
                <w:lang w:eastAsia="en-AU"/>
              </w:rPr>
            </w:pPr>
            <w:r>
              <w:rPr>
                <w:lang w:eastAsia="en-AU"/>
              </w:rPr>
              <w:t>0.27</w:t>
            </w:r>
          </w:p>
        </w:tc>
      </w:tr>
      <w:tr w:rsidR="00F603E2" w:rsidRPr="00F07D02" w14:paraId="45BB634F" w14:textId="77777777" w:rsidTr="00F10D42">
        <w:tc>
          <w:tcPr>
            <w:tcW w:w="3250" w:type="pct"/>
          </w:tcPr>
          <w:p w14:paraId="25F25A1A" w14:textId="77777777" w:rsidR="00F603E2" w:rsidRDefault="00F603E2" w:rsidP="00F10D42">
            <w:pPr>
              <w:jc w:val="both"/>
              <w:rPr>
                <w:lang w:eastAsia="en-AU"/>
              </w:rPr>
            </w:pPr>
            <w:r w:rsidRPr="00AF3450">
              <w:rPr>
                <w:lang w:eastAsia="en-AU"/>
              </w:rPr>
              <w:t>Other related Victoria Police policing</w:t>
            </w:r>
          </w:p>
        </w:tc>
        <w:tc>
          <w:tcPr>
            <w:tcW w:w="1750" w:type="pct"/>
          </w:tcPr>
          <w:p w14:paraId="5D775316" w14:textId="77777777" w:rsidR="00F603E2" w:rsidRPr="009B36B6" w:rsidRDefault="009F4258" w:rsidP="00F10D42">
            <w:pPr>
              <w:pStyle w:val="ListParagraph"/>
              <w:ind w:left="57"/>
              <w:jc w:val="center"/>
              <w:rPr>
                <w:lang w:eastAsia="en-AU"/>
              </w:rPr>
            </w:pPr>
            <w:r>
              <w:rPr>
                <w:lang w:eastAsia="en-AU"/>
              </w:rPr>
              <w:t>2.79</w:t>
            </w:r>
          </w:p>
        </w:tc>
      </w:tr>
      <w:tr w:rsidR="00F603E2" w:rsidRPr="00F07D02" w14:paraId="33D92097" w14:textId="77777777" w:rsidTr="00F10D42">
        <w:tc>
          <w:tcPr>
            <w:tcW w:w="3250" w:type="pct"/>
          </w:tcPr>
          <w:p w14:paraId="40DDB241" w14:textId="77777777" w:rsidR="00F603E2" w:rsidRPr="009B36B6" w:rsidRDefault="00F603E2" w:rsidP="00F10D42">
            <w:pPr>
              <w:jc w:val="both"/>
              <w:rPr>
                <w:lang w:eastAsia="en-AU"/>
              </w:rPr>
            </w:pPr>
            <w:r w:rsidRPr="009B36B6">
              <w:rPr>
                <w:lang w:eastAsia="en-AU"/>
              </w:rPr>
              <w:t>Technology costs</w:t>
            </w:r>
          </w:p>
        </w:tc>
        <w:tc>
          <w:tcPr>
            <w:tcW w:w="1750" w:type="pct"/>
          </w:tcPr>
          <w:p w14:paraId="140C3850" w14:textId="77777777" w:rsidR="00F603E2" w:rsidRPr="009B36B6" w:rsidRDefault="009F4258" w:rsidP="00F10D42">
            <w:pPr>
              <w:pStyle w:val="ListParagraph"/>
              <w:ind w:left="57"/>
              <w:jc w:val="center"/>
              <w:rPr>
                <w:lang w:eastAsia="en-AU"/>
              </w:rPr>
            </w:pPr>
            <w:r>
              <w:rPr>
                <w:lang w:eastAsia="en-AU"/>
              </w:rPr>
              <w:t>4.06</w:t>
            </w:r>
          </w:p>
        </w:tc>
      </w:tr>
      <w:tr w:rsidR="00F603E2" w:rsidRPr="00F07D02" w14:paraId="0C84C763" w14:textId="77777777" w:rsidTr="00F10D42">
        <w:tc>
          <w:tcPr>
            <w:tcW w:w="3250" w:type="pct"/>
          </w:tcPr>
          <w:p w14:paraId="2BC41E4B" w14:textId="77777777" w:rsidR="00F603E2" w:rsidRPr="009B36B6" w:rsidRDefault="00F603E2" w:rsidP="00F10D42">
            <w:pPr>
              <w:jc w:val="both"/>
              <w:rPr>
                <w:lang w:eastAsia="en-AU"/>
              </w:rPr>
            </w:pPr>
            <w:r w:rsidRPr="009B36B6">
              <w:rPr>
                <w:lang w:eastAsia="en-AU"/>
              </w:rPr>
              <w:t>Printing costs</w:t>
            </w:r>
          </w:p>
        </w:tc>
        <w:tc>
          <w:tcPr>
            <w:tcW w:w="1750" w:type="pct"/>
          </w:tcPr>
          <w:p w14:paraId="1DCAEA21" w14:textId="77777777" w:rsidR="00F603E2" w:rsidRPr="009B36B6" w:rsidRDefault="009F4258" w:rsidP="00F10D42">
            <w:pPr>
              <w:pStyle w:val="ListParagraph"/>
              <w:ind w:left="57"/>
              <w:jc w:val="center"/>
              <w:rPr>
                <w:lang w:eastAsia="en-AU"/>
              </w:rPr>
            </w:pPr>
            <w:r>
              <w:rPr>
                <w:lang w:eastAsia="en-AU"/>
              </w:rPr>
              <w:t>0.05</w:t>
            </w:r>
          </w:p>
        </w:tc>
      </w:tr>
      <w:tr w:rsidR="00F603E2" w:rsidRPr="00F07D02" w14:paraId="4FABEF4D" w14:textId="77777777" w:rsidTr="00F10D42">
        <w:tc>
          <w:tcPr>
            <w:tcW w:w="3250" w:type="pct"/>
          </w:tcPr>
          <w:p w14:paraId="5CE1DACF" w14:textId="77777777" w:rsidR="00F603E2" w:rsidRPr="009B36B6" w:rsidRDefault="00F603E2" w:rsidP="00F10D42">
            <w:pPr>
              <w:jc w:val="both"/>
              <w:rPr>
                <w:b/>
                <w:bCs/>
                <w:lang w:eastAsia="en-AU"/>
              </w:rPr>
            </w:pPr>
            <w:r w:rsidRPr="009B36B6">
              <w:rPr>
                <w:b/>
                <w:bCs/>
                <w:lang w:eastAsia="en-AU"/>
              </w:rPr>
              <w:t>Total</w:t>
            </w:r>
          </w:p>
        </w:tc>
        <w:tc>
          <w:tcPr>
            <w:tcW w:w="1750" w:type="pct"/>
          </w:tcPr>
          <w:p w14:paraId="5F9419BA" w14:textId="77777777" w:rsidR="00F603E2" w:rsidRPr="009B36B6" w:rsidRDefault="009F4258" w:rsidP="00F10D42">
            <w:pPr>
              <w:pStyle w:val="ListParagraph"/>
              <w:ind w:left="57"/>
              <w:jc w:val="center"/>
              <w:rPr>
                <w:b/>
                <w:bCs/>
                <w:lang w:eastAsia="en-AU"/>
              </w:rPr>
            </w:pPr>
            <w:r>
              <w:rPr>
                <w:b/>
                <w:bCs/>
                <w:lang w:eastAsia="en-AU"/>
              </w:rPr>
              <w:t>15.12</w:t>
            </w:r>
          </w:p>
        </w:tc>
      </w:tr>
    </w:tbl>
    <w:p w14:paraId="12084B0C" w14:textId="254531D4" w:rsidR="004C3392" w:rsidRPr="00A17BC9" w:rsidRDefault="004C3392" w:rsidP="004C3392">
      <w:pPr>
        <w:spacing w:before="120"/>
      </w:pPr>
      <w:bookmarkStart w:id="66" w:name="_Hlk182392741"/>
      <w:r>
        <w:t>It should be noted that the extent of on-going costs that can be attributed to regulation of the private security industry are uncertain. This is due to the introduction of the amending Act and implementation of the single-tier licensing system (</w:t>
      </w:r>
      <w:r w:rsidR="00911605">
        <w:t>by 19</w:t>
      </w:r>
      <w:r>
        <w:t xml:space="preserve"> June 2025) as well as potential efficiency gains that may be achieved through implementation of the new registry management system (planned for completion by 2028). </w:t>
      </w:r>
      <w:bookmarkEnd w:id="66"/>
    </w:p>
    <w:p w14:paraId="6333B851" w14:textId="77777777" w:rsidR="0021107F" w:rsidRDefault="00BC56EA" w:rsidP="00BC56EA">
      <w:pPr>
        <w:pStyle w:val="Heading4"/>
      </w:pPr>
      <w:r>
        <w:t>Application volumes</w:t>
      </w:r>
      <w:r w:rsidR="0021107F">
        <w:t xml:space="preserve"> received by Victoria Police</w:t>
      </w:r>
    </w:p>
    <w:p w14:paraId="5232D4AA" w14:textId="0AAA0F32" w:rsidR="0021107F" w:rsidRDefault="001B00E4" w:rsidP="0021107F">
      <w:r>
        <w:t xml:space="preserve">Chart 2.1 </w:t>
      </w:r>
      <w:r w:rsidR="00370065">
        <w:t xml:space="preserve">depicts the application volumes received by Victoria Police each year since 2016-17, when the Regulations were last remade. </w:t>
      </w:r>
      <w:r w:rsidR="000D083E">
        <w:t xml:space="preserve">An average of 18,354 applications </w:t>
      </w:r>
      <w:r w:rsidR="004C7660">
        <w:t>were</w:t>
      </w:r>
      <w:r w:rsidR="000D083E">
        <w:t xml:space="preserve"> received by Victoria Police each year over this time</w:t>
      </w:r>
      <w:r w:rsidR="004C3392">
        <w:t>.</w:t>
      </w:r>
      <w:r w:rsidR="000D083E">
        <w:t xml:space="preserve"> </w:t>
      </w:r>
      <w:r w:rsidR="00676F36">
        <w:t xml:space="preserve">Renewal applications </w:t>
      </w:r>
      <w:r w:rsidR="004C7660">
        <w:t>were</w:t>
      </w:r>
      <w:r w:rsidR="0081290C">
        <w:t xml:space="preserve"> the largest volume category, followed by new applications.</w:t>
      </w:r>
      <w:r w:rsidR="00DB3A43">
        <w:t xml:space="preserve"> In 2023-24</w:t>
      </w:r>
      <w:r w:rsidR="00B2236B">
        <w:t>,</w:t>
      </w:r>
      <w:r w:rsidR="00DB3A43">
        <w:t xml:space="preserve"> however, the applications were almost evenly split between new and renewal applications.</w:t>
      </w:r>
      <w:r w:rsidR="0081290C">
        <w:t xml:space="preserve"> There </w:t>
      </w:r>
      <w:r w:rsidR="004C7660">
        <w:t>were</w:t>
      </w:r>
      <w:r w:rsidR="0081290C">
        <w:t xml:space="preserve"> a relatively small number of variation applications received each year. </w:t>
      </w:r>
      <w:r w:rsidR="00A04CEF">
        <w:t>Individual operators are the largest group of applicants</w:t>
      </w:r>
      <w:r w:rsidR="002337B2">
        <w:t xml:space="preserve">, accounting for </w:t>
      </w:r>
      <w:r w:rsidR="00BF3E5E">
        <w:t xml:space="preserve">96 per cent of </w:t>
      </w:r>
      <w:r w:rsidR="00F828B6">
        <w:t>applications on average</w:t>
      </w:r>
      <w:r w:rsidR="004C7660">
        <w:t xml:space="preserve"> annually</w:t>
      </w:r>
      <w:r w:rsidR="00F828B6">
        <w:t xml:space="preserve"> </w:t>
      </w:r>
      <w:r w:rsidR="00BF3E5E">
        <w:t>between</w:t>
      </w:r>
      <w:r w:rsidR="00F828B6">
        <w:t xml:space="preserve"> 2016-17 and 2023-24.</w:t>
      </w:r>
      <w:r w:rsidR="0036598D">
        <w:t xml:space="preserve"> </w:t>
      </w:r>
    </w:p>
    <w:p w14:paraId="0315646A" w14:textId="77777777" w:rsidR="00DB3A43" w:rsidRDefault="00BC2074" w:rsidP="00BC2074">
      <w:pPr>
        <w:pStyle w:val="CaptionChart"/>
      </w:pPr>
      <w:r>
        <w:t>: Application volumes received by Victoria Police 2016-17 to 2023-24</w:t>
      </w:r>
    </w:p>
    <w:p w14:paraId="66B9E423" w14:textId="77777777" w:rsidR="0061787D" w:rsidRDefault="004C3392" w:rsidP="00FE4559">
      <w:pPr>
        <w:jc w:val="center"/>
      </w:pPr>
      <w:r w:rsidRPr="0061787D">
        <w:rPr>
          <w:noProof/>
        </w:rPr>
        <w:drawing>
          <wp:inline distT="0" distB="0" distL="0" distR="0" wp14:anchorId="0B7C7FC6" wp14:editId="18E9CED9">
            <wp:extent cx="4743650" cy="2562045"/>
            <wp:effectExtent l="0" t="0" r="0" b="0"/>
            <wp:docPr id="440972345" name="Picture 440972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8007" cy="2575200"/>
                    </a:xfrm>
                    <a:prstGeom prst="rect">
                      <a:avLst/>
                    </a:prstGeom>
                    <a:noFill/>
                    <a:ln>
                      <a:noFill/>
                    </a:ln>
                  </pic:spPr>
                </pic:pic>
              </a:graphicData>
            </a:graphic>
          </wp:inline>
        </w:drawing>
      </w:r>
    </w:p>
    <w:p w14:paraId="04720450" w14:textId="77777777" w:rsidR="00BC2074" w:rsidRDefault="00BC2074" w:rsidP="00BC2074">
      <w:pPr>
        <w:pStyle w:val="Source"/>
      </w:pPr>
      <w:r>
        <w:t>Source: Victoria Police</w:t>
      </w:r>
      <w:r w:rsidR="00E348D3">
        <w:t>.</w:t>
      </w:r>
    </w:p>
    <w:p w14:paraId="251C2344" w14:textId="16F9B324" w:rsidR="006538F1" w:rsidRDefault="006538F1" w:rsidP="006538F1">
      <w:pPr>
        <w:spacing w:before="240"/>
      </w:pPr>
      <w:r>
        <w:t xml:space="preserve">According to data provided by Victoria Police, the LRD received a total of 19,079 applications from individuals and businesses in 2023-24 (and received 18,679 payments from regulated entities). A total of 17,513 applications were approved, indicating an approval rate of nearly 92 per cent. As </w:t>
      </w:r>
      <w:r w:rsidRPr="009F6372">
        <w:t>stated in section</w:t>
      </w:r>
      <w:r>
        <w:t xml:space="preserve"> </w:t>
      </w:r>
      <w:r>
        <w:fldChar w:fldCharType="begin"/>
      </w:r>
      <w:r>
        <w:instrText xml:space="preserve"> REF _Ref169523917 \r \h </w:instrText>
      </w:r>
      <w:r>
        <w:fldChar w:fldCharType="separate"/>
      </w:r>
      <w:r w:rsidR="009D133E">
        <w:t>1.2.2</w:t>
      </w:r>
      <w:r>
        <w:fldChar w:fldCharType="end"/>
      </w:r>
      <w:r>
        <w:t>, the Regulations prescribe two fee components namely an application fee that is paid by all applicants and a licence</w:t>
      </w:r>
      <w:r w:rsidR="008423AC">
        <w:t xml:space="preserve"> maintenance</w:t>
      </w:r>
      <w:r>
        <w:t xml:space="preserve"> fee that is paid by those successful in obtaining a licence.</w:t>
      </w:r>
      <w:r w:rsidR="001B00E4">
        <w:t xml:space="preserve"> Table 2.3</w:t>
      </w:r>
      <w:r>
        <w:t xml:space="preserve"> below shows the total volumes of </w:t>
      </w:r>
      <w:r w:rsidR="008423AC">
        <w:t>application</w:t>
      </w:r>
      <w:r>
        <w:t xml:space="preserve"> types in 2023-24. </w:t>
      </w:r>
    </w:p>
    <w:p w14:paraId="4381B601" w14:textId="53F1243C" w:rsidR="004C3392" w:rsidRDefault="006538F1" w:rsidP="004C3392">
      <w:pPr>
        <w:pStyle w:val="Caption"/>
      </w:pPr>
      <w:r>
        <w:lastRenderedPageBreak/>
        <w:t xml:space="preserve">Table </w:t>
      </w:r>
      <w:r w:rsidR="00414520">
        <w:fldChar w:fldCharType="begin"/>
      </w:r>
      <w:r w:rsidR="00414520">
        <w:instrText xml:space="preserve"> STYLEREF 1 \s </w:instrText>
      </w:r>
      <w:r w:rsidR="00414520">
        <w:fldChar w:fldCharType="separate"/>
      </w:r>
      <w:r w:rsidR="009D133E">
        <w:rPr>
          <w:noProof/>
        </w:rPr>
        <w:t>2</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3</w:t>
      </w:r>
      <w:r w:rsidR="00414520">
        <w:fldChar w:fldCharType="end"/>
      </w:r>
      <w:r w:rsidR="004C3392">
        <w:t>: Volumes of applications received and approved in 2023-24</w:t>
      </w:r>
    </w:p>
    <w:tbl>
      <w:tblPr>
        <w:tblStyle w:val="Deloittetable1"/>
        <w:tblW w:w="5000" w:type="pct"/>
        <w:tblLook w:val="04A0" w:firstRow="1" w:lastRow="0" w:firstColumn="1" w:lastColumn="0" w:noHBand="0" w:noVBand="1"/>
      </w:tblPr>
      <w:tblGrid>
        <w:gridCol w:w="2421"/>
        <w:gridCol w:w="3140"/>
        <w:gridCol w:w="4077"/>
      </w:tblGrid>
      <w:tr w:rsidR="006538F1" w:rsidRPr="00F07D02" w14:paraId="7440AF5A" w14:textId="77777777">
        <w:trPr>
          <w:cnfStyle w:val="100000000000" w:firstRow="1" w:lastRow="0" w:firstColumn="0" w:lastColumn="0" w:oddVBand="0" w:evenVBand="0" w:oddHBand="0" w:evenHBand="0" w:firstRowFirstColumn="0" w:firstRowLastColumn="0" w:lastRowFirstColumn="0" w:lastRowLastColumn="0"/>
        </w:trPr>
        <w:tc>
          <w:tcPr>
            <w:tcW w:w="1256" w:type="pct"/>
          </w:tcPr>
          <w:p w14:paraId="62301715" w14:textId="77777777" w:rsidR="006538F1" w:rsidRPr="00FE4559" w:rsidRDefault="006538F1">
            <w:pPr>
              <w:jc w:val="both"/>
              <w:rPr>
                <w:b/>
                <w:lang w:eastAsia="en-AU"/>
              </w:rPr>
            </w:pPr>
            <w:r w:rsidRPr="00FE4559">
              <w:rPr>
                <w:b/>
                <w:lang w:eastAsia="en-AU"/>
              </w:rPr>
              <w:t>Category</w:t>
            </w:r>
          </w:p>
        </w:tc>
        <w:tc>
          <w:tcPr>
            <w:tcW w:w="1629" w:type="pct"/>
          </w:tcPr>
          <w:p w14:paraId="69F26ED9" w14:textId="77777777" w:rsidR="006538F1" w:rsidRPr="00FE4559" w:rsidRDefault="0066223C" w:rsidP="00F7272B">
            <w:pPr>
              <w:jc w:val="center"/>
              <w:rPr>
                <w:b/>
                <w:lang w:eastAsia="en-AU"/>
              </w:rPr>
            </w:pPr>
            <w:r w:rsidRPr="00FE4559">
              <w:rPr>
                <w:b/>
                <w:lang w:eastAsia="en-AU"/>
              </w:rPr>
              <w:t>Applications received</w:t>
            </w:r>
          </w:p>
        </w:tc>
        <w:tc>
          <w:tcPr>
            <w:tcW w:w="2115" w:type="pct"/>
          </w:tcPr>
          <w:p w14:paraId="14935C18" w14:textId="77777777" w:rsidR="006538F1" w:rsidRPr="00FE4559" w:rsidRDefault="0066223C" w:rsidP="00F7272B">
            <w:pPr>
              <w:jc w:val="center"/>
              <w:rPr>
                <w:b/>
                <w:lang w:eastAsia="en-AU"/>
              </w:rPr>
            </w:pPr>
            <w:r w:rsidRPr="00FE4559">
              <w:rPr>
                <w:b/>
                <w:lang w:eastAsia="en-AU"/>
              </w:rPr>
              <w:t>Applications approved</w:t>
            </w:r>
          </w:p>
        </w:tc>
      </w:tr>
      <w:tr w:rsidR="0066223C" w:rsidRPr="00F07D02" w14:paraId="546667EC" w14:textId="77777777">
        <w:tc>
          <w:tcPr>
            <w:tcW w:w="1256" w:type="pct"/>
          </w:tcPr>
          <w:p w14:paraId="7093F718" w14:textId="77777777" w:rsidR="0066223C" w:rsidRPr="00F07D02" w:rsidRDefault="0066223C" w:rsidP="0066223C">
            <w:pPr>
              <w:rPr>
                <w:lang w:eastAsia="en-AU"/>
              </w:rPr>
            </w:pPr>
            <w:r>
              <w:rPr>
                <w:lang w:eastAsia="en-AU"/>
              </w:rPr>
              <w:t xml:space="preserve">New applications </w:t>
            </w:r>
          </w:p>
        </w:tc>
        <w:tc>
          <w:tcPr>
            <w:tcW w:w="1629" w:type="pct"/>
          </w:tcPr>
          <w:p w14:paraId="777B4708" w14:textId="77777777" w:rsidR="0066223C" w:rsidRPr="00385B6B" w:rsidRDefault="0066223C" w:rsidP="00F7272B">
            <w:pPr>
              <w:ind w:left="0"/>
              <w:jc w:val="center"/>
              <w:rPr>
                <w:lang w:eastAsia="en-AU"/>
              </w:rPr>
            </w:pPr>
            <w:r>
              <w:rPr>
                <w:lang w:eastAsia="en-AU"/>
              </w:rPr>
              <w:t>9,715</w:t>
            </w:r>
          </w:p>
        </w:tc>
        <w:tc>
          <w:tcPr>
            <w:tcW w:w="2115" w:type="pct"/>
          </w:tcPr>
          <w:p w14:paraId="4F60ECB9" w14:textId="77777777" w:rsidR="0066223C" w:rsidRPr="00054397" w:rsidRDefault="0066223C" w:rsidP="00F7272B">
            <w:pPr>
              <w:jc w:val="center"/>
              <w:rPr>
                <w:strike/>
                <w:lang w:eastAsia="en-AU"/>
              </w:rPr>
            </w:pPr>
            <w:r>
              <w:rPr>
                <w:lang w:eastAsia="en-AU"/>
              </w:rPr>
              <w:t>8,332</w:t>
            </w:r>
          </w:p>
        </w:tc>
      </w:tr>
      <w:tr w:rsidR="0066223C" w:rsidRPr="00F07D02" w14:paraId="51C2D9DF" w14:textId="77777777">
        <w:tc>
          <w:tcPr>
            <w:tcW w:w="1256" w:type="pct"/>
          </w:tcPr>
          <w:p w14:paraId="77ADA618" w14:textId="77777777" w:rsidR="0066223C" w:rsidRDefault="0066223C" w:rsidP="0066223C">
            <w:pPr>
              <w:rPr>
                <w:lang w:eastAsia="en-AU"/>
              </w:rPr>
            </w:pPr>
            <w:r>
              <w:rPr>
                <w:lang w:eastAsia="en-AU"/>
              </w:rPr>
              <w:t>Renewal applications</w:t>
            </w:r>
          </w:p>
        </w:tc>
        <w:tc>
          <w:tcPr>
            <w:tcW w:w="1629" w:type="pct"/>
          </w:tcPr>
          <w:p w14:paraId="5BC9CCFF" w14:textId="77777777" w:rsidR="0066223C" w:rsidRDefault="0066223C" w:rsidP="00F7272B">
            <w:pPr>
              <w:ind w:left="0"/>
              <w:jc w:val="center"/>
              <w:rPr>
                <w:lang w:eastAsia="en-AU"/>
              </w:rPr>
            </w:pPr>
            <w:r>
              <w:rPr>
                <w:lang w:eastAsia="en-AU"/>
              </w:rPr>
              <w:t>8,916</w:t>
            </w:r>
          </w:p>
        </w:tc>
        <w:tc>
          <w:tcPr>
            <w:tcW w:w="2115" w:type="pct"/>
          </w:tcPr>
          <w:p w14:paraId="67CA2A3A" w14:textId="77777777" w:rsidR="0066223C" w:rsidRPr="00054397" w:rsidRDefault="0066223C" w:rsidP="00F7272B">
            <w:pPr>
              <w:jc w:val="center"/>
              <w:rPr>
                <w:strike/>
                <w:lang w:eastAsia="en-AU"/>
              </w:rPr>
            </w:pPr>
            <w:r>
              <w:rPr>
                <w:lang w:eastAsia="en-AU"/>
              </w:rPr>
              <w:t>8,791</w:t>
            </w:r>
          </w:p>
        </w:tc>
      </w:tr>
      <w:tr w:rsidR="0066223C" w:rsidRPr="00F07D02" w14:paraId="2520E2C2" w14:textId="77777777">
        <w:tc>
          <w:tcPr>
            <w:tcW w:w="1256" w:type="pct"/>
          </w:tcPr>
          <w:p w14:paraId="3B2D21F2" w14:textId="77777777" w:rsidR="0066223C" w:rsidRDefault="0066223C" w:rsidP="0066223C">
            <w:pPr>
              <w:rPr>
                <w:lang w:eastAsia="en-AU"/>
              </w:rPr>
            </w:pPr>
            <w:r>
              <w:rPr>
                <w:lang w:eastAsia="en-AU"/>
              </w:rPr>
              <w:t xml:space="preserve">Variations </w:t>
            </w:r>
          </w:p>
        </w:tc>
        <w:tc>
          <w:tcPr>
            <w:tcW w:w="1629" w:type="pct"/>
          </w:tcPr>
          <w:p w14:paraId="4D7C03E6" w14:textId="77777777" w:rsidR="0066223C" w:rsidRDefault="0066223C" w:rsidP="00F7272B">
            <w:pPr>
              <w:ind w:left="0"/>
              <w:jc w:val="center"/>
              <w:rPr>
                <w:lang w:eastAsia="en-AU"/>
              </w:rPr>
            </w:pPr>
            <w:r>
              <w:rPr>
                <w:lang w:eastAsia="en-AU"/>
              </w:rPr>
              <w:t>448</w:t>
            </w:r>
          </w:p>
        </w:tc>
        <w:tc>
          <w:tcPr>
            <w:tcW w:w="2115" w:type="pct"/>
          </w:tcPr>
          <w:p w14:paraId="29AE773B" w14:textId="77777777" w:rsidR="0066223C" w:rsidRPr="00054397" w:rsidRDefault="0066223C" w:rsidP="00F7272B">
            <w:pPr>
              <w:jc w:val="center"/>
              <w:rPr>
                <w:strike/>
                <w:lang w:eastAsia="en-AU"/>
              </w:rPr>
            </w:pPr>
            <w:r>
              <w:rPr>
                <w:lang w:eastAsia="en-AU"/>
              </w:rPr>
              <w:t>390</w:t>
            </w:r>
          </w:p>
        </w:tc>
      </w:tr>
      <w:tr w:rsidR="0066223C" w:rsidRPr="00F07D02" w14:paraId="214045BA" w14:textId="77777777">
        <w:tc>
          <w:tcPr>
            <w:tcW w:w="1256" w:type="pct"/>
          </w:tcPr>
          <w:p w14:paraId="79A7FB86" w14:textId="77777777" w:rsidR="0066223C" w:rsidRPr="00E83B1D" w:rsidRDefault="0066223C" w:rsidP="0066223C">
            <w:pPr>
              <w:rPr>
                <w:b/>
                <w:bCs/>
                <w:lang w:eastAsia="en-AU"/>
              </w:rPr>
            </w:pPr>
            <w:r w:rsidRPr="00E83B1D">
              <w:rPr>
                <w:b/>
                <w:bCs/>
                <w:lang w:eastAsia="en-AU"/>
              </w:rPr>
              <w:t>Total application</w:t>
            </w:r>
            <w:r>
              <w:rPr>
                <w:b/>
                <w:bCs/>
                <w:lang w:eastAsia="en-AU"/>
              </w:rPr>
              <w:t>s</w:t>
            </w:r>
          </w:p>
        </w:tc>
        <w:tc>
          <w:tcPr>
            <w:tcW w:w="1629" w:type="pct"/>
          </w:tcPr>
          <w:p w14:paraId="3C6935B9" w14:textId="77777777" w:rsidR="0066223C" w:rsidRPr="00E83B1D" w:rsidRDefault="0066223C" w:rsidP="00F7272B">
            <w:pPr>
              <w:ind w:left="0"/>
              <w:jc w:val="center"/>
              <w:rPr>
                <w:b/>
                <w:bCs/>
                <w:lang w:eastAsia="en-AU"/>
              </w:rPr>
            </w:pPr>
            <w:r w:rsidRPr="00E83B1D">
              <w:rPr>
                <w:b/>
                <w:bCs/>
                <w:lang w:eastAsia="en-AU"/>
              </w:rPr>
              <w:t>19,079</w:t>
            </w:r>
          </w:p>
        </w:tc>
        <w:tc>
          <w:tcPr>
            <w:tcW w:w="2115" w:type="pct"/>
          </w:tcPr>
          <w:p w14:paraId="2B3EBF5E" w14:textId="77777777" w:rsidR="0066223C" w:rsidRPr="00054397" w:rsidRDefault="0066223C" w:rsidP="00F7272B">
            <w:pPr>
              <w:jc w:val="center"/>
              <w:rPr>
                <w:b/>
                <w:bCs/>
                <w:strike/>
                <w:lang w:eastAsia="en-AU"/>
              </w:rPr>
            </w:pPr>
            <w:r w:rsidRPr="00E83B1D">
              <w:rPr>
                <w:b/>
                <w:bCs/>
                <w:lang w:eastAsia="en-AU"/>
              </w:rPr>
              <w:t>17,513</w:t>
            </w:r>
          </w:p>
        </w:tc>
      </w:tr>
    </w:tbl>
    <w:p w14:paraId="39BFBC79" w14:textId="77777777" w:rsidR="006538F1" w:rsidRPr="006538F1" w:rsidRDefault="006538F1" w:rsidP="006538F1">
      <w:pPr>
        <w:pStyle w:val="Source"/>
      </w:pPr>
      <w:r>
        <w:t>Source: Deloitte analysis of Victoria Police data</w:t>
      </w:r>
      <w:r w:rsidR="00E348D3">
        <w:t>.</w:t>
      </w:r>
    </w:p>
    <w:p w14:paraId="7C4661C3" w14:textId="55186C3B" w:rsidR="008E7C7A" w:rsidRDefault="008E7C7A" w:rsidP="008E7C7A">
      <w:pPr>
        <w:pStyle w:val="Heading2"/>
      </w:pPr>
      <w:bookmarkStart w:id="67" w:name="_Toc152086240"/>
      <w:bookmarkStart w:id="68" w:name="_Ref156554924"/>
      <w:bookmarkStart w:id="69" w:name="_Ref174530150"/>
      <w:bookmarkStart w:id="70" w:name="_Toc189832251"/>
      <w:bookmarkEnd w:id="64"/>
      <w:r w:rsidRPr="00294696">
        <w:t>Objectives</w:t>
      </w:r>
      <w:bookmarkEnd w:id="67"/>
      <w:bookmarkEnd w:id="68"/>
      <w:bookmarkEnd w:id="69"/>
      <w:bookmarkEnd w:id="70"/>
    </w:p>
    <w:p w14:paraId="3D2C7EE9" w14:textId="77777777" w:rsidR="00860403" w:rsidRDefault="00860403" w:rsidP="00860403">
      <w:r>
        <w:t>In assessing whether to remake the Regulations, the relevant objectives are to regulate the private security industry in a manner that:</w:t>
      </w:r>
    </w:p>
    <w:p w14:paraId="6F0D9293" w14:textId="77777777" w:rsidR="00860403" w:rsidRDefault="00860403" w:rsidP="00860403">
      <w:pPr>
        <w:pStyle w:val="ListParagraph"/>
        <w:numPr>
          <w:ilvl w:val="0"/>
          <w:numId w:val="44"/>
        </w:numPr>
      </w:pPr>
      <w:r>
        <w:t xml:space="preserve">mitigates the potential risks to community safety and wellbeing posed by the private security industry, if industry standards and practices are deficient or inappropriate persons or businesses operate in the industry </w:t>
      </w:r>
    </w:p>
    <w:p w14:paraId="76BCFAC0" w14:textId="6AEBD4D7" w:rsidR="00860403" w:rsidRDefault="00860403" w:rsidP="00860403">
      <w:pPr>
        <w:pStyle w:val="ListParagraph"/>
        <w:numPr>
          <w:ilvl w:val="0"/>
          <w:numId w:val="44"/>
        </w:numPr>
      </w:pPr>
      <w:r>
        <w:t>imposes the minimum efficient level of regulatory burden on the private security industry</w:t>
      </w:r>
    </w:p>
    <w:p w14:paraId="0220E04D" w14:textId="6C0DE527" w:rsidR="00B305A0" w:rsidRDefault="00B305A0" w:rsidP="00B305A0">
      <w:pPr>
        <w:pStyle w:val="ListParagraph"/>
        <w:numPr>
          <w:ilvl w:val="0"/>
          <w:numId w:val="44"/>
        </w:numPr>
      </w:pPr>
      <w:r w:rsidRPr="00B305A0">
        <w:t>prescribes fees that send appropriate price signals to the economy regarding the full cost of providing the services, are paid by those who benefit from the service, and do not pose a disincentive for industry participants to be licenced.</w:t>
      </w:r>
    </w:p>
    <w:p w14:paraId="37A3A70E" w14:textId="3DA38B5A" w:rsidR="0098752D" w:rsidRDefault="0036598D" w:rsidP="00165901">
      <w:pPr>
        <w:pStyle w:val="Heading1"/>
      </w:pPr>
      <w:r>
        <w:lastRenderedPageBreak/>
        <w:t xml:space="preserve"> </w:t>
      </w:r>
      <w:bookmarkStart w:id="71" w:name="_Toc189832252"/>
      <w:bookmarkStart w:id="72" w:name="_Toc154038983"/>
      <w:bookmarkStart w:id="73" w:name="_Ref169874217"/>
      <w:r w:rsidR="00892709">
        <w:t>Options design and analysis methodology</w:t>
      </w:r>
      <w:bookmarkEnd w:id="71"/>
    </w:p>
    <w:p w14:paraId="4FF13328" w14:textId="7A2021A2" w:rsidR="00892709" w:rsidRPr="00BD2E62" w:rsidRDefault="00892709" w:rsidP="00892709">
      <w:pPr>
        <w:rPr>
          <w:sz w:val="28"/>
          <w:szCs w:val="28"/>
        </w:rPr>
      </w:pPr>
      <w:r w:rsidRPr="00BD2E62">
        <w:rPr>
          <w:sz w:val="28"/>
          <w:szCs w:val="28"/>
        </w:rPr>
        <w:t xml:space="preserve">This chapter describes the approach to options design for remaking the sunsetting Private Security Regulations, as well as the methodology employed for analysing the options. </w:t>
      </w:r>
    </w:p>
    <w:p w14:paraId="37ACC203" w14:textId="398A126F" w:rsidR="00892709" w:rsidRDefault="00BD2E62" w:rsidP="00BD2E62">
      <w:pPr>
        <w:pStyle w:val="Heading2"/>
      </w:pPr>
      <w:bookmarkStart w:id="74" w:name="_Toc189832253"/>
      <w:r>
        <w:t>Options development</w:t>
      </w:r>
      <w:bookmarkEnd w:id="74"/>
      <w:r>
        <w:t xml:space="preserve"> </w:t>
      </w:r>
    </w:p>
    <w:p w14:paraId="026DE0DC" w14:textId="77777777" w:rsidR="00322833" w:rsidRDefault="00322833" w:rsidP="00322833">
      <w:pPr>
        <w:rPr>
          <w:rStyle w:val="CommentReference"/>
        </w:rPr>
      </w:pPr>
      <w:r>
        <w:t xml:space="preserve">As part of the RIS process, it is necessary to consider different options that could achieve the Victorian Government’s objectives. The </w:t>
      </w:r>
      <w:r w:rsidRPr="00151A71">
        <w:rPr>
          <w:i/>
          <w:iCs/>
        </w:rPr>
        <w:t>Subordinate Legislation Act 1994</w:t>
      </w:r>
      <w:r>
        <w:t xml:space="preserve"> requires a RIS to consider “other practicable means of achieving [the] objectives, including other regulatory as well as non-regulatory options.” This includes consideration of a range of approaches, including co-regulation and non-regulatory approaches, and those that reduce the burden imposed on businesses and/or the community.</w:t>
      </w:r>
      <w:r>
        <w:rPr>
          <w:rStyle w:val="CommentReference"/>
        </w:rPr>
        <w:t xml:space="preserve"> </w:t>
      </w:r>
    </w:p>
    <w:p w14:paraId="4C58010F" w14:textId="35C56BB3" w:rsidR="00322833" w:rsidRDefault="00322833" w:rsidP="00322833">
      <w:r>
        <w:t xml:space="preserve">A non-regulatory option to address the problems discussed in Chapter 2 is the introduction of guidelines by Victoria Police to outline the required documentation to accompany licence applications. The Act requires applications to be accompanied by the prescribed particulars, documents, and fees while the Regulations prescribe these requirements. In the absence of the Regulations, Victoria Police could develop guidance materials outlining the requirements and publish fees on their website to provide clarity to the industry. However, these guidelines would not have the legal authority that Regulations do. </w:t>
      </w:r>
      <w:r w:rsidR="0002697D">
        <w:t xml:space="preserve">Therefore, remaking the Regulations is the only viable </w:t>
      </w:r>
      <w:r w:rsidR="00622A6C">
        <w:t>option</w:t>
      </w:r>
      <w:r w:rsidR="004621B1">
        <w:t xml:space="preserve">. </w:t>
      </w:r>
    </w:p>
    <w:p w14:paraId="672D6B93" w14:textId="71C181F9" w:rsidR="00322833" w:rsidRDefault="00322833" w:rsidP="00322833">
      <w:r>
        <w:t xml:space="preserve">The two areas for analysis in this RIS are remaking of the </w:t>
      </w:r>
      <w:r w:rsidR="00396203">
        <w:t>licensing requirements</w:t>
      </w:r>
      <w:r>
        <w:t xml:space="preserve"> and the prescription of fees for licensing activities. Options considered and their analysis is contained in Chapters 4 and 5 respectively. </w:t>
      </w:r>
    </w:p>
    <w:p w14:paraId="61059DDE" w14:textId="5C957034" w:rsidR="00BD2E62" w:rsidRDefault="006B5EB4" w:rsidP="006B5EB4">
      <w:pPr>
        <w:pStyle w:val="Heading2"/>
      </w:pPr>
      <w:bookmarkStart w:id="75" w:name="_Toc189832254"/>
      <w:r>
        <w:t>Multi-criteria analysis methodology</w:t>
      </w:r>
      <w:bookmarkEnd w:id="75"/>
      <w:r>
        <w:t xml:space="preserve"> </w:t>
      </w:r>
    </w:p>
    <w:p w14:paraId="1810604E" w14:textId="20536DE3" w:rsidR="0024181C" w:rsidRPr="00F07D02" w:rsidRDefault="0024181C" w:rsidP="0024181C">
      <w:r>
        <w:t>This RIS has used multi-criteria analysis (MCA)</w:t>
      </w:r>
      <w:r w:rsidRPr="00F07D02">
        <w:t xml:space="preserve"> to compare and assess the options identified in Chapter </w:t>
      </w:r>
      <w:r>
        <w:t>4 and 5</w:t>
      </w:r>
      <w:r w:rsidRPr="00F07D02">
        <w:t>. MCA involves a structured assessment of the different options using a series of criteria. This approach has been chosen as the preferred analysis tool as it provides a structured</w:t>
      </w:r>
      <w:r>
        <w:t>, balanced,</w:t>
      </w:r>
      <w:r w:rsidRPr="00F07D02">
        <w:t xml:space="preserve"> and transparent approach </w:t>
      </w:r>
      <w:r>
        <w:t>that can effectively highlight the key trade-offs for decision making, particularly in the presence of uncertainty.</w:t>
      </w:r>
      <w:r w:rsidRPr="00F07D02">
        <w:t xml:space="preserve"> </w:t>
      </w:r>
    </w:p>
    <w:p w14:paraId="474B3CFE" w14:textId="15F4602A" w:rsidR="0024181C" w:rsidRDefault="0024181C" w:rsidP="0024181C">
      <w:r w:rsidRPr="00F07D02">
        <w:t xml:space="preserve">MCA requires judgement as to how the proposed options will contribute to a series of criteria selected to reflect the benefits and costs associated with each option. Each criterion is assigned a weight reflecting </w:t>
      </w:r>
      <w:r w:rsidR="00392AB4">
        <w:t xml:space="preserve">the Victorian Government’s view </w:t>
      </w:r>
      <w:r w:rsidR="00171554">
        <w:t xml:space="preserve">of how important the criterion is in informing the </w:t>
      </w:r>
      <w:r w:rsidRPr="00F07D02">
        <w:t>policy decision. A weighted score is then derived for each option, and the option with the highest weighted score is then selected as the preferred option. The MCA technique is outlined in</w:t>
      </w:r>
      <w:r w:rsidR="001B00E4">
        <w:t xml:space="preserve"> Figure </w:t>
      </w:r>
      <w:r w:rsidR="0098255E">
        <w:t>3.1</w:t>
      </w:r>
      <w:r w:rsidR="00423BFF">
        <w:t>.</w:t>
      </w:r>
      <w:r w:rsidRPr="00F07D02">
        <w:t xml:space="preserve"> </w:t>
      </w:r>
    </w:p>
    <w:p w14:paraId="2C6FC001" w14:textId="02DC4ACD" w:rsidR="0024181C" w:rsidRDefault="0024181C" w:rsidP="0024181C">
      <w:pPr>
        <w:pStyle w:val="CaptionFigure"/>
      </w:pPr>
      <w:r>
        <w:t xml:space="preserve">: </w:t>
      </w:r>
      <w:r w:rsidR="00CA1A9D">
        <w:t>MCA approach</w:t>
      </w:r>
      <w:r>
        <w:t xml:space="preserve"> </w:t>
      </w:r>
    </w:p>
    <w:tbl>
      <w:tblPr>
        <w:tblStyle w:val="Deloittetable"/>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70" w:type="dxa"/>
        </w:tblCellMar>
        <w:tblLook w:val="04A0" w:firstRow="1" w:lastRow="0" w:firstColumn="1" w:lastColumn="0" w:noHBand="0" w:noVBand="1"/>
      </w:tblPr>
      <w:tblGrid>
        <w:gridCol w:w="10125"/>
      </w:tblGrid>
      <w:tr w:rsidR="0024181C" w:rsidRPr="00F07D02" w14:paraId="7FEF8C35" w14:textId="77777777">
        <w:trPr>
          <w:cnfStyle w:val="100000000000" w:firstRow="1" w:lastRow="0" w:firstColumn="0" w:lastColumn="0" w:oddVBand="0" w:evenVBand="0" w:oddHBand="0" w:evenHBand="0" w:firstRowFirstColumn="0" w:firstRowLastColumn="0" w:lastRowFirstColumn="0" w:lastRowLastColumn="0"/>
          <w:trHeight w:val="410"/>
        </w:trPr>
        <w:tc>
          <w:tcPr>
            <w:tcW w:w="5000" w:type="pct"/>
            <w:tcBorders>
              <w:top w:val="single" w:sz="18" w:space="0" w:color="62B5E5" w:themeColor="accent3"/>
              <w:left w:val="single" w:sz="18" w:space="0" w:color="62B5E5" w:themeColor="accent3"/>
              <w:bottom w:val="single" w:sz="18" w:space="0" w:color="62B5E5" w:themeColor="accent3"/>
              <w:right w:val="single" w:sz="18" w:space="0" w:color="62B5E5" w:themeColor="accent3"/>
            </w:tcBorders>
            <w:shd w:val="clear" w:color="auto" w:fill="DFF0F9" w:themeFill="accent3" w:themeFillTint="33"/>
          </w:tcPr>
          <w:p w14:paraId="5625B723" w14:textId="77777777" w:rsidR="0024181C" w:rsidRPr="00152743" w:rsidRDefault="0024181C">
            <w:pPr>
              <w:spacing w:after="0" w:line="312" w:lineRule="auto"/>
              <w:jc w:val="both"/>
              <w:rPr>
                <w:b/>
                <w:sz w:val="18"/>
              </w:rPr>
            </w:pPr>
            <w:r w:rsidRPr="00152743">
              <w:rPr>
                <w:sz w:val="18"/>
              </w:rPr>
              <w:t xml:space="preserve">MCA is a technique used to assess policy options against a set of decision criteria. It enables a transparent comparison of options using a mixture of quantitative and qualitative information and allows analysis to consider a wider range of criteria (e.g. </w:t>
            </w:r>
            <w:r>
              <w:rPr>
                <w:sz w:val="18"/>
              </w:rPr>
              <w:t>equity</w:t>
            </w:r>
            <w:r w:rsidRPr="00152743">
              <w:rPr>
                <w:sz w:val="18"/>
              </w:rPr>
              <w:t xml:space="preserve"> considerations) which are not typically included in other common </w:t>
            </w:r>
            <w:r>
              <w:rPr>
                <w:sz w:val="18"/>
              </w:rPr>
              <w:t>economic</w:t>
            </w:r>
            <w:r w:rsidRPr="00152743">
              <w:rPr>
                <w:sz w:val="18"/>
              </w:rPr>
              <w:t xml:space="preserve"> analyses, like a break-even analysis. All necessary subjective judgements and assumptions used to determine options and criteria, and to assign scores and weights, are </w:t>
            </w:r>
            <w:r>
              <w:rPr>
                <w:sz w:val="18"/>
              </w:rPr>
              <w:t>explicitly articulated</w:t>
            </w:r>
            <w:r w:rsidRPr="00152743">
              <w:rPr>
                <w:sz w:val="18"/>
              </w:rPr>
              <w:t>. The preferences of the decision maker reflected in these judgements and assumptions can be readily changed through a sensitivity analysis or by incorporating alternative indicators.</w:t>
            </w:r>
          </w:p>
        </w:tc>
      </w:tr>
    </w:tbl>
    <w:p w14:paraId="4C028A9F" w14:textId="64CE0C5A" w:rsidR="00707CAA" w:rsidRDefault="00707CAA" w:rsidP="00FB49E2">
      <w:pPr>
        <w:pStyle w:val="Heading3"/>
        <w:numPr>
          <w:ilvl w:val="2"/>
          <w:numId w:val="34"/>
        </w:numPr>
        <w:spacing w:before="120"/>
      </w:pPr>
      <w:r>
        <w:t xml:space="preserve">Application of the Pricing Principles </w:t>
      </w:r>
    </w:p>
    <w:p w14:paraId="58F0FDE6" w14:textId="7011FDB3" w:rsidR="00B87753" w:rsidRDefault="00707CAA" w:rsidP="00B87753">
      <w:r>
        <w:t>The Regulations enable Victoria Police to</w:t>
      </w:r>
      <w:r w:rsidR="000C1EA5">
        <w:t xml:space="preserve"> charge fees to</w:t>
      </w:r>
      <w:r>
        <w:t xml:space="preserve"> </w:t>
      </w:r>
      <w:r w:rsidR="00F2508D">
        <w:t>recover the costs of issuing</w:t>
      </w:r>
      <w:r w:rsidR="00A33283">
        <w:t xml:space="preserve"> private security</w:t>
      </w:r>
      <w:r w:rsidR="00F2508D">
        <w:t xml:space="preserve"> </w:t>
      </w:r>
      <w:r w:rsidR="000704E8">
        <w:t xml:space="preserve">licences and </w:t>
      </w:r>
      <w:r w:rsidR="00A33283">
        <w:t>registration</w:t>
      </w:r>
      <w:r w:rsidR="000704E8">
        <w:t xml:space="preserve"> </w:t>
      </w:r>
      <w:r w:rsidR="00A33283">
        <w:t xml:space="preserve">and of regulating the sector. </w:t>
      </w:r>
      <w:r w:rsidR="00100B5A">
        <w:t>I</w:t>
      </w:r>
      <w:r w:rsidR="00100B5A" w:rsidRPr="00C563B5">
        <w:t xml:space="preserve">n </w:t>
      </w:r>
      <w:r w:rsidR="00B87753" w:rsidRPr="00C563B5">
        <w:t xml:space="preserve">line with the objectives of the </w:t>
      </w:r>
      <w:r w:rsidR="00B87753">
        <w:t>R</w:t>
      </w:r>
      <w:r w:rsidR="00B87753" w:rsidRPr="00C563B5">
        <w:t xml:space="preserve">egulations to recover the costs of efficiently administering the Act and the proposed Regulations through cost-reflective and equitable fees, the pricing principles from </w:t>
      </w:r>
      <w:r w:rsidR="00B87753" w:rsidRPr="00826645">
        <w:rPr>
          <w:i/>
          <w:iCs/>
        </w:rPr>
        <w:t>Pricing for Value</w:t>
      </w:r>
      <w:r w:rsidR="00B87753" w:rsidRPr="00C563B5">
        <w:t xml:space="preserve"> </w:t>
      </w:r>
      <w:r w:rsidR="00B87753">
        <w:t xml:space="preserve">(see section </w:t>
      </w:r>
      <w:r w:rsidR="00B87753">
        <w:fldChar w:fldCharType="begin"/>
      </w:r>
      <w:r w:rsidR="00B87753">
        <w:instrText xml:space="preserve"> REF _Ref172186637 \r \h </w:instrText>
      </w:r>
      <w:r w:rsidR="00B87753">
        <w:fldChar w:fldCharType="separate"/>
      </w:r>
      <w:r w:rsidR="009D133E">
        <w:t>1.5.1</w:t>
      </w:r>
      <w:r w:rsidR="00B87753">
        <w:fldChar w:fldCharType="end"/>
      </w:r>
      <w:r w:rsidR="00B87753">
        <w:t xml:space="preserve">) </w:t>
      </w:r>
      <w:r w:rsidR="00B87753" w:rsidRPr="00C563B5">
        <w:t>have then been applied in this RIS to identify options for changes to the current fee settings.</w:t>
      </w:r>
    </w:p>
    <w:p w14:paraId="30495751" w14:textId="607309EA" w:rsidR="00B87753" w:rsidRDefault="00B87753" w:rsidP="00B87753">
      <w:r>
        <w:t xml:space="preserve">The primary </w:t>
      </w:r>
      <w:r w:rsidR="00183871">
        <w:t>P</w:t>
      </w:r>
      <w:r>
        <w:t xml:space="preserve">ricing </w:t>
      </w:r>
      <w:r w:rsidR="00183871">
        <w:t>P</w:t>
      </w:r>
      <w:r>
        <w:t>rinciples considered most relevant for this RIS are</w:t>
      </w:r>
      <w:r w:rsidR="002A1A68">
        <w:t xml:space="preserve"> discussed below</w:t>
      </w:r>
      <w:r w:rsidR="00183871">
        <w:t>. The</w:t>
      </w:r>
      <w:r w:rsidR="00761A75">
        <w:t xml:space="preserve">se Principles have been </w:t>
      </w:r>
      <w:r w:rsidR="00321FAD">
        <w:t>selected</w:t>
      </w:r>
      <w:r w:rsidR="00761A75">
        <w:t xml:space="preserve"> as the they most closely align with the </w:t>
      </w:r>
      <w:r w:rsidR="00321FAD">
        <w:t>objectives of the proposed options to be considered. The Pricing Principles selected are:</w:t>
      </w:r>
    </w:p>
    <w:p w14:paraId="08A79472" w14:textId="3428A39B" w:rsidR="00B87753" w:rsidRPr="009946A4" w:rsidRDefault="00911CE1" w:rsidP="00B87753">
      <w:pPr>
        <w:rPr>
          <w:b/>
          <w:bCs/>
        </w:rPr>
      </w:pPr>
      <w:r>
        <w:rPr>
          <w:b/>
          <w:bCs/>
        </w:rPr>
        <w:br w:type="page"/>
      </w:r>
      <w:r w:rsidR="00B87753" w:rsidRPr="009946A4">
        <w:rPr>
          <w:b/>
          <w:bCs/>
        </w:rPr>
        <w:lastRenderedPageBreak/>
        <w:t>Principle 1: Agencies should aim to recover the full costs of service provision to promote efficient consumption.</w:t>
      </w:r>
    </w:p>
    <w:p w14:paraId="1FF6A0F9" w14:textId="70E5887D" w:rsidR="00B87753" w:rsidRDefault="00B87753" w:rsidP="00B87753">
      <w:r w:rsidRPr="00C056FD">
        <w:t xml:space="preserve">Principle 1 articulates a foundational financial sustainability aspiration for any set of fees for government services or activities and </w:t>
      </w:r>
      <w:r w:rsidR="000700FC">
        <w:t xml:space="preserve">promotes </w:t>
      </w:r>
      <w:r w:rsidRPr="00C056FD">
        <w:t xml:space="preserve">cost recovery as a means </w:t>
      </w:r>
      <w:r w:rsidR="00920171">
        <w:t xml:space="preserve">to encourage </w:t>
      </w:r>
      <w:r w:rsidRPr="00C056FD">
        <w:t xml:space="preserve">efficient </w:t>
      </w:r>
      <w:r w:rsidR="00920171">
        <w:t>demand for government services</w:t>
      </w:r>
      <w:r w:rsidRPr="00C056FD">
        <w:t xml:space="preserve">. The fees associated with </w:t>
      </w:r>
      <w:r w:rsidR="006F770B">
        <w:t>private security applications</w:t>
      </w:r>
      <w:r w:rsidRPr="00C056FD">
        <w:t xml:space="preserve"> aim to </w:t>
      </w:r>
      <w:r w:rsidR="00920171">
        <w:t xml:space="preserve">support </w:t>
      </w:r>
      <w:r w:rsidRPr="00C056FD">
        <w:t>financially sustainable and efficient regulatory activity, so principle 1 is relevant to the assessment of fee options.</w:t>
      </w:r>
    </w:p>
    <w:p w14:paraId="538A35D7" w14:textId="77777777" w:rsidR="00B87753" w:rsidRPr="001F3035" w:rsidRDefault="00B87753" w:rsidP="00B87753">
      <w:pPr>
        <w:rPr>
          <w:b/>
          <w:bCs/>
        </w:rPr>
      </w:pPr>
      <w:r w:rsidRPr="001F3035">
        <w:rPr>
          <w:b/>
          <w:bCs/>
        </w:rPr>
        <w:t>Principle 2: The cost-of-service provision should be borne by those who benefit from the service.</w:t>
      </w:r>
    </w:p>
    <w:p w14:paraId="78405A96" w14:textId="5FA8CB38" w:rsidR="00B87753" w:rsidRDefault="00B87753" w:rsidP="00B87753">
      <w:r>
        <w:t xml:space="preserve">Principle 2 aligns with the equity objective of cost recovery for regulatory services. </w:t>
      </w:r>
      <w:r w:rsidR="00184C70">
        <w:t xml:space="preserve">Recovering </w:t>
      </w:r>
      <w:r>
        <w:t xml:space="preserve">the cost of regulatory services </w:t>
      </w:r>
      <w:r w:rsidR="00184C70">
        <w:t xml:space="preserve">from </w:t>
      </w:r>
      <w:r>
        <w:t xml:space="preserve">its beneficiaries (rather than those costs being borne by the public through consolidated revenue) ensures that those who </w:t>
      </w:r>
      <w:r w:rsidR="00184C70">
        <w:t xml:space="preserve">directly </w:t>
      </w:r>
      <w:r>
        <w:t xml:space="preserve">benefit from the services </w:t>
      </w:r>
      <w:r w:rsidR="00386074">
        <w:t>are not</w:t>
      </w:r>
      <w:r>
        <w:t xml:space="preserve"> cross</w:t>
      </w:r>
      <w:r w:rsidR="007526EF">
        <w:t xml:space="preserve"> </w:t>
      </w:r>
      <w:r>
        <w:t>subsidise</w:t>
      </w:r>
      <w:r w:rsidR="00386074">
        <w:t>d by</w:t>
      </w:r>
      <w:r>
        <w:t xml:space="preserve"> those who do.</w:t>
      </w:r>
    </w:p>
    <w:p w14:paraId="57E01265" w14:textId="2631163C" w:rsidR="00B87753" w:rsidRDefault="00B87753" w:rsidP="00B87753">
      <w:r>
        <w:t>The broad concept of imposing a fee structure for the private security industry aspires to apportion regulatory costs in line with the benefits associations receive from them. This makes principle 2 relevant to assessing fee options.</w:t>
      </w:r>
    </w:p>
    <w:p w14:paraId="4A2E87BB" w14:textId="77777777" w:rsidR="00B87753" w:rsidRPr="00E445C6" w:rsidRDefault="00B87753" w:rsidP="00B87753">
      <w:pPr>
        <w:rPr>
          <w:b/>
          <w:bCs/>
        </w:rPr>
      </w:pPr>
      <w:r w:rsidRPr="00E445C6">
        <w:rPr>
          <w:b/>
          <w:bCs/>
        </w:rPr>
        <w:t>Principle 5: The price of services should not limit access to those with a lower ability to pay.</w:t>
      </w:r>
    </w:p>
    <w:p w14:paraId="7619DF02" w14:textId="69AB61E8" w:rsidR="00B87753" w:rsidRDefault="00B87753" w:rsidP="00B87753">
      <w:r w:rsidRPr="00A61F92">
        <w:t xml:space="preserve">Principle 5 aligns with the equity objective of cost recovery for regulatory services. Principle 5 aspires for </w:t>
      </w:r>
      <w:r w:rsidR="0094515E">
        <w:t>the</w:t>
      </w:r>
      <w:r w:rsidR="0094515E" w:rsidRPr="00A61F92">
        <w:t xml:space="preserve"> </w:t>
      </w:r>
      <w:r w:rsidRPr="00A61F92">
        <w:t xml:space="preserve">cost </w:t>
      </w:r>
      <w:r w:rsidR="0094515E">
        <w:t xml:space="preserve">imposed on regulated entities </w:t>
      </w:r>
      <w:r w:rsidR="007E2A43">
        <w:t>to</w:t>
      </w:r>
      <w:r w:rsidR="00240647">
        <w:t xml:space="preserve"> </w:t>
      </w:r>
      <w:r w:rsidRPr="00A61F92">
        <w:t xml:space="preserve">not impinge on regulated entities’ ability to access those regulatory services. As identified </w:t>
      </w:r>
      <w:r>
        <w:t xml:space="preserve">at Section </w:t>
      </w:r>
      <w:r w:rsidR="003B627E">
        <w:fldChar w:fldCharType="begin"/>
      </w:r>
      <w:r w:rsidR="003B627E">
        <w:instrText xml:space="preserve"> REF _Ref172901263 \r \h </w:instrText>
      </w:r>
      <w:r w:rsidR="003B627E">
        <w:fldChar w:fldCharType="separate"/>
      </w:r>
      <w:r w:rsidR="009D133E">
        <w:t>1.4</w:t>
      </w:r>
      <w:r w:rsidR="003B627E">
        <w:fldChar w:fldCharType="end"/>
      </w:r>
      <w:r>
        <w:t>,</w:t>
      </w:r>
      <w:r w:rsidRPr="00A61F92">
        <w:t xml:space="preserve"> there are currently approximately </w:t>
      </w:r>
      <w:r w:rsidR="00FC2E9B">
        <w:t>40</w:t>
      </w:r>
      <w:r>
        <w:t>,000 individual private security licence</w:t>
      </w:r>
      <w:r w:rsidR="00FC2E9B">
        <w:t xml:space="preserve"> and registration </w:t>
      </w:r>
      <w:r>
        <w:t xml:space="preserve">holders, and </w:t>
      </w:r>
      <w:r w:rsidR="00276823">
        <w:t>nearly 1,</w:t>
      </w:r>
      <w:r>
        <w:t>900 business licence</w:t>
      </w:r>
      <w:r w:rsidR="00276823">
        <w:t xml:space="preserve"> and registration </w:t>
      </w:r>
      <w:r>
        <w:t>holders</w:t>
      </w:r>
      <w:r w:rsidRPr="00A61F92">
        <w:t xml:space="preserve"> in Victoria. </w:t>
      </w:r>
      <w:r>
        <w:t>While some business licence-holders are large private security firms</w:t>
      </w:r>
      <w:r w:rsidR="008434B6">
        <w:t xml:space="preserve">, </w:t>
      </w:r>
      <w:r w:rsidR="00A72BF1">
        <w:t>most</w:t>
      </w:r>
      <w:r w:rsidR="008434B6">
        <w:t xml:space="preserve"> of the sector consists of individuals holding a </w:t>
      </w:r>
      <w:r w:rsidR="000C3B6A">
        <w:t>security guard licence</w:t>
      </w:r>
      <w:r>
        <w:t xml:space="preserve">. </w:t>
      </w:r>
      <w:r w:rsidR="000F4A84">
        <w:t xml:space="preserve">Consultations with stakeholders reveals that the cost of licences for Class A activities are typically borne by the individual themselves rather than being </w:t>
      </w:r>
      <w:r w:rsidR="00B00E88">
        <w:t>paid for by their employers. As</w:t>
      </w:r>
      <w:r>
        <w:t xml:space="preserve"> businesses and individuals have significantly varying abilities to pay</w:t>
      </w:r>
      <w:r w:rsidR="00B00E88">
        <w:t>,</w:t>
      </w:r>
      <w:r w:rsidRPr="00A61F92">
        <w:t xml:space="preserve"> Principle 5 is relevant as it can guide the development and assessment of fee options as they relate to </w:t>
      </w:r>
      <w:r w:rsidR="007E2A43">
        <w:t xml:space="preserve">equitable </w:t>
      </w:r>
      <w:r w:rsidRPr="00A61F92">
        <w:t>access.</w:t>
      </w:r>
    </w:p>
    <w:p w14:paraId="598D33E8" w14:textId="77777777" w:rsidR="00B87753" w:rsidRPr="00376A3B" w:rsidRDefault="00B87753" w:rsidP="00B87753">
      <w:pPr>
        <w:rPr>
          <w:b/>
          <w:bCs/>
        </w:rPr>
      </w:pPr>
      <w:r w:rsidRPr="00376A3B">
        <w:rPr>
          <w:b/>
          <w:bCs/>
        </w:rPr>
        <w:t>Principle 8: Pricing should support positive behaviours.</w:t>
      </w:r>
    </w:p>
    <w:p w14:paraId="190D1F94" w14:textId="4AB2DFB9" w:rsidR="00B87753" w:rsidRDefault="00B87753" w:rsidP="00B87753">
      <w:r w:rsidRPr="00376A3B">
        <w:t xml:space="preserve">Principle 8 aligns with the efficiency objective of cost recovery for regulatory services. Setting a price for regulatory services may </w:t>
      </w:r>
      <w:r w:rsidR="0053143C">
        <w:t xml:space="preserve">deter some regulated entities from undertaking the regulated activities or lead to greater incidence of </w:t>
      </w:r>
      <w:r w:rsidRPr="00376A3B">
        <w:t>non-compliance. In turn, this non-compliance may result in the need for more intensive</w:t>
      </w:r>
      <w:r w:rsidR="0053143C">
        <w:t xml:space="preserve"> </w:t>
      </w:r>
      <w:r w:rsidR="000C67F8">
        <w:t xml:space="preserve">monitoring and compliance </w:t>
      </w:r>
      <w:r w:rsidRPr="00376A3B">
        <w:t xml:space="preserve">activities for regulators. This </w:t>
      </w:r>
      <w:r w:rsidR="00FD5C1C">
        <w:t xml:space="preserve">can </w:t>
      </w:r>
      <w:r w:rsidRPr="00376A3B">
        <w:t xml:space="preserve">reduce </w:t>
      </w:r>
      <w:r w:rsidR="00FD5C1C">
        <w:t xml:space="preserve">a </w:t>
      </w:r>
      <w:r w:rsidRPr="00376A3B">
        <w:t xml:space="preserve">regulator’s overall </w:t>
      </w:r>
      <w:r w:rsidR="00FD5C1C">
        <w:t xml:space="preserve">level of </w:t>
      </w:r>
      <w:r w:rsidRPr="00376A3B">
        <w:t>cost recovery from both lower revenue and greater disciplinary costs. Such a pricing structure causes inefficiencies, as it diverts the regulator’s resources away from its core activities and towards investigative or disciplinary activities.</w:t>
      </w:r>
    </w:p>
    <w:p w14:paraId="27813181" w14:textId="31F607D6" w:rsidR="00B87753" w:rsidRDefault="00B87753" w:rsidP="00B87753">
      <w:r w:rsidRPr="00376A3B">
        <w:t xml:space="preserve">Principle 8 is relevant as it can guide the development and assessment of fee options </w:t>
      </w:r>
      <w:r>
        <w:t>that aspire to address</w:t>
      </w:r>
      <w:r w:rsidRPr="00376A3B">
        <w:t xml:space="preserve"> that risk.</w:t>
      </w:r>
    </w:p>
    <w:p w14:paraId="2254F94F" w14:textId="77777777" w:rsidR="00B87753" w:rsidRDefault="00B87753" w:rsidP="00B87753">
      <w:pPr>
        <w:rPr>
          <w:b/>
          <w:bCs/>
        </w:rPr>
      </w:pPr>
      <w:r w:rsidRPr="008C5820">
        <w:rPr>
          <w:b/>
          <w:bCs/>
        </w:rPr>
        <w:t xml:space="preserve">Principle 11: </w:t>
      </w:r>
      <w:r w:rsidRPr="008C5820">
        <w:rPr>
          <w:b/>
        </w:rPr>
        <w:t>Pricing structures should be easy to understand and simple to administer</w:t>
      </w:r>
      <w:r w:rsidRPr="008C5820">
        <w:rPr>
          <w:b/>
          <w:bCs/>
        </w:rPr>
        <w:t>.</w:t>
      </w:r>
    </w:p>
    <w:p w14:paraId="30ECFE34" w14:textId="77777777" w:rsidR="00B87753" w:rsidRDefault="00B87753" w:rsidP="00B87753">
      <w:r>
        <w:t>Principle 11 aligns with the efficiency objective of cost recovery for regulatory activities. Developing a pricing structure that is easy to understand promotes clarity about regulated entities’ compliance costs. This reduces queries for the regulator regarding ambiguities in the pricing structure. It also allows regulated entities to follow the pricing structure easily and quickly. In these ways, both the regulator and regulated entities operate more efficiently. Principle 11 is relevant in this instance. Fee options can be developed and assessed against their ability to provide clarity for private security providers, and simplicity of administration for Victoria Police.</w:t>
      </w:r>
    </w:p>
    <w:p w14:paraId="18E56603" w14:textId="56BC5FC0" w:rsidR="006B5EB4" w:rsidRDefault="009054C4" w:rsidP="00202AB3">
      <w:pPr>
        <w:pStyle w:val="Heading3"/>
        <w:numPr>
          <w:ilvl w:val="2"/>
          <w:numId w:val="34"/>
        </w:numPr>
      </w:pPr>
      <w:r>
        <w:t xml:space="preserve">MCA </w:t>
      </w:r>
      <w:r w:rsidR="00BC0638">
        <w:t>criteria</w:t>
      </w:r>
      <w:r w:rsidR="000E7281">
        <w:t xml:space="preserve"> for remaking the Private Security Regulations </w:t>
      </w:r>
    </w:p>
    <w:p w14:paraId="542270A8" w14:textId="7C229181" w:rsidR="006D740D" w:rsidRDefault="00115587" w:rsidP="009054C4">
      <w:r>
        <w:fldChar w:fldCharType="begin"/>
      </w:r>
      <w:r>
        <w:instrText xml:space="preserve"> REF _Ref172186053 \h </w:instrText>
      </w:r>
      <w:r>
        <w:fldChar w:fldCharType="separate"/>
      </w:r>
      <w:r w:rsidR="009D133E">
        <w:t xml:space="preserve">Table </w:t>
      </w:r>
      <w:r w:rsidR="009D133E">
        <w:rPr>
          <w:noProof/>
        </w:rPr>
        <w:t>3</w:t>
      </w:r>
      <w:r w:rsidR="009D133E">
        <w:t>.</w:t>
      </w:r>
      <w:r w:rsidR="009D133E">
        <w:rPr>
          <w:noProof/>
        </w:rPr>
        <w:t>1</w:t>
      </w:r>
      <w:r>
        <w:fldChar w:fldCharType="end"/>
      </w:r>
      <w:r>
        <w:t xml:space="preserve"> and </w:t>
      </w:r>
      <w:r>
        <w:fldChar w:fldCharType="begin"/>
      </w:r>
      <w:r>
        <w:instrText xml:space="preserve"> REF _Ref172186079 \h </w:instrText>
      </w:r>
      <w:r>
        <w:fldChar w:fldCharType="separate"/>
      </w:r>
      <w:r w:rsidR="009D133E">
        <w:t xml:space="preserve">Table </w:t>
      </w:r>
      <w:r w:rsidR="009D133E">
        <w:rPr>
          <w:noProof/>
        </w:rPr>
        <w:t>3</w:t>
      </w:r>
      <w:r w:rsidR="009D133E">
        <w:t>.</w:t>
      </w:r>
      <w:r w:rsidR="009D133E">
        <w:rPr>
          <w:noProof/>
        </w:rPr>
        <w:t>2</w:t>
      </w:r>
      <w:r>
        <w:fldChar w:fldCharType="end"/>
      </w:r>
      <w:r w:rsidR="00155EB9">
        <w:t xml:space="preserve"> </w:t>
      </w:r>
      <w:r w:rsidR="006E5DF3">
        <w:t xml:space="preserve">below outline the criteria </w:t>
      </w:r>
      <w:r w:rsidR="00155EB9">
        <w:t xml:space="preserve">selected to assess the options to remaking the Regulations and </w:t>
      </w:r>
      <w:r w:rsidR="005864E3">
        <w:t xml:space="preserve">for the fee structure respectively. </w:t>
      </w:r>
    </w:p>
    <w:p w14:paraId="409B35E9" w14:textId="683B3022" w:rsidR="00477B6A" w:rsidRDefault="00217CDF" w:rsidP="009054C4">
      <w:r>
        <w:t xml:space="preserve">The </w:t>
      </w:r>
      <w:r w:rsidR="00D41BE3">
        <w:t>criteria used to assess options for the fee str</w:t>
      </w:r>
      <w:r w:rsidR="00E64050">
        <w:t xml:space="preserve">ucture align with the relevant Pricing Principles identified above. </w:t>
      </w:r>
      <w:r w:rsidR="00362E9D">
        <w:t xml:space="preserve">The </w:t>
      </w:r>
      <w:r w:rsidR="00362E9D" w:rsidRPr="00866B03">
        <w:t>primary policy objective for fee-settings within the Regulations is to recover the costs of efficiently administering the Act and the proposed Regulations through cost-reflective and equitable fees.</w:t>
      </w:r>
      <w:r w:rsidR="00362E9D">
        <w:t xml:space="preserve"> Therefore, full cost recovery is an implicit criterion that applies across all options. </w:t>
      </w:r>
    </w:p>
    <w:p w14:paraId="1A17F669" w14:textId="77777777" w:rsidR="00477B6A" w:rsidRPr="009054C4" w:rsidRDefault="005864E3" w:rsidP="009054C4">
      <w:r>
        <w:t xml:space="preserve"> </w:t>
      </w:r>
    </w:p>
    <w:p w14:paraId="1A33F55F" w14:textId="42E14110" w:rsidR="00477B6A" w:rsidRDefault="00956992" w:rsidP="00956992">
      <w:pPr>
        <w:pStyle w:val="Caption"/>
      </w:pPr>
      <w:bookmarkStart w:id="76" w:name="_Ref172186053"/>
      <w:bookmarkStart w:id="77" w:name="_Ref172186043"/>
      <w:r>
        <w:lastRenderedPageBreak/>
        <w:t xml:space="preserve">Table </w:t>
      </w:r>
      <w:r w:rsidR="00414520">
        <w:fldChar w:fldCharType="begin"/>
      </w:r>
      <w:r w:rsidR="00414520">
        <w:instrText xml:space="preserve"> STYLEREF 1 \s </w:instrText>
      </w:r>
      <w:r w:rsidR="00414520">
        <w:fldChar w:fldCharType="separate"/>
      </w:r>
      <w:r w:rsidR="009D133E">
        <w:rPr>
          <w:noProof/>
        </w:rPr>
        <w:t>3</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1</w:t>
      </w:r>
      <w:r w:rsidR="00414520">
        <w:fldChar w:fldCharType="end"/>
      </w:r>
      <w:bookmarkEnd w:id="76"/>
      <w:r>
        <w:t xml:space="preserve">: </w:t>
      </w:r>
      <w:r w:rsidR="00B71C7B">
        <w:t xml:space="preserve">MCA criteria for remaking the </w:t>
      </w:r>
      <w:bookmarkEnd w:id="77"/>
      <w:r w:rsidR="008E7FD4">
        <w:t>licensing requirements</w:t>
      </w:r>
      <w:r w:rsidR="00B71C7B">
        <w:t xml:space="preserve"> </w:t>
      </w:r>
    </w:p>
    <w:tbl>
      <w:tblPr>
        <w:tblStyle w:val="Deloittetable"/>
        <w:tblW w:w="0" w:type="auto"/>
        <w:tblLook w:val="04A0" w:firstRow="1" w:lastRow="0" w:firstColumn="1" w:lastColumn="0" w:noHBand="0" w:noVBand="1"/>
      </w:tblPr>
      <w:tblGrid>
        <w:gridCol w:w="3195"/>
        <w:gridCol w:w="4602"/>
        <w:gridCol w:w="1229"/>
      </w:tblGrid>
      <w:tr w:rsidR="00B71C7B" w14:paraId="340C2537" w14:textId="77777777" w:rsidTr="00A40A83">
        <w:trPr>
          <w:cnfStyle w:val="100000000000" w:firstRow="1" w:lastRow="0" w:firstColumn="0" w:lastColumn="0" w:oddVBand="0" w:evenVBand="0" w:oddHBand="0" w:evenHBand="0" w:firstRowFirstColumn="0" w:firstRowLastColumn="0" w:lastRowFirstColumn="0" w:lastRowLastColumn="0"/>
          <w:tblHeader/>
        </w:trPr>
        <w:tc>
          <w:tcPr>
            <w:tcW w:w="3195" w:type="dxa"/>
          </w:tcPr>
          <w:p w14:paraId="2454CB39" w14:textId="77777777" w:rsidR="00B71C7B" w:rsidRPr="00C13D29" w:rsidRDefault="00B71C7B" w:rsidP="00477B6A">
            <w:pPr>
              <w:rPr>
                <w:b/>
                <w:bCs/>
              </w:rPr>
            </w:pPr>
            <w:r w:rsidRPr="00C13D29">
              <w:rPr>
                <w:b/>
                <w:bCs/>
              </w:rPr>
              <w:t>Criterion</w:t>
            </w:r>
          </w:p>
        </w:tc>
        <w:tc>
          <w:tcPr>
            <w:tcW w:w="4602" w:type="dxa"/>
          </w:tcPr>
          <w:p w14:paraId="00039E95" w14:textId="479BA965" w:rsidR="00B71C7B" w:rsidRPr="00C13D29" w:rsidRDefault="00B71C7B" w:rsidP="00477B6A">
            <w:pPr>
              <w:rPr>
                <w:b/>
                <w:bCs/>
              </w:rPr>
            </w:pPr>
            <w:r>
              <w:rPr>
                <w:b/>
                <w:bCs/>
              </w:rPr>
              <w:t xml:space="preserve">Description </w:t>
            </w:r>
          </w:p>
        </w:tc>
        <w:tc>
          <w:tcPr>
            <w:tcW w:w="1229" w:type="dxa"/>
          </w:tcPr>
          <w:p w14:paraId="64052292" w14:textId="5355073D" w:rsidR="00B71C7B" w:rsidRPr="00C13D29" w:rsidRDefault="00B71C7B" w:rsidP="00477B6A">
            <w:pPr>
              <w:rPr>
                <w:b/>
                <w:bCs/>
              </w:rPr>
            </w:pPr>
            <w:r w:rsidRPr="00C13D29">
              <w:rPr>
                <w:b/>
                <w:bCs/>
              </w:rPr>
              <w:t>Weighting</w:t>
            </w:r>
          </w:p>
        </w:tc>
      </w:tr>
      <w:tr w:rsidR="00B71C7B" w14:paraId="5B28B832" w14:textId="77777777" w:rsidTr="00A40A83">
        <w:trPr>
          <w:tblHeader/>
        </w:trPr>
        <w:tc>
          <w:tcPr>
            <w:tcW w:w="3195" w:type="dxa"/>
          </w:tcPr>
          <w:p w14:paraId="50FC7137" w14:textId="77777777" w:rsidR="00B71C7B" w:rsidRDefault="00B71C7B" w:rsidP="00477B6A">
            <w:pPr>
              <w:cnfStyle w:val="100000000000" w:firstRow="1" w:lastRow="0" w:firstColumn="0" w:lastColumn="0" w:oddVBand="0" w:evenVBand="0" w:oddHBand="0" w:evenHBand="0" w:firstRowFirstColumn="0" w:firstRowLastColumn="0" w:lastRowFirstColumn="0" w:lastRowLastColumn="0"/>
            </w:pPr>
            <w:r>
              <w:t>Competency and probity of the private security industry</w:t>
            </w:r>
          </w:p>
        </w:tc>
        <w:tc>
          <w:tcPr>
            <w:tcW w:w="4602" w:type="dxa"/>
          </w:tcPr>
          <w:p w14:paraId="265ACA26" w14:textId="0E96630E" w:rsidR="00B71C7B" w:rsidRDefault="001C21D3" w:rsidP="00477B6A">
            <w:pPr>
              <w:cnfStyle w:val="100000000000" w:firstRow="1" w:lastRow="0" w:firstColumn="0" w:lastColumn="0" w:oddVBand="0" w:evenVBand="0" w:oddHBand="0" w:evenHBand="0" w:firstRowFirstColumn="0" w:firstRowLastColumn="0" w:lastRowFirstColumn="0" w:lastRowLastColumn="0"/>
            </w:pPr>
            <w:r w:rsidRPr="001C21D3">
              <w:t>The extent to which the option contributes towards mitigating potential risks posed by the private security industry to community safety and enables confirmation that only appropriate persons and businesses are allowed to operate within the private security indust</w:t>
            </w:r>
            <w:r>
              <w:t>r</w:t>
            </w:r>
            <w:r w:rsidRPr="001C21D3">
              <w:t>y.</w:t>
            </w:r>
          </w:p>
        </w:tc>
        <w:tc>
          <w:tcPr>
            <w:tcW w:w="1229" w:type="dxa"/>
          </w:tcPr>
          <w:p w14:paraId="7F903AB2" w14:textId="3A2130D2" w:rsidR="00B71C7B" w:rsidRDefault="00B71C7B" w:rsidP="00477B6A">
            <w:pPr>
              <w:cnfStyle w:val="100000000000" w:firstRow="1" w:lastRow="0" w:firstColumn="0" w:lastColumn="0" w:oddVBand="0" w:evenVBand="0" w:oddHBand="0" w:evenHBand="0" w:firstRowFirstColumn="0" w:firstRowLastColumn="0" w:lastRowFirstColumn="0" w:lastRowLastColumn="0"/>
            </w:pPr>
            <w:r>
              <w:t>50%</w:t>
            </w:r>
          </w:p>
        </w:tc>
      </w:tr>
      <w:tr w:rsidR="00B71C7B" w14:paraId="631557AB" w14:textId="77777777" w:rsidTr="00A40A83">
        <w:trPr>
          <w:tblHeader/>
        </w:trPr>
        <w:tc>
          <w:tcPr>
            <w:tcW w:w="3195" w:type="dxa"/>
          </w:tcPr>
          <w:p w14:paraId="442F47FB" w14:textId="42B184A8" w:rsidR="00B71C7B" w:rsidRDefault="00C93C44" w:rsidP="00477B6A">
            <w:pPr>
              <w:cnfStyle w:val="100000000000" w:firstRow="1" w:lastRow="0" w:firstColumn="0" w:lastColumn="0" w:oddVBand="0" w:evenVBand="0" w:oddHBand="0" w:evenHBand="0" w:firstRowFirstColumn="0" w:firstRowLastColumn="0" w:lastRowFirstColumn="0" w:lastRowLastColumn="0"/>
            </w:pPr>
            <w:r>
              <w:t>Costs to industry</w:t>
            </w:r>
            <w:r w:rsidR="00B71C7B">
              <w:t xml:space="preserve"> </w:t>
            </w:r>
          </w:p>
        </w:tc>
        <w:tc>
          <w:tcPr>
            <w:tcW w:w="4602" w:type="dxa"/>
          </w:tcPr>
          <w:p w14:paraId="26621720" w14:textId="0ED5B5CF" w:rsidR="00B71C7B" w:rsidRDefault="000F293C">
            <w:pPr>
              <w:cnfStyle w:val="100000000000" w:firstRow="1" w:lastRow="0" w:firstColumn="0" w:lastColumn="0" w:oddVBand="0" w:evenVBand="0" w:oddHBand="0" w:evenHBand="0" w:firstRowFirstColumn="0" w:firstRowLastColumn="0" w:lastRowFirstColumn="0" w:lastRowLastColumn="0"/>
            </w:pPr>
            <w:r w:rsidRPr="000F293C">
              <w:t>The extent to which the option imposes costs and burdens on the individuals and businesses within the private security industry</w:t>
            </w:r>
          </w:p>
        </w:tc>
        <w:tc>
          <w:tcPr>
            <w:tcW w:w="1229" w:type="dxa"/>
          </w:tcPr>
          <w:p w14:paraId="64E93EA6" w14:textId="6BB553F0" w:rsidR="00B71C7B" w:rsidRDefault="00B71C7B">
            <w:pPr>
              <w:cnfStyle w:val="100000000000" w:firstRow="1" w:lastRow="0" w:firstColumn="0" w:lastColumn="0" w:oddVBand="0" w:evenVBand="0" w:oddHBand="0" w:evenHBand="0" w:firstRowFirstColumn="0" w:firstRowLastColumn="0" w:lastRowFirstColumn="0" w:lastRowLastColumn="0"/>
            </w:pPr>
            <w:r>
              <w:t>25%</w:t>
            </w:r>
          </w:p>
        </w:tc>
      </w:tr>
      <w:tr w:rsidR="00B71C7B" w14:paraId="05CDC3FF" w14:textId="77777777" w:rsidTr="00A40A83">
        <w:trPr>
          <w:tblHeader/>
        </w:trPr>
        <w:tc>
          <w:tcPr>
            <w:tcW w:w="3195" w:type="dxa"/>
          </w:tcPr>
          <w:p w14:paraId="44D13481" w14:textId="558D26E1" w:rsidR="00B71C7B" w:rsidRDefault="00C93C44">
            <w:pPr>
              <w:cnfStyle w:val="100000000000" w:firstRow="1" w:lastRow="0" w:firstColumn="0" w:lastColumn="0" w:oddVBand="0" w:evenVBand="0" w:oddHBand="0" w:evenHBand="0" w:firstRowFirstColumn="0" w:firstRowLastColumn="0" w:lastRowFirstColumn="0" w:lastRowLastColumn="0"/>
            </w:pPr>
            <w:r>
              <w:t>Costs to government</w:t>
            </w:r>
            <w:r w:rsidR="00B71C7B">
              <w:t xml:space="preserve"> </w:t>
            </w:r>
          </w:p>
        </w:tc>
        <w:tc>
          <w:tcPr>
            <w:tcW w:w="4602" w:type="dxa"/>
          </w:tcPr>
          <w:p w14:paraId="52D05FF3" w14:textId="198FB0F1" w:rsidR="00B71C7B" w:rsidRDefault="000F293C">
            <w:pPr>
              <w:cnfStyle w:val="100000000000" w:firstRow="1" w:lastRow="0" w:firstColumn="0" w:lastColumn="0" w:oddVBand="0" w:evenVBand="0" w:oddHBand="0" w:evenHBand="0" w:firstRowFirstColumn="0" w:firstRowLastColumn="0" w:lastRowFirstColumn="0" w:lastRowLastColumn="0"/>
            </w:pPr>
            <w:r w:rsidRPr="000F293C">
              <w:t>The extent to which the option involves administrative costs on government</w:t>
            </w:r>
          </w:p>
        </w:tc>
        <w:tc>
          <w:tcPr>
            <w:tcW w:w="1229" w:type="dxa"/>
          </w:tcPr>
          <w:p w14:paraId="28D81C98" w14:textId="16E463AB" w:rsidR="00B71C7B" w:rsidRDefault="00B71C7B">
            <w:pPr>
              <w:cnfStyle w:val="100000000000" w:firstRow="1" w:lastRow="0" w:firstColumn="0" w:lastColumn="0" w:oddVBand="0" w:evenVBand="0" w:oddHBand="0" w:evenHBand="0" w:firstRowFirstColumn="0" w:firstRowLastColumn="0" w:lastRowFirstColumn="0" w:lastRowLastColumn="0"/>
            </w:pPr>
            <w:r>
              <w:t>25%</w:t>
            </w:r>
          </w:p>
        </w:tc>
      </w:tr>
      <w:tr w:rsidR="00B71C7B" w14:paraId="63B10C5B" w14:textId="77777777" w:rsidTr="00A40A83">
        <w:trPr>
          <w:tblHeader/>
        </w:trPr>
        <w:tc>
          <w:tcPr>
            <w:tcW w:w="3195" w:type="dxa"/>
          </w:tcPr>
          <w:p w14:paraId="41E4B9C5" w14:textId="77777777" w:rsidR="00B71C7B" w:rsidRPr="00703C27" w:rsidRDefault="00B71C7B">
            <w:pPr>
              <w:cnfStyle w:val="100000000000" w:firstRow="1" w:lastRow="0" w:firstColumn="0" w:lastColumn="0" w:oddVBand="0" w:evenVBand="0" w:oddHBand="0" w:evenHBand="0" w:firstRowFirstColumn="0" w:firstRowLastColumn="0" w:lastRowFirstColumn="0" w:lastRowLastColumn="0"/>
              <w:rPr>
                <w:b/>
                <w:bCs/>
              </w:rPr>
            </w:pPr>
            <w:r w:rsidRPr="00703C27">
              <w:rPr>
                <w:b/>
                <w:bCs/>
              </w:rPr>
              <w:t>Total</w:t>
            </w:r>
          </w:p>
        </w:tc>
        <w:tc>
          <w:tcPr>
            <w:tcW w:w="4602" w:type="dxa"/>
          </w:tcPr>
          <w:p w14:paraId="631488C5" w14:textId="77777777" w:rsidR="00B71C7B" w:rsidRPr="00703C27" w:rsidRDefault="00B71C7B">
            <w:pPr>
              <w:cnfStyle w:val="100000000000" w:firstRow="1" w:lastRow="0" w:firstColumn="0" w:lastColumn="0" w:oddVBand="0" w:evenVBand="0" w:oddHBand="0" w:evenHBand="0" w:firstRowFirstColumn="0" w:firstRowLastColumn="0" w:lastRowFirstColumn="0" w:lastRowLastColumn="0"/>
              <w:rPr>
                <w:b/>
                <w:bCs/>
              </w:rPr>
            </w:pPr>
          </w:p>
        </w:tc>
        <w:tc>
          <w:tcPr>
            <w:tcW w:w="1229" w:type="dxa"/>
          </w:tcPr>
          <w:p w14:paraId="7EB793E1" w14:textId="02968262" w:rsidR="00B71C7B" w:rsidRPr="00703C27" w:rsidRDefault="00B71C7B">
            <w:pPr>
              <w:cnfStyle w:val="100000000000" w:firstRow="1" w:lastRow="0" w:firstColumn="0" w:lastColumn="0" w:oddVBand="0" w:evenVBand="0" w:oddHBand="0" w:evenHBand="0" w:firstRowFirstColumn="0" w:firstRowLastColumn="0" w:lastRowFirstColumn="0" w:lastRowLastColumn="0"/>
              <w:rPr>
                <w:b/>
                <w:bCs/>
              </w:rPr>
            </w:pPr>
            <w:r w:rsidRPr="00703C27">
              <w:rPr>
                <w:b/>
                <w:bCs/>
              </w:rPr>
              <w:t>100%</w:t>
            </w:r>
          </w:p>
        </w:tc>
      </w:tr>
    </w:tbl>
    <w:p w14:paraId="58F1014B" w14:textId="0429196E" w:rsidR="009F540C" w:rsidRDefault="009F540C" w:rsidP="009F540C">
      <w:pPr>
        <w:pStyle w:val="Caption"/>
      </w:pPr>
      <w:bookmarkStart w:id="78" w:name="_Ref172186079"/>
      <w:r>
        <w:t xml:space="preserve">Table </w:t>
      </w:r>
      <w:r w:rsidR="00414520">
        <w:fldChar w:fldCharType="begin"/>
      </w:r>
      <w:r w:rsidR="00414520">
        <w:instrText xml:space="preserve"> STYLEREF 1 \s </w:instrText>
      </w:r>
      <w:r w:rsidR="00414520">
        <w:fldChar w:fldCharType="separate"/>
      </w:r>
      <w:r w:rsidR="009D133E">
        <w:rPr>
          <w:noProof/>
        </w:rPr>
        <w:t>3</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2</w:t>
      </w:r>
      <w:r w:rsidR="00414520">
        <w:fldChar w:fldCharType="end"/>
      </w:r>
      <w:bookmarkEnd w:id="78"/>
      <w:r>
        <w:t xml:space="preserve">: MCA criteria for </w:t>
      </w:r>
      <w:r w:rsidR="006867BD">
        <w:t xml:space="preserve">fee structure </w:t>
      </w:r>
    </w:p>
    <w:tbl>
      <w:tblPr>
        <w:tblStyle w:val="Deloittetable"/>
        <w:tblW w:w="0" w:type="auto"/>
        <w:tblLook w:val="04A0" w:firstRow="1" w:lastRow="0" w:firstColumn="1" w:lastColumn="0" w:noHBand="0" w:noVBand="1"/>
      </w:tblPr>
      <w:tblGrid>
        <w:gridCol w:w="1985"/>
        <w:gridCol w:w="5812"/>
        <w:gridCol w:w="1229"/>
      </w:tblGrid>
      <w:tr w:rsidR="006867BD" w14:paraId="6CE01FA8" w14:textId="77777777" w:rsidTr="00590623">
        <w:trPr>
          <w:cnfStyle w:val="100000000000" w:firstRow="1" w:lastRow="0" w:firstColumn="0" w:lastColumn="0" w:oddVBand="0" w:evenVBand="0" w:oddHBand="0" w:evenHBand="0" w:firstRowFirstColumn="0" w:firstRowLastColumn="0" w:lastRowFirstColumn="0" w:lastRowLastColumn="0"/>
          <w:tblHeader/>
        </w:trPr>
        <w:tc>
          <w:tcPr>
            <w:tcW w:w="1985" w:type="dxa"/>
          </w:tcPr>
          <w:p w14:paraId="5450A190" w14:textId="77777777" w:rsidR="006867BD" w:rsidRPr="00CA34FD" w:rsidRDefault="006867BD" w:rsidP="009F540C">
            <w:pPr>
              <w:rPr>
                <w:b/>
                <w:bCs/>
                <w:sz w:val="18"/>
                <w:szCs w:val="20"/>
              </w:rPr>
            </w:pPr>
            <w:r w:rsidRPr="00CA34FD">
              <w:rPr>
                <w:b/>
                <w:bCs/>
                <w:sz w:val="18"/>
                <w:szCs w:val="20"/>
              </w:rPr>
              <w:t>Criterion</w:t>
            </w:r>
          </w:p>
        </w:tc>
        <w:tc>
          <w:tcPr>
            <w:tcW w:w="5812" w:type="dxa"/>
          </w:tcPr>
          <w:p w14:paraId="315B97B9" w14:textId="14721EE7" w:rsidR="006867BD" w:rsidRPr="00CA34FD" w:rsidRDefault="006867BD" w:rsidP="009F540C">
            <w:pPr>
              <w:rPr>
                <w:b/>
                <w:bCs/>
                <w:szCs w:val="20"/>
              </w:rPr>
            </w:pPr>
            <w:r>
              <w:rPr>
                <w:b/>
                <w:bCs/>
                <w:szCs w:val="20"/>
              </w:rPr>
              <w:t xml:space="preserve">Description </w:t>
            </w:r>
          </w:p>
        </w:tc>
        <w:tc>
          <w:tcPr>
            <w:tcW w:w="1229" w:type="dxa"/>
          </w:tcPr>
          <w:p w14:paraId="3452F079" w14:textId="448159B7" w:rsidR="006867BD" w:rsidRPr="00CA34FD" w:rsidRDefault="006867BD" w:rsidP="009F540C">
            <w:pPr>
              <w:rPr>
                <w:b/>
                <w:bCs/>
                <w:sz w:val="18"/>
                <w:szCs w:val="20"/>
              </w:rPr>
            </w:pPr>
            <w:r w:rsidRPr="00CA34FD">
              <w:rPr>
                <w:b/>
                <w:bCs/>
                <w:sz w:val="18"/>
                <w:szCs w:val="20"/>
              </w:rPr>
              <w:t>Weighting</w:t>
            </w:r>
          </w:p>
        </w:tc>
      </w:tr>
      <w:tr w:rsidR="006867BD" w14:paraId="2B9EB5D0" w14:textId="77777777" w:rsidTr="00590623">
        <w:trPr>
          <w:tblHeader/>
        </w:trPr>
        <w:tc>
          <w:tcPr>
            <w:tcW w:w="1985" w:type="dxa"/>
          </w:tcPr>
          <w:p w14:paraId="6D2B57BB" w14:textId="77777777" w:rsidR="006867BD" w:rsidRPr="00CA34FD" w:rsidRDefault="006867BD" w:rsidP="009F540C">
            <w:pPr>
              <w:cnfStyle w:val="100000000000" w:firstRow="1" w:lastRow="0" w:firstColumn="0" w:lastColumn="0" w:oddVBand="0" w:evenVBand="0" w:oddHBand="0" w:evenHBand="0" w:firstRowFirstColumn="0" w:firstRowLastColumn="0" w:lastRowFirstColumn="0" w:lastRowLastColumn="0"/>
              <w:rPr>
                <w:sz w:val="18"/>
                <w:szCs w:val="20"/>
              </w:rPr>
            </w:pPr>
            <w:r w:rsidRPr="00CA34FD">
              <w:rPr>
                <w:sz w:val="18"/>
                <w:szCs w:val="20"/>
              </w:rPr>
              <w:t>Effectiveness</w:t>
            </w:r>
          </w:p>
        </w:tc>
        <w:tc>
          <w:tcPr>
            <w:tcW w:w="5812" w:type="dxa"/>
          </w:tcPr>
          <w:p w14:paraId="2549C0FB" w14:textId="1A70ADEE" w:rsidR="002B7444" w:rsidRDefault="002B7444" w:rsidP="009F540C">
            <w:pPr>
              <w:cnfStyle w:val="100000000000" w:firstRow="1" w:lastRow="0" w:firstColumn="0" w:lastColumn="0" w:oddVBand="0" w:evenVBand="0" w:oddHBand="0" w:evenHBand="0" w:firstRowFirstColumn="0" w:firstRowLastColumn="0" w:lastRowFirstColumn="0" w:lastRowLastColumn="0"/>
              <w:rPr>
                <w:szCs w:val="20"/>
              </w:rPr>
            </w:pPr>
            <w:r w:rsidRPr="002B7444">
              <w:rPr>
                <w:szCs w:val="20"/>
              </w:rPr>
              <w:t xml:space="preserve">The extent to which the option supports the overarching objectives of the Regulations and avoids unintended negative consequences. </w:t>
            </w:r>
            <w:r w:rsidR="00083E48" w:rsidRPr="002B7444">
              <w:rPr>
                <w:szCs w:val="20"/>
              </w:rPr>
              <w:t>Th</w:t>
            </w:r>
            <w:r w:rsidR="00083E48">
              <w:rPr>
                <w:szCs w:val="20"/>
              </w:rPr>
              <w:t>is</w:t>
            </w:r>
            <w:r w:rsidRPr="002B7444">
              <w:rPr>
                <w:szCs w:val="20"/>
              </w:rPr>
              <w:t xml:space="preserve"> criterion considers the impacts each fee option would have on the broader regulation of the private security industry, as well as the possible impact that each option may have on industry compliance with the Regulations.</w:t>
            </w:r>
          </w:p>
          <w:p w14:paraId="4CB3B8EE" w14:textId="64266967" w:rsidR="006867BD" w:rsidRPr="002B7444" w:rsidRDefault="00A40A83" w:rsidP="009F540C">
            <w:pPr>
              <w:cnfStyle w:val="100000000000" w:firstRow="1" w:lastRow="0" w:firstColumn="0" w:lastColumn="0" w:oddVBand="0" w:evenVBand="0" w:oddHBand="0" w:evenHBand="0" w:firstRowFirstColumn="0" w:firstRowLastColumn="0" w:lastRowFirstColumn="0" w:lastRowLastColumn="0"/>
              <w:rPr>
                <w:b/>
                <w:bCs/>
                <w:szCs w:val="20"/>
              </w:rPr>
            </w:pPr>
            <w:r w:rsidRPr="002B7444">
              <w:rPr>
                <w:b/>
                <w:bCs/>
                <w:szCs w:val="20"/>
              </w:rPr>
              <w:t>This criterion is based on Pricing Principle</w:t>
            </w:r>
            <w:r w:rsidR="002B7444" w:rsidRPr="002B7444">
              <w:rPr>
                <w:b/>
                <w:bCs/>
                <w:szCs w:val="20"/>
              </w:rPr>
              <w:t>s 1 and 8</w:t>
            </w:r>
            <w:r w:rsidRPr="002B7444">
              <w:rPr>
                <w:b/>
                <w:bCs/>
                <w:szCs w:val="20"/>
              </w:rPr>
              <w:t xml:space="preserve">. </w:t>
            </w:r>
          </w:p>
        </w:tc>
        <w:tc>
          <w:tcPr>
            <w:tcW w:w="1229" w:type="dxa"/>
          </w:tcPr>
          <w:p w14:paraId="32D189C2" w14:textId="1C964A79" w:rsidR="006867BD" w:rsidRPr="00CA34FD" w:rsidRDefault="006867BD" w:rsidP="009F540C">
            <w:pPr>
              <w:cnfStyle w:val="100000000000" w:firstRow="1" w:lastRow="0" w:firstColumn="0" w:lastColumn="0" w:oddVBand="0" w:evenVBand="0" w:oddHBand="0" w:evenHBand="0" w:firstRowFirstColumn="0" w:firstRowLastColumn="0" w:lastRowFirstColumn="0" w:lastRowLastColumn="0"/>
              <w:rPr>
                <w:sz w:val="18"/>
                <w:szCs w:val="20"/>
              </w:rPr>
            </w:pPr>
            <w:r>
              <w:rPr>
                <w:sz w:val="18"/>
                <w:szCs w:val="20"/>
              </w:rPr>
              <w:t>40 per cent</w:t>
            </w:r>
          </w:p>
        </w:tc>
      </w:tr>
      <w:tr w:rsidR="00A40A83" w14:paraId="6273C659" w14:textId="77777777" w:rsidTr="00590623">
        <w:trPr>
          <w:tblHeader/>
        </w:trPr>
        <w:tc>
          <w:tcPr>
            <w:tcW w:w="1985" w:type="dxa"/>
          </w:tcPr>
          <w:p w14:paraId="02B1BA58" w14:textId="77777777" w:rsidR="00A40A83" w:rsidRPr="00CA34FD" w:rsidRDefault="00A40A83" w:rsidP="00A40A83">
            <w:pPr>
              <w:cnfStyle w:val="100000000000" w:firstRow="1" w:lastRow="0" w:firstColumn="0" w:lastColumn="0" w:oddVBand="0" w:evenVBand="0" w:oddHBand="0" w:evenHBand="0" w:firstRowFirstColumn="0" w:firstRowLastColumn="0" w:lastRowFirstColumn="0" w:lastRowLastColumn="0"/>
              <w:rPr>
                <w:sz w:val="18"/>
                <w:szCs w:val="20"/>
              </w:rPr>
            </w:pPr>
            <w:r w:rsidRPr="00CA34FD">
              <w:rPr>
                <w:sz w:val="18"/>
                <w:szCs w:val="20"/>
              </w:rPr>
              <w:t>Equity</w:t>
            </w:r>
          </w:p>
        </w:tc>
        <w:tc>
          <w:tcPr>
            <w:tcW w:w="5812" w:type="dxa"/>
          </w:tcPr>
          <w:p w14:paraId="1A1A691B" w14:textId="77777777" w:rsidR="00590623" w:rsidRPr="00590623" w:rsidRDefault="00590623" w:rsidP="00590623">
            <w:pPr>
              <w:cnfStyle w:val="100000000000" w:firstRow="1" w:lastRow="0" w:firstColumn="0" w:lastColumn="0" w:oddVBand="0" w:evenVBand="0" w:oddHBand="0" w:evenHBand="0" w:firstRowFirstColumn="0" w:firstRowLastColumn="0" w:lastRowFirstColumn="0" w:lastRowLastColumn="0"/>
              <w:rPr>
                <w:szCs w:val="20"/>
              </w:rPr>
            </w:pPr>
            <w:r w:rsidRPr="00590623">
              <w:rPr>
                <w:szCs w:val="20"/>
              </w:rPr>
              <w:t>The degree to which an option represents an equitable fee structure and fee values. This criterion implicitly aims to avoid cross-subsidisation as far as practicable by attributing the fees and charges directly to those who trigger the need for the service. This criterion also reflects the objective of setting fees at levels that do not limit accessibility or capacity to pay.</w:t>
            </w:r>
          </w:p>
          <w:p w14:paraId="1FCB8CB3" w14:textId="214028FD" w:rsidR="00A40A83" w:rsidRDefault="00590623" w:rsidP="00590623">
            <w:pPr>
              <w:cnfStyle w:val="100000000000" w:firstRow="1" w:lastRow="0" w:firstColumn="0" w:lastColumn="0" w:oddVBand="0" w:evenVBand="0" w:oddHBand="0" w:evenHBand="0" w:firstRowFirstColumn="0" w:firstRowLastColumn="0" w:lastRowFirstColumn="0" w:lastRowLastColumn="0"/>
              <w:rPr>
                <w:szCs w:val="20"/>
              </w:rPr>
            </w:pPr>
            <w:r w:rsidRPr="00590623">
              <w:rPr>
                <w:b/>
                <w:bCs/>
                <w:szCs w:val="20"/>
              </w:rPr>
              <w:t>This criterion is based on Pricing Principles 2 and 5</w:t>
            </w:r>
            <w:r>
              <w:rPr>
                <w:szCs w:val="20"/>
              </w:rPr>
              <w:t xml:space="preserve">. </w:t>
            </w:r>
          </w:p>
        </w:tc>
        <w:tc>
          <w:tcPr>
            <w:tcW w:w="1229" w:type="dxa"/>
          </w:tcPr>
          <w:p w14:paraId="774663E9" w14:textId="6371CCD2" w:rsidR="00A40A83" w:rsidRPr="00CA34FD" w:rsidRDefault="00A40A83" w:rsidP="00A40A83">
            <w:pPr>
              <w:cnfStyle w:val="100000000000" w:firstRow="1" w:lastRow="0" w:firstColumn="0" w:lastColumn="0" w:oddVBand="0" w:evenVBand="0" w:oddHBand="0" w:evenHBand="0" w:firstRowFirstColumn="0" w:firstRowLastColumn="0" w:lastRowFirstColumn="0" w:lastRowLastColumn="0"/>
              <w:rPr>
                <w:sz w:val="18"/>
                <w:szCs w:val="20"/>
              </w:rPr>
            </w:pPr>
            <w:r>
              <w:rPr>
                <w:sz w:val="18"/>
                <w:szCs w:val="20"/>
              </w:rPr>
              <w:t>40 per cent</w:t>
            </w:r>
          </w:p>
        </w:tc>
      </w:tr>
      <w:tr w:rsidR="00A40A83" w14:paraId="0F0D98C0" w14:textId="77777777" w:rsidTr="00590623">
        <w:trPr>
          <w:tblHeader/>
        </w:trPr>
        <w:tc>
          <w:tcPr>
            <w:tcW w:w="1985" w:type="dxa"/>
          </w:tcPr>
          <w:p w14:paraId="0E8D3A0C" w14:textId="77777777" w:rsidR="00A40A83" w:rsidRPr="00CA34FD" w:rsidRDefault="00A40A83" w:rsidP="00A40A83">
            <w:pPr>
              <w:cnfStyle w:val="100000000000" w:firstRow="1" w:lastRow="0" w:firstColumn="0" w:lastColumn="0" w:oddVBand="0" w:evenVBand="0" w:oddHBand="0" w:evenHBand="0" w:firstRowFirstColumn="0" w:firstRowLastColumn="0" w:lastRowFirstColumn="0" w:lastRowLastColumn="0"/>
              <w:rPr>
                <w:sz w:val="18"/>
                <w:szCs w:val="20"/>
              </w:rPr>
            </w:pPr>
            <w:r w:rsidRPr="00CA34FD">
              <w:rPr>
                <w:sz w:val="18"/>
                <w:szCs w:val="20"/>
              </w:rPr>
              <w:t>Simplicity</w:t>
            </w:r>
          </w:p>
        </w:tc>
        <w:tc>
          <w:tcPr>
            <w:tcW w:w="5812" w:type="dxa"/>
          </w:tcPr>
          <w:p w14:paraId="6B895781" w14:textId="77777777" w:rsidR="0089707B" w:rsidRPr="0089707B" w:rsidRDefault="0089707B" w:rsidP="0089707B">
            <w:pPr>
              <w:cnfStyle w:val="100000000000" w:firstRow="1" w:lastRow="0" w:firstColumn="0" w:lastColumn="0" w:oddVBand="0" w:evenVBand="0" w:oddHBand="0" w:evenHBand="0" w:firstRowFirstColumn="0" w:firstRowLastColumn="0" w:lastRowFirstColumn="0" w:lastRowLastColumn="0"/>
              <w:rPr>
                <w:szCs w:val="20"/>
              </w:rPr>
            </w:pPr>
            <w:r w:rsidRPr="0089707B">
              <w:rPr>
                <w:szCs w:val="20"/>
              </w:rPr>
              <w:t>The degree to which the option reduces complexity for the industry and results in a fee structure that is easy to understand. This criterion also considers the costs to Victoria Police for implementing the identified options and the on-going reduction in complexity of administration.</w:t>
            </w:r>
          </w:p>
          <w:p w14:paraId="6BAFBD30" w14:textId="5F2EDF0E" w:rsidR="00A40A83" w:rsidRPr="0089707B" w:rsidRDefault="0089707B" w:rsidP="0089707B">
            <w:pPr>
              <w:cnfStyle w:val="100000000000" w:firstRow="1" w:lastRow="0" w:firstColumn="0" w:lastColumn="0" w:oddVBand="0" w:evenVBand="0" w:oddHBand="0" w:evenHBand="0" w:firstRowFirstColumn="0" w:firstRowLastColumn="0" w:lastRowFirstColumn="0" w:lastRowLastColumn="0"/>
              <w:rPr>
                <w:b/>
                <w:bCs/>
                <w:szCs w:val="20"/>
              </w:rPr>
            </w:pPr>
            <w:r w:rsidRPr="0089707B">
              <w:rPr>
                <w:b/>
                <w:bCs/>
                <w:szCs w:val="20"/>
              </w:rPr>
              <w:t>This criterion is based on Pricing Principle 11</w:t>
            </w:r>
            <w:r>
              <w:rPr>
                <w:b/>
                <w:bCs/>
                <w:szCs w:val="20"/>
              </w:rPr>
              <w:t xml:space="preserve">. </w:t>
            </w:r>
          </w:p>
        </w:tc>
        <w:tc>
          <w:tcPr>
            <w:tcW w:w="1229" w:type="dxa"/>
          </w:tcPr>
          <w:p w14:paraId="5AF89F8C" w14:textId="7602FCF8" w:rsidR="00A40A83" w:rsidRPr="00CA34FD" w:rsidRDefault="00A40A83" w:rsidP="00A40A83">
            <w:pPr>
              <w:cnfStyle w:val="100000000000" w:firstRow="1" w:lastRow="0" w:firstColumn="0" w:lastColumn="0" w:oddVBand="0" w:evenVBand="0" w:oddHBand="0" w:evenHBand="0" w:firstRowFirstColumn="0" w:firstRowLastColumn="0" w:lastRowFirstColumn="0" w:lastRowLastColumn="0"/>
              <w:rPr>
                <w:sz w:val="18"/>
                <w:szCs w:val="20"/>
              </w:rPr>
            </w:pPr>
            <w:r>
              <w:rPr>
                <w:sz w:val="18"/>
                <w:szCs w:val="20"/>
              </w:rPr>
              <w:t>20 per cent</w:t>
            </w:r>
          </w:p>
        </w:tc>
      </w:tr>
      <w:tr w:rsidR="006867BD" w14:paraId="5AAA6CEF" w14:textId="77777777" w:rsidTr="00590623">
        <w:trPr>
          <w:tblHeader/>
        </w:trPr>
        <w:tc>
          <w:tcPr>
            <w:tcW w:w="1985" w:type="dxa"/>
          </w:tcPr>
          <w:p w14:paraId="17A9BDE4" w14:textId="77777777" w:rsidR="006867BD" w:rsidRPr="00CA34FD" w:rsidRDefault="006867BD">
            <w:pPr>
              <w:cnfStyle w:val="100000000000" w:firstRow="1" w:lastRow="0" w:firstColumn="0" w:lastColumn="0" w:oddVBand="0" w:evenVBand="0" w:oddHBand="0" w:evenHBand="0" w:firstRowFirstColumn="0" w:firstRowLastColumn="0" w:lastRowFirstColumn="0" w:lastRowLastColumn="0"/>
              <w:rPr>
                <w:b/>
                <w:bCs/>
                <w:sz w:val="18"/>
                <w:szCs w:val="20"/>
              </w:rPr>
            </w:pPr>
            <w:r w:rsidRPr="00CA34FD">
              <w:rPr>
                <w:b/>
                <w:bCs/>
                <w:sz w:val="18"/>
                <w:szCs w:val="20"/>
              </w:rPr>
              <w:t>Total</w:t>
            </w:r>
          </w:p>
        </w:tc>
        <w:tc>
          <w:tcPr>
            <w:tcW w:w="5812" w:type="dxa"/>
          </w:tcPr>
          <w:p w14:paraId="0EF7BD66" w14:textId="77777777" w:rsidR="006867BD" w:rsidRPr="00CA34FD" w:rsidRDefault="006867BD">
            <w:pPr>
              <w:cnfStyle w:val="100000000000" w:firstRow="1" w:lastRow="0" w:firstColumn="0" w:lastColumn="0" w:oddVBand="0" w:evenVBand="0" w:oddHBand="0" w:evenHBand="0" w:firstRowFirstColumn="0" w:firstRowLastColumn="0" w:lastRowFirstColumn="0" w:lastRowLastColumn="0"/>
              <w:rPr>
                <w:b/>
                <w:bCs/>
                <w:szCs w:val="20"/>
              </w:rPr>
            </w:pPr>
          </w:p>
        </w:tc>
        <w:tc>
          <w:tcPr>
            <w:tcW w:w="1229" w:type="dxa"/>
          </w:tcPr>
          <w:p w14:paraId="65E699E2" w14:textId="61AB981F" w:rsidR="006867BD" w:rsidRPr="00CA34FD" w:rsidRDefault="006867BD">
            <w:pPr>
              <w:cnfStyle w:val="100000000000" w:firstRow="1" w:lastRow="0" w:firstColumn="0" w:lastColumn="0" w:oddVBand="0" w:evenVBand="0" w:oddHBand="0" w:evenHBand="0" w:firstRowFirstColumn="0" w:firstRowLastColumn="0" w:lastRowFirstColumn="0" w:lastRowLastColumn="0"/>
              <w:rPr>
                <w:b/>
                <w:bCs/>
                <w:sz w:val="18"/>
                <w:szCs w:val="20"/>
              </w:rPr>
            </w:pPr>
            <w:r w:rsidRPr="00CA34FD">
              <w:rPr>
                <w:b/>
                <w:bCs/>
                <w:sz w:val="18"/>
                <w:szCs w:val="20"/>
              </w:rPr>
              <w:t>100%</w:t>
            </w:r>
          </w:p>
        </w:tc>
      </w:tr>
    </w:tbl>
    <w:p w14:paraId="10893084" w14:textId="77777777" w:rsidR="002268AD" w:rsidRDefault="002268AD" w:rsidP="002268AD">
      <w:bookmarkStart w:id="79" w:name="_Ref173493453"/>
      <w:bookmarkStart w:id="80" w:name="_Ref173493459"/>
      <w:bookmarkStart w:id="81" w:name="_Ref173495081"/>
    </w:p>
    <w:p w14:paraId="345F0958" w14:textId="0DC66E7C" w:rsidR="006867BD" w:rsidRPr="002268AD" w:rsidRDefault="00F60A24" w:rsidP="00F60A24">
      <w:pPr>
        <w:pStyle w:val="Heading3"/>
      </w:pPr>
      <w:r w:rsidRPr="002268AD">
        <w:t>Weighting</w:t>
      </w:r>
      <w:bookmarkEnd w:id="79"/>
      <w:bookmarkEnd w:id="80"/>
      <w:bookmarkEnd w:id="81"/>
      <w:r w:rsidRPr="002268AD">
        <w:t xml:space="preserve"> </w:t>
      </w:r>
    </w:p>
    <w:p w14:paraId="092DA5B3" w14:textId="6A27112D" w:rsidR="002268AD" w:rsidRPr="002268AD" w:rsidRDefault="00535B35" w:rsidP="00535B35">
      <w:r w:rsidRPr="002268AD">
        <w:t>The weighting of cost and benefit criteria have been neutrally weighted at a total of 50 per cent each. This is consistent with best practice as set out in Better Regulation Victoria’s Guidance Note on MCA.</w:t>
      </w:r>
      <w:r w:rsidRPr="002268AD">
        <w:rPr>
          <w:rStyle w:val="FootnoteReference"/>
        </w:rPr>
        <w:footnoteReference w:id="17"/>
      </w:r>
      <w:r w:rsidR="002268AD" w:rsidRPr="002268AD">
        <w:t xml:space="preserve"> </w:t>
      </w:r>
      <w:r w:rsidRPr="002268AD">
        <w:t xml:space="preserve">The defined criteria in </w:t>
      </w:r>
      <w:r w:rsidR="00115587" w:rsidRPr="002268AD">
        <w:fldChar w:fldCharType="begin"/>
      </w:r>
      <w:r w:rsidR="00115587" w:rsidRPr="002268AD">
        <w:instrText xml:space="preserve"> REF _Ref172186053 \h </w:instrText>
      </w:r>
      <w:r w:rsidR="005A3D99" w:rsidRPr="002268AD">
        <w:instrText xml:space="preserve"> \* MERGEFORMAT </w:instrText>
      </w:r>
      <w:r w:rsidR="00115587" w:rsidRPr="002268AD">
        <w:fldChar w:fldCharType="separate"/>
      </w:r>
      <w:r w:rsidR="009D133E">
        <w:t xml:space="preserve">Table </w:t>
      </w:r>
      <w:r w:rsidR="009D133E">
        <w:rPr>
          <w:noProof/>
        </w:rPr>
        <w:t>3.1</w:t>
      </w:r>
      <w:r w:rsidR="00115587" w:rsidRPr="002268AD">
        <w:fldChar w:fldCharType="end"/>
      </w:r>
      <w:r w:rsidR="00115587" w:rsidRPr="002268AD">
        <w:t xml:space="preserve"> and </w:t>
      </w:r>
      <w:r w:rsidR="00115587" w:rsidRPr="002268AD">
        <w:fldChar w:fldCharType="begin"/>
      </w:r>
      <w:r w:rsidR="00115587" w:rsidRPr="002268AD">
        <w:instrText xml:space="preserve"> REF _Ref172186079 \h </w:instrText>
      </w:r>
      <w:r w:rsidR="005A3D99" w:rsidRPr="002268AD">
        <w:instrText xml:space="preserve"> \* MERGEFORMAT </w:instrText>
      </w:r>
      <w:r w:rsidR="00115587" w:rsidRPr="002268AD">
        <w:fldChar w:fldCharType="separate"/>
      </w:r>
      <w:r w:rsidR="009D133E">
        <w:t xml:space="preserve">Table </w:t>
      </w:r>
      <w:r w:rsidR="009D133E">
        <w:rPr>
          <w:noProof/>
        </w:rPr>
        <w:t>3.2</w:t>
      </w:r>
      <w:r w:rsidR="00115587" w:rsidRPr="002268AD">
        <w:fldChar w:fldCharType="end"/>
      </w:r>
      <w:r w:rsidR="00115587" w:rsidRPr="002268AD">
        <w:fldChar w:fldCharType="begin"/>
      </w:r>
      <w:r w:rsidR="00115587" w:rsidRPr="002268AD">
        <w:instrText xml:space="preserve"> REF _Ref172186043 \h </w:instrText>
      </w:r>
      <w:r w:rsidR="005A3D99" w:rsidRPr="002268AD">
        <w:instrText xml:space="preserve"> \* MERGEFORMAT </w:instrText>
      </w:r>
      <w:r w:rsidR="00115587" w:rsidRPr="002268AD">
        <w:fldChar w:fldCharType="separate"/>
      </w:r>
      <w:r w:rsidR="009D133E">
        <w:t xml:space="preserve">Table </w:t>
      </w:r>
      <w:r w:rsidR="009D133E">
        <w:rPr>
          <w:noProof/>
        </w:rPr>
        <w:t>3</w:t>
      </w:r>
      <w:r w:rsidR="009D133E">
        <w:t>.</w:t>
      </w:r>
      <w:r w:rsidR="009D133E">
        <w:rPr>
          <w:noProof/>
        </w:rPr>
        <w:t>1</w:t>
      </w:r>
      <w:r w:rsidR="009D133E">
        <w:t xml:space="preserve">: </w:t>
      </w:r>
      <w:r w:rsidR="009D133E">
        <w:lastRenderedPageBreak/>
        <w:t xml:space="preserve">MCA criteria for remaking the </w:t>
      </w:r>
      <w:r w:rsidR="00115587" w:rsidRPr="002268AD">
        <w:fldChar w:fldCharType="end"/>
      </w:r>
      <w:r w:rsidRPr="002268AD">
        <w:t xml:space="preserve">are weighted according to their relative importance to achieving the objectives of </w:t>
      </w:r>
      <w:r w:rsidR="00115587" w:rsidRPr="002268AD">
        <w:t>remaking the Private Security Regulations.</w:t>
      </w:r>
    </w:p>
    <w:p w14:paraId="695AEEE8" w14:textId="0F10DE2A" w:rsidR="00535B35" w:rsidRDefault="009F2D2A" w:rsidP="00535B35">
      <w:r w:rsidRPr="002268AD">
        <w:t xml:space="preserve">For remaking the </w:t>
      </w:r>
      <w:r w:rsidR="00124309">
        <w:t>licensing requirements</w:t>
      </w:r>
      <w:r w:rsidRPr="002268AD">
        <w:t xml:space="preserve">, </w:t>
      </w:r>
      <w:r w:rsidR="00A11AC5">
        <w:t>the two cost</w:t>
      </w:r>
      <w:r w:rsidR="00A11AC5" w:rsidRPr="002268AD">
        <w:t xml:space="preserve"> criteria are weighted equally, ensuring a balanced approach to analysing the impacts of the options on both stakeholder groups</w:t>
      </w:r>
      <w:r w:rsidR="006446A4" w:rsidRPr="002268AD">
        <w:t xml:space="preserve">. </w:t>
      </w:r>
      <w:r w:rsidR="00A11AC5" w:rsidRPr="007B3801">
        <w:t>Greater weight is placed on the effectiveness and equity criteria for setting the fee structure</w:t>
      </w:r>
      <w:r w:rsidR="00F148E2" w:rsidRPr="007B3801">
        <w:t xml:space="preserve"> compared to the simplicity criterion</w:t>
      </w:r>
      <w:r w:rsidR="00A11AC5" w:rsidRPr="007B3801">
        <w:t xml:space="preserve"> because </w:t>
      </w:r>
      <w:r w:rsidR="00F148E2">
        <w:t>the administrative burden of identifying the</w:t>
      </w:r>
      <w:r w:rsidR="00F148E2" w:rsidRPr="00F148E2">
        <w:t xml:space="preserve"> specific fee or licence type is </w:t>
      </w:r>
      <w:r w:rsidR="00743C29">
        <w:t>relatively low,</w:t>
      </w:r>
      <w:r w:rsidR="00F148E2" w:rsidRPr="00F148E2">
        <w:t xml:space="preserve"> even if there are a wide range of fee types, so further simplification is not a</w:t>
      </w:r>
      <w:r w:rsidR="0036598D">
        <w:t xml:space="preserve"> </w:t>
      </w:r>
      <w:r w:rsidR="00F148E2" w:rsidRPr="00F148E2">
        <w:t>priority for government</w:t>
      </w:r>
      <w:r w:rsidR="00743C29" w:rsidRPr="007B3801">
        <w:t>.</w:t>
      </w:r>
    </w:p>
    <w:p w14:paraId="6C18232C" w14:textId="1881A3B6" w:rsidR="005A3D99" w:rsidRDefault="009F222F" w:rsidP="009F222F">
      <w:pPr>
        <w:pStyle w:val="Heading3"/>
      </w:pPr>
      <w:r>
        <w:t xml:space="preserve">Scale </w:t>
      </w:r>
    </w:p>
    <w:p w14:paraId="1BE6EF46" w14:textId="47B549BF" w:rsidR="00F677CB" w:rsidRPr="006736DA" w:rsidRDefault="008F666F" w:rsidP="00F677CB">
      <w:pPr>
        <w:rPr>
          <w:lang w:eastAsia="ja-JP"/>
        </w:rPr>
      </w:pPr>
      <w:r>
        <w:rPr>
          <w:lang w:eastAsia="ja-JP"/>
        </w:rPr>
        <w:t xml:space="preserve">Under the MCA, each option is scored against the criterion on a scale from -10 to +10, based on how each option measures against </w:t>
      </w:r>
      <w:r w:rsidR="00407ABD">
        <w:rPr>
          <w:lang w:eastAsia="ja-JP"/>
        </w:rPr>
        <w:t xml:space="preserve">that criterion in comparison to </w:t>
      </w:r>
      <w:r w:rsidR="00425E1C">
        <w:rPr>
          <w:lang w:eastAsia="ja-JP"/>
        </w:rPr>
        <w:t>a</w:t>
      </w:r>
      <w:r w:rsidR="00B944C7">
        <w:rPr>
          <w:lang w:eastAsia="ja-JP"/>
        </w:rPr>
        <w:t xml:space="preserve"> Reference Case</w:t>
      </w:r>
      <w:r w:rsidR="00407ABD">
        <w:rPr>
          <w:lang w:eastAsia="ja-JP"/>
        </w:rPr>
        <w:t xml:space="preserve"> (see </w:t>
      </w:r>
      <w:r w:rsidR="009F6DE7">
        <w:rPr>
          <w:lang w:eastAsia="ja-JP"/>
        </w:rPr>
        <w:fldChar w:fldCharType="begin"/>
      </w:r>
      <w:r w:rsidR="009F6DE7">
        <w:rPr>
          <w:lang w:eastAsia="ja-JP"/>
        </w:rPr>
        <w:instrText xml:space="preserve"> REF _Ref174457026 \h </w:instrText>
      </w:r>
      <w:r w:rsidR="009F6DE7">
        <w:rPr>
          <w:lang w:eastAsia="ja-JP"/>
        </w:rPr>
      </w:r>
      <w:r w:rsidR="009F6DE7">
        <w:rPr>
          <w:lang w:eastAsia="ja-JP"/>
        </w:rPr>
        <w:fldChar w:fldCharType="separate"/>
      </w:r>
      <w:r w:rsidR="009D133E">
        <w:t xml:space="preserve">Table </w:t>
      </w:r>
      <w:r w:rsidR="009D133E">
        <w:rPr>
          <w:noProof/>
        </w:rPr>
        <w:t>3</w:t>
      </w:r>
      <w:r w:rsidR="009D133E">
        <w:t>.</w:t>
      </w:r>
      <w:r w:rsidR="009D133E">
        <w:rPr>
          <w:noProof/>
        </w:rPr>
        <w:t>3</w:t>
      </w:r>
      <w:r w:rsidR="009F6DE7">
        <w:rPr>
          <w:lang w:eastAsia="ja-JP"/>
        </w:rPr>
        <w:fldChar w:fldCharType="end"/>
      </w:r>
      <w:r w:rsidR="00407ABD">
        <w:rPr>
          <w:lang w:eastAsia="ja-JP"/>
        </w:rPr>
        <w:t>). The option that receives the highest weighted score on all the cri</w:t>
      </w:r>
      <w:r w:rsidR="00A46B81">
        <w:rPr>
          <w:lang w:eastAsia="ja-JP"/>
        </w:rPr>
        <w:t xml:space="preserve">teria is then selected as the preferred option. The options are scored in comparison to </w:t>
      </w:r>
      <w:r w:rsidR="00425E1C">
        <w:rPr>
          <w:lang w:eastAsia="ja-JP"/>
        </w:rPr>
        <w:t>a</w:t>
      </w:r>
      <w:r w:rsidR="00B944C7">
        <w:rPr>
          <w:lang w:eastAsia="ja-JP"/>
        </w:rPr>
        <w:t xml:space="preserve"> Reference Case</w:t>
      </w:r>
      <w:r w:rsidR="00A46B81">
        <w:rPr>
          <w:lang w:eastAsia="ja-JP"/>
        </w:rPr>
        <w:t xml:space="preserve">, which receives a score of zero for all criteria. </w:t>
      </w:r>
    </w:p>
    <w:p w14:paraId="213C2DE1" w14:textId="577D07C3" w:rsidR="00A46B81" w:rsidRPr="00A46B81" w:rsidRDefault="00A46B81" w:rsidP="00A46B81">
      <w:pPr>
        <w:pStyle w:val="Caption"/>
      </w:pPr>
      <w:bookmarkStart w:id="82" w:name="_Ref174457026"/>
      <w:r>
        <w:t xml:space="preserve">Table </w:t>
      </w:r>
      <w:r w:rsidR="00414520">
        <w:fldChar w:fldCharType="begin"/>
      </w:r>
      <w:r w:rsidR="00414520">
        <w:instrText xml:space="preserve"> STYLEREF 1 \s </w:instrText>
      </w:r>
      <w:r w:rsidR="00414520">
        <w:fldChar w:fldCharType="separate"/>
      </w:r>
      <w:r w:rsidR="009D133E">
        <w:rPr>
          <w:noProof/>
        </w:rPr>
        <w:t>3</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3</w:t>
      </w:r>
      <w:r w:rsidR="00414520">
        <w:fldChar w:fldCharType="end"/>
      </w:r>
      <w:bookmarkEnd w:id="82"/>
      <w:r>
        <w:t xml:space="preserve">: options assessment criteria scoring </w:t>
      </w:r>
    </w:p>
    <w:tbl>
      <w:tblPr>
        <w:tblStyle w:val="Deloittetable"/>
        <w:tblW w:w="0" w:type="auto"/>
        <w:tblLook w:val="04A0" w:firstRow="1" w:lastRow="0" w:firstColumn="1" w:lastColumn="0" w:noHBand="0" w:noVBand="1"/>
      </w:tblPr>
      <w:tblGrid>
        <w:gridCol w:w="820"/>
        <w:gridCol w:w="821"/>
        <w:gridCol w:w="820"/>
        <w:gridCol w:w="821"/>
        <w:gridCol w:w="820"/>
        <w:gridCol w:w="821"/>
        <w:gridCol w:w="820"/>
        <w:gridCol w:w="821"/>
        <w:gridCol w:w="820"/>
        <w:gridCol w:w="821"/>
        <w:gridCol w:w="821"/>
      </w:tblGrid>
      <w:tr w:rsidR="00F677CB" w14:paraId="646997EC" w14:textId="77777777">
        <w:trPr>
          <w:cnfStyle w:val="100000000000" w:firstRow="1" w:lastRow="0" w:firstColumn="0" w:lastColumn="0" w:oddVBand="0" w:evenVBand="0" w:oddHBand="0" w:evenHBand="0" w:firstRowFirstColumn="0" w:firstRowLastColumn="0" w:lastRowFirstColumn="0" w:lastRowLastColumn="0"/>
        </w:trPr>
        <w:tc>
          <w:tcPr>
            <w:tcW w:w="4102" w:type="dxa"/>
            <w:gridSpan w:val="5"/>
            <w:shd w:val="clear" w:color="auto" w:fill="D9D9D9" w:themeFill="background1" w:themeFillShade="D9"/>
          </w:tcPr>
          <w:p w14:paraId="2054B558" w14:textId="77777777" w:rsidR="00F677CB" w:rsidRPr="00CA34FD" w:rsidRDefault="00F677CB">
            <w:pPr>
              <w:jc w:val="center"/>
              <w:rPr>
                <w:sz w:val="18"/>
                <w:szCs w:val="20"/>
              </w:rPr>
            </w:pPr>
            <w:r w:rsidRPr="00CA34FD">
              <w:rPr>
                <w:b/>
                <w:sz w:val="18"/>
                <w:szCs w:val="20"/>
              </w:rPr>
              <w:t>Negative</w:t>
            </w:r>
          </w:p>
        </w:tc>
        <w:tc>
          <w:tcPr>
            <w:tcW w:w="821" w:type="dxa"/>
          </w:tcPr>
          <w:p w14:paraId="6CBDC303" w14:textId="77777777" w:rsidR="00F677CB" w:rsidRPr="00CA34FD" w:rsidRDefault="00F677CB">
            <w:pPr>
              <w:jc w:val="center"/>
              <w:rPr>
                <w:sz w:val="18"/>
                <w:szCs w:val="20"/>
              </w:rPr>
            </w:pPr>
            <w:r w:rsidRPr="00CA34FD">
              <w:rPr>
                <w:b/>
                <w:bCs/>
                <w:sz w:val="18"/>
                <w:szCs w:val="20"/>
              </w:rPr>
              <w:t>Neutral</w:t>
            </w:r>
          </w:p>
        </w:tc>
        <w:tc>
          <w:tcPr>
            <w:tcW w:w="4103" w:type="dxa"/>
            <w:gridSpan w:val="5"/>
            <w:shd w:val="clear" w:color="auto" w:fill="D0EC9F" w:themeFill="accent1" w:themeFillTint="66"/>
          </w:tcPr>
          <w:p w14:paraId="46EF4652" w14:textId="77777777" w:rsidR="00F677CB" w:rsidRPr="00CA34FD" w:rsidRDefault="00F677CB">
            <w:pPr>
              <w:jc w:val="center"/>
              <w:rPr>
                <w:sz w:val="18"/>
                <w:szCs w:val="20"/>
              </w:rPr>
            </w:pPr>
            <w:r w:rsidRPr="00CA34FD">
              <w:rPr>
                <w:b/>
                <w:sz w:val="18"/>
                <w:szCs w:val="20"/>
              </w:rPr>
              <w:t>Positive</w:t>
            </w:r>
          </w:p>
        </w:tc>
      </w:tr>
      <w:tr w:rsidR="00F677CB" w14:paraId="1A3D7CB5" w14:textId="77777777">
        <w:tc>
          <w:tcPr>
            <w:tcW w:w="0" w:type="dxa"/>
            <w:shd w:val="clear" w:color="auto" w:fill="D9D9D9" w:themeFill="background1" w:themeFillShade="D9"/>
          </w:tcPr>
          <w:p w14:paraId="41F6144C" w14:textId="77777777" w:rsidR="00F677CB" w:rsidRPr="00CA34FD" w:rsidRDefault="00F677CB">
            <w:pPr>
              <w:jc w:val="center"/>
              <w:rPr>
                <w:sz w:val="18"/>
                <w:szCs w:val="20"/>
              </w:rPr>
            </w:pPr>
            <w:r w:rsidRPr="00CA34FD">
              <w:rPr>
                <w:sz w:val="18"/>
                <w:szCs w:val="20"/>
              </w:rPr>
              <w:t>-10</w:t>
            </w:r>
          </w:p>
        </w:tc>
        <w:tc>
          <w:tcPr>
            <w:tcW w:w="821" w:type="dxa"/>
            <w:shd w:val="clear" w:color="auto" w:fill="D9D9D9" w:themeFill="background1" w:themeFillShade="D9"/>
          </w:tcPr>
          <w:p w14:paraId="1875801A" w14:textId="77777777" w:rsidR="00F677CB" w:rsidRPr="00CA34FD" w:rsidRDefault="00F677CB">
            <w:pPr>
              <w:jc w:val="center"/>
              <w:rPr>
                <w:sz w:val="18"/>
                <w:szCs w:val="20"/>
              </w:rPr>
            </w:pPr>
            <w:r w:rsidRPr="00CA34FD">
              <w:rPr>
                <w:sz w:val="18"/>
                <w:szCs w:val="20"/>
              </w:rPr>
              <w:t>-7</w:t>
            </w:r>
          </w:p>
        </w:tc>
        <w:tc>
          <w:tcPr>
            <w:tcW w:w="0" w:type="dxa"/>
            <w:shd w:val="clear" w:color="auto" w:fill="D9D9D9" w:themeFill="background1" w:themeFillShade="D9"/>
          </w:tcPr>
          <w:p w14:paraId="6EC02CC6" w14:textId="77777777" w:rsidR="00F677CB" w:rsidRPr="00CA34FD" w:rsidRDefault="00F677CB">
            <w:pPr>
              <w:jc w:val="center"/>
              <w:rPr>
                <w:sz w:val="18"/>
                <w:szCs w:val="20"/>
              </w:rPr>
            </w:pPr>
            <w:r w:rsidRPr="00CA34FD">
              <w:rPr>
                <w:sz w:val="18"/>
                <w:szCs w:val="20"/>
              </w:rPr>
              <w:t>-5</w:t>
            </w:r>
          </w:p>
        </w:tc>
        <w:tc>
          <w:tcPr>
            <w:tcW w:w="821" w:type="dxa"/>
            <w:shd w:val="clear" w:color="auto" w:fill="D9D9D9" w:themeFill="background1" w:themeFillShade="D9"/>
          </w:tcPr>
          <w:p w14:paraId="5D82A522" w14:textId="77777777" w:rsidR="00F677CB" w:rsidRPr="00CA34FD" w:rsidRDefault="00F677CB">
            <w:pPr>
              <w:jc w:val="center"/>
              <w:rPr>
                <w:sz w:val="18"/>
                <w:szCs w:val="20"/>
              </w:rPr>
            </w:pPr>
            <w:r w:rsidRPr="00CA34FD">
              <w:rPr>
                <w:sz w:val="18"/>
                <w:szCs w:val="20"/>
              </w:rPr>
              <w:t>-3</w:t>
            </w:r>
          </w:p>
        </w:tc>
        <w:tc>
          <w:tcPr>
            <w:tcW w:w="0" w:type="dxa"/>
            <w:shd w:val="clear" w:color="auto" w:fill="D9D9D9" w:themeFill="background1" w:themeFillShade="D9"/>
          </w:tcPr>
          <w:p w14:paraId="7805F745" w14:textId="77777777" w:rsidR="00F677CB" w:rsidRPr="00CA34FD" w:rsidRDefault="00F677CB">
            <w:pPr>
              <w:jc w:val="center"/>
              <w:rPr>
                <w:sz w:val="18"/>
                <w:szCs w:val="20"/>
              </w:rPr>
            </w:pPr>
            <w:r w:rsidRPr="00CA34FD">
              <w:rPr>
                <w:sz w:val="18"/>
                <w:szCs w:val="20"/>
              </w:rPr>
              <w:t>-1</w:t>
            </w:r>
          </w:p>
        </w:tc>
        <w:tc>
          <w:tcPr>
            <w:tcW w:w="0" w:type="dxa"/>
          </w:tcPr>
          <w:p w14:paraId="17EBFDD1" w14:textId="77777777" w:rsidR="00F677CB" w:rsidRPr="00CA34FD" w:rsidRDefault="00F677CB">
            <w:pPr>
              <w:jc w:val="center"/>
              <w:rPr>
                <w:sz w:val="18"/>
                <w:szCs w:val="20"/>
              </w:rPr>
            </w:pPr>
            <w:r w:rsidRPr="00CA34FD">
              <w:rPr>
                <w:sz w:val="18"/>
                <w:szCs w:val="20"/>
              </w:rPr>
              <w:t>0</w:t>
            </w:r>
          </w:p>
        </w:tc>
        <w:tc>
          <w:tcPr>
            <w:tcW w:w="820" w:type="dxa"/>
            <w:shd w:val="clear" w:color="auto" w:fill="D0EC9F" w:themeFill="accent1" w:themeFillTint="66"/>
          </w:tcPr>
          <w:p w14:paraId="5374F631" w14:textId="77777777" w:rsidR="00F677CB" w:rsidRPr="00CA34FD" w:rsidRDefault="00F677CB">
            <w:pPr>
              <w:jc w:val="center"/>
              <w:rPr>
                <w:sz w:val="18"/>
                <w:szCs w:val="20"/>
              </w:rPr>
            </w:pPr>
            <w:r w:rsidRPr="00CA34FD">
              <w:rPr>
                <w:sz w:val="18"/>
                <w:szCs w:val="20"/>
              </w:rPr>
              <w:t>1</w:t>
            </w:r>
          </w:p>
        </w:tc>
        <w:tc>
          <w:tcPr>
            <w:tcW w:w="0" w:type="dxa"/>
            <w:shd w:val="clear" w:color="auto" w:fill="D0EC9F" w:themeFill="accent1" w:themeFillTint="66"/>
          </w:tcPr>
          <w:p w14:paraId="4915A9A4" w14:textId="77777777" w:rsidR="00F677CB" w:rsidRPr="00CA34FD" w:rsidRDefault="00F677CB">
            <w:pPr>
              <w:jc w:val="center"/>
              <w:rPr>
                <w:sz w:val="18"/>
                <w:szCs w:val="20"/>
              </w:rPr>
            </w:pPr>
            <w:r w:rsidRPr="00CA34FD">
              <w:rPr>
                <w:sz w:val="18"/>
                <w:szCs w:val="20"/>
              </w:rPr>
              <w:t>3</w:t>
            </w:r>
          </w:p>
        </w:tc>
        <w:tc>
          <w:tcPr>
            <w:tcW w:w="820" w:type="dxa"/>
            <w:shd w:val="clear" w:color="auto" w:fill="D0EC9F" w:themeFill="accent1" w:themeFillTint="66"/>
          </w:tcPr>
          <w:p w14:paraId="5F19CB5F" w14:textId="77777777" w:rsidR="00F677CB" w:rsidRPr="00CA34FD" w:rsidRDefault="00F677CB">
            <w:pPr>
              <w:jc w:val="center"/>
              <w:rPr>
                <w:sz w:val="18"/>
                <w:szCs w:val="20"/>
              </w:rPr>
            </w:pPr>
            <w:r w:rsidRPr="00CA34FD">
              <w:rPr>
                <w:sz w:val="18"/>
                <w:szCs w:val="20"/>
              </w:rPr>
              <w:t>5</w:t>
            </w:r>
          </w:p>
        </w:tc>
        <w:tc>
          <w:tcPr>
            <w:tcW w:w="0" w:type="dxa"/>
            <w:shd w:val="clear" w:color="auto" w:fill="D0EC9F" w:themeFill="accent1" w:themeFillTint="66"/>
          </w:tcPr>
          <w:p w14:paraId="7B9BF0B2" w14:textId="77777777" w:rsidR="00F677CB" w:rsidRPr="00CA34FD" w:rsidRDefault="00F677CB">
            <w:pPr>
              <w:jc w:val="center"/>
              <w:rPr>
                <w:sz w:val="18"/>
                <w:szCs w:val="20"/>
              </w:rPr>
            </w:pPr>
            <w:r w:rsidRPr="00CA34FD">
              <w:rPr>
                <w:sz w:val="18"/>
                <w:szCs w:val="20"/>
              </w:rPr>
              <w:t>7</w:t>
            </w:r>
          </w:p>
        </w:tc>
        <w:tc>
          <w:tcPr>
            <w:tcW w:w="0" w:type="dxa"/>
            <w:shd w:val="clear" w:color="auto" w:fill="D0EC9F" w:themeFill="accent1" w:themeFillTint="66"/>
          </w:tcPr>
          <w:p w14:paraId="286DE02A" w14:textId="77777777" w:rsidR="00F677CB" w:rsidRPr="00CA34FD" w:rsidRDefault="00F677CB">
            <w:pPr>
              <w:jc w:val="center"/>
              <w:rPr>
                <w:sz w:val="18"/>
                <w:szCs w:val="20"/>
              </w:rPr>
            </w:pPr>
            <w:r w:rsidRPr="00CA34FD">
              <w:rPr>
                <w:sz w:val="18"/>
                <w:szCs w:val="20"/>
              </w:rPr>
              <w:t>10</w:t>
            </w:r>
          </w:p>
        </w:tc>
      </w:tr>
      <w:tr w:rsidR="00F677CB" w14:paraId="58003D7B" w14:textId="77777777">
        <w:tc>
          <w:tcPr>
            <w:tcW w:w="820" w:type="dxa"/>
            <w:shd w:val="clear" w:color="auto" w:fill="D9D9D9" w:themeFill="background1" w:themeFillShade="D9"/>
          </w:tcPr>
          <w:p w14:paraId="43E5F03D" w14:textId="77777777" w:rsidR="00F677CB" w:rsidRPr="00CA34FD" w:rsidRDefault="00F677CB">
            <w:pPr>
              <w:jc w:val="center"/>
              <w:rPr>
                <w:sz w:val="18"/>
                <w:szCs w:val="20"/>
              </w:rPr>
            </w:pPr>
            <w:r w:rsidRPr="00CA34FD">
              <w:rPr>
                <w:sz w:val="18"/>
                <w:szCs w:val="20"/>
              </w:rPr>
              <w:t>Very high</w:t>
            </w:r>
          </w:p>
        </w:tc>
        <w:tc>
          <w:tcPr>
            <w:tcW w:w="821" w:type="dxa"/>
            <w:shd w:val="clear" w:color="auto" w:fill="D9D9D9" w:themeFill="background1" w:themeFillShade="D9"/>
          </w:tcPr>
          <w:p w14:paraId="673E2EBF" w14:textId="77777777" w:rsidR="00F677CB" w:rsidRPr="00CA34FD" w:rsidRDefault="00F677CB">
            <w:pPr>
              <w:jc w:val="center"/>
              <w:rPr>
                <w:sz w:val="18"/>
                <w:szCs w:val="20"/>
              </w:rPr>
            </w:pPr>
            <w:r w:rsidRPr="00CA34FD">
              <w:rPr>
                <w:sz w:val="18"/>
                <w:szCs w:val="20"/>
              </w:rPr>
              <w:t>High</w:t>
            </w:r>
          </w:p>
        </w:tc>
        <w:tc>
          <w:tcPr>
            <w:tcW w:w="820" w:type="dxa"/>
            <w:shd w:val="clear" w:color="auto" w:fill="D9D9D9" w:themeFill="background1" w:themeFillShade="D9"/>
          </w:tcPr>
          <w:p w14:paraId="57944661" w14:textId="77777777" w:rsidR="00F677CB" w:rsidRPr="00CA34FD" w:rsidRDefault="00F677CB">
            <w:pPr>
              <w:jc w:val="center"/>
              <w:rPr>
                <w:sz w:val="18"/>
                <w:szCs w:val="20"/>
              </w:rPr>
            </w:pPr>
            <w:r w:rsidRPr="00CA34FD">
              <w:rPr>
                <w:sz w:val="18"/>
                <w:szCs w:val="20"/>
              </w:rPr>
              <w:t>Medium</w:t>
            </w:r>
          </w:p>
        </w:tc>
        <w:tc>
          <w:tcPr>
            <w:tcW w:w="821" w:type="dxa"/>
            <w:shd w:val="clear" w:color="auto" w:fill="D9D9D9" w:themeFill="background1" w:themeFillShade="D9"/>
          </w:tcPr>
          <w:p w14:paraId="6E5CCDC7" w14:textId="77777777" w:rsidR="00F677CB" w:rsidRPr="00CA34FD" w:rsidRDefault="00F677CB">
            <w:pPr>
              <w:jc w:val="center"/>
              <w:rPr>
                <w:sz w:val="18"/>
                <w:szCs w:val="20"/>
              </w:rPr>
            </w:pPr>
            <w:r w:rsidRPr="00CA34FD">
              <w:rPr>
                <w:sz w:val="18"/>
                <w:szCs w:val="20"/>
              </w:rPr>
              <w:t>Low</w:t>
            </w:r>
          </w:p>
        </w:tc>
        <w:tc>
          <w:tcPr>
            <w:tcW w:w="820" w:type="dxa"/>
            <w:shd w:val="clear" w:color="auto" w:fill="D9D9D9" w:themeFill="background1" w:themeFillShade="D9"/>
          </w:tcPr>
          <w:p w14:paraId="794F43A0" w14:textId="77777777" w:rsidR="00F677CB" w:rsidRPr="00CA34FD" w:rsidRDefault="00F677CB">
            <w:pPr>
              <w:jc w:val="center"/>
              <w:rPr>
                <w:sz w:val="18"/>
                <w:szCs w:val="20"/>
              </w:rPr>
            </w:pPr>
            <w:r w:rsidRPr="00CA34FD">
              <w:rPr>
                <w:sz w:val="18"/>
                <w:szCs w:val="20"/>
              </w:rPr>
              <w:t>Very low</w:t>
            </w:r>
          </w:p>
        </w:tc>
        <w:tc>
          <w:tcPr>
            <w:tcW w:w="821" w:type="dxa"/>
          </w:tcPr>
          <w:p w14:paraId="70E24689" w14:textId="77777777" w:rsidR="00F677CB" w:rsidRPr="00CA34FD" w:rsidRDefault="00F677CB">
            <w:pPr>
              <w:jc w:val="center"/>
              <w:rPr>
                <w:sz w:val="18"/>
                <w:szCs w:val="20"/>
              </w:rPr>
            </w:pPr>
            <w:r w:rsidRPr="00CA34FD">
              <w:rPr>
                <w:sz w:val="18"/>
                <w:szCs w:val="20"/>
              </w:rPr>
              <w:t>Nil</w:t>
            </w:r>
          </w:p>
        </w:tc>
        <w:tc>
          <w:tcPr>
            <w:tcW w:w="820" w:type="dxa"/>
            <w:shd w:val="clear" w:color="auto" w:fill="D0EC9F" w:themeFill="accent1" w:themeFillTint="66"/>
          </w:tcPr>
          <w:p w14:paraId="33B8E7E3" w14:textId="77777777" w:rsidR="00F677CB" w:rsidRPr="00CA34FD" w:rsidRDefault="00F677CB">
            <w:pPr>
              <w:jc w:val="center"/>
              <w:rPr>
                <w:sz w:val="18"/>
                <w:szCs w:val="20"/>
              </w:rPr>
            </w:pPr>
            <w:r w:rsidRPr="00CA34FD">
              <w:rPr>
                <w:sz w:val="18"/>
                <w:szCs w:val="20"/>
              </w:rPr>
              <w:t>Very low</w:t>
            </w:r>
          </w:p>
        </w:tc>
        <w:tc>
          <w:tcPr>
            <w:tcW w:w="821" w:type="dxa"/>
            <w:shd w:val="clear" w:color="auto" w:fill="D0EC9F" w:themeFill="accent1" w:themeFillTint="66"/>
          </w:tcPr>
          <w:p w14:paraId="57A4BB84" w14:textId="77777777" w:rsidR="00F677CB" w:rsidRPr="00CA34FD" w:rsidRDefault="00F677CB">
            <w:pPr>
              <w:jc w:val="center"/>
              <w:rPr>
                <w:sz w:val="18"/>
                <w:szCs w:val="20"/>
              </w:rPr>
            </w:pPr>
            <w:r w:rsidRPr="00CA34FD">
              <w:rPr>
                <w:sz w:val="18"/>
                <w:szCs w:val="20"/>
              </w:rPr>
              <w:t>Low</w:t>
            </w:r>
          </w:p>
        </w:tc>
        <w:tc>
          <w:tcPr>
            <w:tcW w:w="820" w:type="dxa"/>
            <w:shd w:val="clear" w:color="auto" w:fill="D0EC9F" w:themeFill="accent1" w:themeFillTint="66"/>
          </w:tcPr>
          <w:p w14:paraId="65BA9ECD" w14:textId="77777777" w:rsidR="00F677CB" w:rsidRPr="00CA34FD" w:rsidRDefault="00F677CB">
            <w:pPr>
              <w:jc w:val="center"/>
              <w:rPr>
                <w:sz w:val="18"/>
                <w:szCs w:val="20"/>
              </w:rPr>
            </w:pPr>
            <w:r w:rsidRPr="00CA34FD">
              <w:rPr>
                <w:sz w:val="18"/>
                <w:szCs w:val="20"/>
              </w:rPr>
              <w:t>Medium</w:t>
            </w:r>
          </w:p>
        </w:tc>
        <w:tc>
          <w:tcPr>
            <w:tcW w:w="821" w:type="dxa"/>
            <w:shd w:val="clear" w:color="auto" w:fill="D0EC9F" w:themeFill="accent1" w:themeFillTint="66"/>
          </w:tcPr>
          <w:p w14:paraId="436B153C" w14:textId="77777777" w:rsidR="00F677CB" w:rsidRPr="00CA34FD" w:rsidRDefault="00F677CB">
            <w:pPr>
              <w:jc w:val="center"/>
              <w:rPr>
                <w:sz w:val="18"/>
                <w:szCs w:val="20"/>
              </w:rPr>
            </w:pPr>
            <w:r w:rsidRPr="00CA34FD">
              <w:rPr>
                <w:sz w:val="18"/>
                <w:szCs w:val="20"/>
              </w:rPr>
              <w:t>High</w:t>
            </w:r>
          </w:p>
        </w:tc>
        <w:tc>
          <w:tcPr>
            <w:tcW w:w="821" w:type="dxa"/>
            <w:shd w:val="clear" w:color="auto" w:fill="D0EC9F" w:themeFill="accent1" w:themeFillTint="66"/>
          </w:tcPr>
          <w:p w14:paraId="7E1A74D0" w14:textId="77777777" w:rsidR="00F677CB" w:rsidRPr="00CA34FD" w:rsidRDefault="00F677CB">
            <w:pPr>
              <w:jc w:val="center"/>
              <w:rPr>
                <w:sz w:val="18"/>
                <w:szCs w:val="20"/>
              </w:rPr>
            </w:pPr>
            <w:r w:rsidRPr="00CA34FD">
              <w:rPr>
                <w:sz w:val="18"/>
                <w:szCs w:val="20"/>
              </w:rPr>
              <w:t>Very high</w:t>
            </w:r>
          </w:p>
        </w:tc>
      </w:tr>
    </w:tbl>
    <w:p w14:paraId="1C438382" w14:textId="77777777" w:rsidR="00F677CB" w:rsidRDefault="00F677CB" w:rsidP="00F677CB"/>
    <w:p w14:paraId="6131E033" w14:textId="4EE16410" w:rsidR="00DE5AD9" w:rsidRDefault="00145857" w:rsidP="00165901">
      <w:pPr>
        <w:pStyle w:val="Heading1"/>
      </w:pPr>
      <w:bookmarkStart w:id="83" w:name="_Toc189832255"/>
      <w:bookmarkEnd w:id="72"/>
      <w:bookmarkEnd w:id="73"/>
      <w:r>
        <w:lastRenderedPageBreak/>
        <w:t xml:space="preserve">Options for remaking the </w:t>
      </w:r>
      <w:r w:rsidR="00B9435C">
        <w:t>licens</w:t>
      </w:r>
      <w:r w:rsidR="003A3296">
        <w:t>ing requirements</w:t>
      </w:r>
      <w:bookmarkEnd w:id="83"/>
    </w:p>
    <w:p w14:paraId="167818BE" w14:textId="76A3935D" w:rsidR="00BF69C7" w:rsidRPr="00BF69C7" w:rsidRDefault="00BF69C7" w:rsidP="005D246F">
      <w:pPr>
        <w:rPr>
          <w:sz w:val="28"/>
          <w:szCs w:val="28"/>
        </w:rPr>
      </w:pPr>
      <w:r w:rsidRPr="1880A894">
        <w:rPr>
          <w:sz w:val="28"/>
          <w:szCs w:val="28"/>
        </w:rPr>
        <w:t xml:space="preserve">This chapter outlines </w:t>
      </w:r>
      <w:r>
        <w:rPr>
          <w:sz w:val="28"/>
          <w:szCs w:val="28"/>
        </w:rPr>
        <w:t xml:space="preserve">the approach to developing </w:t>
      </w:r>
      <w:r w:rsidR="005E517C">
        <w:rPr>
          <w:sz w:val="28"/>
          <w:szCs w:val="28"/>
        </w:rPr>
        <w:t xml:space="preserve">the policy </w:t>
      </w:r>
      <w:r>
        <w:rPr>
          <w:sz w:val="28"/>
          <w:szCs w:val="28"/>
        </w:rPr>
        <w:t xml:space="preserve">options </w:t>
      </w:r>
      <w:r w:rsidR="00117D4A">
        <w:rPr>
          <w:sz w:val="28"/>
          <w:szCs w:val="28"/>
        </w:rPr>
        <w:t xml:space="preserve">for remaking the </w:t>
      </w:r>
      <w:r w:rsidR="000707CA">
        <w:rPr>
          <w:sz w:val="28"/>
          <w:szCs w:val="28"/>
        </w:rPr>
        <w:t xml:space="preserve">licensing requirements in the </w:t>
      </w:r>
      <w:r w:rsidR="00145857">
        <w:rPr>
          <w:sz w:val="28"/>
          <w:szCs w:val="28"/>
        </w:rPr>
        <w:t xml:space="preserve">Private Security Regulations </w:t>
      </w:r>
    </w:p>
    <w:p w14:paraId="61AB267C" w14:textId="2E363B52" w:rsidR="00A40A6F" w:rsidRPr="00A40A6F" w:rsidRDefault="00785C75" w:rsidP="00A40A6F">
      <w:pPr>
        <w:pStyle w:val="Heading2"/>
      </w:pPr>
      <w:bookmarkStart w:id="84" w:name="_Toc189832256"/>
      <w:bookmarkStart w:id="85" w:name="_Ref153996924"/>
      <w:bookmarkStart w:id="86" w:name="_Toc154038991"/>
      <w:bookmarkStart w:id="87" w:name="_Ref158014158"/>
      <w:r>
        <w:t>Policy options</w:t>
      </w:r>
      <w:bookmarkEnd w:id="84"/>
    </w:p>
    <w:p w14:paraId="23500FA8" w14:textId="77777777" w:rsidR="00A023B9" w:rsidRPr="00A023B9" w:rsidRDefault="00A40A6F" w:rsidP="00A023B9">
      <w:pPr>
        <w:pStyle w:val="Heading3"/>
      </w:pPr>
      <w:bookmarkStart w:id="88" w:name="_Ref173161152"/>
      <w:r>
        <w:t xml:space="preserve">Base Case: </w:t>
      </w:r>
      <w:r w:rsidR="00A023B9" w:rsidRPr="00A023B9">
        <w:t>the amended Act comes into effect in June 2025, while the current Regulations sunset in June 2026</w:t>
      </w:r>
    </w:p>
    <w:p w14:paraId="7450F882" w14:textId="7B24B47C" w:rsidR="006D4E50" w:rsidRPr="00A23985" w:rsidRDefault="00A23985" w:rsidP="00CA608C">
      <w:r>
        <w:t xml:space="preserve">If the </w:t>
      </w:r>
      <w:r w:rsidR="00101E6C">
        <w:t>R</w:t>
      </w:r>
      <w:r>
        <w:t xml:space="preserve">egulations are not re-made by the time the amended Act comes into effect, there will be </w:t>
      </w:r>
      <w:r w:rsidR="00CA608C">
        <w:t>a one-year overlap where the current Regulations and the amended Act are both in force. This overlap period would see the Regulations mis-align with the Act (e.g. by not containing provisions to reflect consolidation of the single-tier licencing system)</w:t>
      </w:r>
      <w:r w:rsidR="00101E6C">
        <w:t xml:space="preserve">. Under this </w:t>
      </w:r>
      <w:r w:rsidR="000F2F61">
        <w:t>B</w:t>
      </w:r>
      <w:r w:rsidR="00101E6C">
        <w:t xml:space="preserve">ase </w:t>
      </w:r>
      <w:r w:rsidR="000F2F61">
        <w:t>C</w:t>
      </w:r>
      <w:r w:rsidR="00101E6C">
        <w:t xml:space="preserve">ase scenario where the Regulations are not re-made, then </w:t>
      </w:r>
      <w:r w:rsidR="00CA608C">
        <w:t>from June 2026 onwards, the Regulations would sunset while the Act would remain in force.</w:t>
      </w:r>
    </w:p>
    <w:p w14:paraId="35720BC4" w14:textId="44105D5A" w:rsidR="001E722B" w:rsidRDefault="00700590" w:rsidP="001E722B">
      <w:r>
        <w:t xml:space="preserve">The </w:t>
      </w:r>
      <w:r w:rsidR="001E722B">
        <w:t xml:space="preserve">one-year overlap period </w:t>
      </w:r>
      <w:r>
        <w:t xml:space="preserve">is not a </w:t>
      </w:r>
      <w:r w:rsidR="001761BC">
        <w:t>viable</w:t>
      </w:r>
      <w:r>
        <w:t xml:space="preserve"> scenario </w:t>
      </w:r>
      <w:r w:rsidR="00C0751B">
        <w:t>and is not considered as part of the options analysis in this RIS</w:t>
      </w:r>
      <w:r w:rsidR="005E2DE2">
        <w:t>. To enable a more effective comparison to a scenario in which the Regulations sunset and are not re-made, a ‘</w:t>
      </w:r>
      <w:r w:rsidR="000F2F61">
        <w:t>R</w:t>
      </w:r>
      <w:r w:rsidR="005E2DE2">
        <w:t xml:space="preserve">eference </w:t>
      </w:r>
      <w:r w:rsidR="000F2F61">
        <w:t>C</w:t>
      </w:r>
      <w:r w:rsidR="005E2DE2">
        <w:t xml:space="preserve">ase’ has been established for the purpose of options analysis. The </w:t>
      </w:r>
      <w:r w:rsidR="000F2F61">
        <w:t>R</w:t>
      </w:r>
      <w:r w:rsidR="005E2DE2">
        <w:t xml:space="preserve">eference </w:t>
      </w:r>
      <w:r w:rsidR="000F2F61">
        <w:t>C</w:t>
      </w:r>
      <w:r w:rsidR="005E2DE2">
        <w:t xml:space="preserve">ase is outlined in section 4.1.2 below. </w:t>
      </w:r>
    </w:p>
    <w:p w14:paraId="1C176913" w14:textId="1780FB20" w:rsidR="001E722B" w:rsidRDefault="00701E37" w:rsidP="001E722B">
      <w:r>
        <w:t>I</w:t>
      </w:r>
      <w:r w:rsidR="001E722B">
        <w:t xml:space="preserve">n both the </w:t>
      </w:r>
      <w:r w:rsidR="000F2F61">
        <w:t>B</w:t>
      </w:r>
      <w:r w:rsidR="001E722B">
        <w:t xml:space="preserve">ase </w:t>
      </w:r>
      <w:r w:rsidR="000F2F61">
        <w:t>C</w:t>
      </w:r>
      <w:r>
        <w:t xml:space="preserve">ase </w:t>
      </w:r>
      <w:r w:rsidR="001E722B">
        <w:t xml:space="preserve">and </w:t>
      </w:r>
      <w:r w:rsidR="000F2F61">
        <w:t>R</w:t>
      </w:r>
      <w:r w:rsidR="001E722B">
        <w:t xml:space="preserve">eference </w:t>
      </w:r>
      <w:r w:rsidR="000F2F61">
        <w:t>C</w:t>
      </w:r>
      <w:r w:rsidR="001E722B">
        <w:t>ase, the amended Act will come into force</w:t>
      </w:r>
      <w:r>
        <w:t>, which will see the introduction of legislative changes</w:t>
      </w:r>
      <w:r w:rsidR="004E2C41">
        <w:t xml:space="preserve"> (e.g.</w:t>
      </w:r>
      <w:r w:rsidR="001E722B">
        <w:t xml:space="preserve"> registration and reference check requirements would no longer be in place past 2025</w:t>
      </w:r>
      <w:r w:rsidR="004E2C41">
        <w:t>)</w:t>
      </w:r>
      <w:r w:rsidR="001E722B">
        <w:t xml:space="preserve">. </w:t>
      </w:r>
    </w:p>
    <w:p w14:paraId="03FE0EC9" w14:textId="4B735693" w:rsidR="00A40A6F" w:rsidRDefault="00B92EE4" w:rsidP="006D6B3A">
      <w:pPr>
        <w:pStyle w:val="Heading3"/>
      </w:pPr>
      <w:r>
        <w:t xml:space="preserve">Reference Case: </w:t>
      </w:r>
      <w:r w:rsidR="00A40A6F">
        <w:t>Regulations sunset and expire</w:t>
      </w:r>
      <w:bookmarkEnd w:id="88"/>
    </w:p>
    <w:p w14:paraId="40755B07" w14:textId="2DD8F88C" w:rsidR="009A52AD" w:rsidRDefault="0027409C" w:rsidP="00A40A6F">
      <w:r>
        <w:t>T</w:t>
      </w:r>
      <w:r w:rsidR="00C81C86">
        <w:t xml:space="preserve">he </w:t>
      </w:r>
      <w:r w:rsidR="001761BC">
        <w:t>Reference</w:t>
      </w:r>
      <w:r w:rsidR="007B3801">
        <w:t xml:space="preserve"> Case</w:t>
      </w:r>
      <w:r w:rsidR="00C81C86">
        <w:t xml:space="preserve"> is</w:t>
      </w:r>
      <w:r w:rsidR="000873B5">
        <w:t xml:space="preserve"> </w:t>
      </w:r>
      <w:r w:rsidR="00C553E0">
        <w:t xml:space="preserve">a counter-factual scenario </w:t>
      </w:r>
      <w:r w:rsidR="0047712B">
        <w:t xml:space="preserve">used to provide a common point of comparison and incremental analysis for the proposed policy options. In the context of this analysis, the </w:t>
      </w:r>
      <w:r w:rsidR="001761BC">
        <w:t>R</w:t>
      </w:r>
      <w:r w:rsidR="006A5E0D">
        <w:t>eference</w:t>
      </w:r>
      <w:r w:rsidR="00E56224">
        <w:t xml:space="preserve"> </w:t>
      </w:r>
      <w:r w:rsidR="001761BC">
        <w:t>C</w:t>
      </w:r>
      <w:r w:rsidR="00E56224">
        <w:t xml:space="preserve">ase represents a scenario where the current Regulations </w:t>
      </w:r>
      <w:r w:rsidR="00A36304" w:rsidRPr="00435E38">
        <w:t xml:space="preserve">sunset </w:t>
      </w:r>
      <w:r w:rsidR="001761BC">
        <w:t xml:space="preserve">a year early </w:t>
      </w:r>
      <w:r w:rsidR="00435E38" w:rsidRPr="00435E38">
        <w:t>and expire</w:t>
      </w:r>
      <w:r w:rsidR="00774239" w:rsidRPr="00435E38">
        <w:t>.</w:t>
      </w:r>
      <w:r w:rsidR="0068174C">
        <w:t xml:space="preserve"> This is done to provide a reference point for analysis of impacts of the options and does not reflect consideration of the </w:t>
      </w:r>
      <w:r w:rsidR="001761BC">
        <w:t>R</w:t>
      </w:r>
      <w:r w:rsidR="004C318F">
        <w:t>eference</w:t>
      </w:r>
      <w:r w:rsidR="0068174C">
        <w:t xml:space="preserve"> Case as a viable option.</w:t>
      </w:r>
    </w:p>
    <w:p w14:paraId="1B559BEE" w14:textId="4A1E39C4" w:rsidR="00B47F1E" w:rsidRDefault="00DD7BC1" w:rsidP="00A40A6F">
      <w:r>
        <w:t xml:space="preserve">As noted </w:t>
      </w:r>
      <w:r w:rsidR="00D60F7B">
        <w:t>in</w:t>
      </w:r>
      <w:r>
        <w:t xml:space="preserve"> </w:t>
      </w:r>
      <w:r w:rsidR="00D60F7B">
        <w:t>s</w:t>
      </w:r>
      <w:r>
        <w:t xml:space="preserve">ection </w:t>
      </w:r>
      <w:r>
        <w:fldChar w:fldCharType="begin"/>
      </w:r>
      <w:r>
        <w:instrText xml:space="preserve"> REF _Ref170296492 \n \h </w:instrText>
      </w:r>
      <w:r>
        <w:fldChar w:fldCharType="separate"/>
      </w:r>
      <w:r w:rsidR="009D133E">
        <w:t>2.1</w:t>
      </w:r>
      <w:r>
        <w:fldChar w:fldCharType="end"/>
      </w:r>
      <w:r>
        <w:t xml:space="preserve">, there </w:t>
      </w:r>
      <w:r w:rsidR="007F1907">
        <w:t xml:space="preserve">is a need for regulation </w:t>
      </w:r>
      <w:r w:rsidR="00075269">
        <w:t xml:space="preserve">to ensure </w:t>
      </w:r>
      <w:r w:rsidR="007F1907">
        <w:t xml:space="preserve">the private security sector </w:t>
      </w:r>
      <w:r w:rsidR="00075269">
        <w:t>appropriately</w:t>
      </w:r>
      <w:r w:rsidR="00E51099">
        <w:t xml:space="preserve"> protect</w:t>
      </w:r>
      <w:r w:rsidR="00075269">
        <w:t>s</w:t>
      </w:r>
      <w:r w:rsidR="00E51099">
        <w:t xml:space="preserve"> people, property, assets</w:t>
      </w:r>
      <w:r w:rsidR="00D81D75">
        <w:t>,</w:t>
      </w:r>
      <w:r w:rsidR="00E51099">
        <w:t xml:space="preserve"> and information in Victoria.</w:t>
      </w:r>
      <w:r w:rsidR="00CD28D2">
        <w:t xml:space="preserve"> The Act sets the requirement for meeting probity and competency requirements to be granted a licence</w:t>
      </w:r>
      <w:r w:rsidR="00C82D8A">
        <w:t xml:space="preserve">. </w:t>
      </w:r>
      <w:r w:rsidR="00B901E3">
        <w:t xml:space="preserve">The Regulations </w:t>
      </w:r>
      <w:r w:rsidR="00C1768D">
        <w:t xml:space="preserve">prescribe </w:t>
      </w:r>
      <w:r w:rsidR="00E71501">
        <w:t>the particulars and documentation required</w:t>
      </w:r>
      <w:r w:rsidR="0037548F">
        <w:t xml:space="preserve"> in licence </w:t>
      </w:r>
      <w:r w:rsidR="007D1283">
        <w:t>and</w:t>
      </w:r>
      <w:r w:rsidR="0037548F">
        <w:t xml:space="preserve"> registration </w:t>
      </w:r>
      <w:r w:rsidR="00EB7624">
        <w:t>applications and</w:t>
      </w:r>
      <w:r w:rsidR="0037548F">
        <w:t xml:space="preserve"> prescribe fees to recover the costs associated with </w:t>
      </w:r>
      <w:r w:rsidR="00573559">
        <w:t>the corresponding regulatory</w:t>
      </w:r>
      <w:r w:rsidR="00CB6CDC">
        <w:t xml:space="preserve"> </w:t>
      </w:r>
      <w:r w:rsidR="00053534">
        <w:t>activities.</w:t>
      </w:r>
      <w:r w:rsidR="00CE5894">
        <w:t xml:space="preserve"> </w:t>
      </w:r>
    </w:p>
    <w:p w14:paraId="07395FA4" w14:textId="37CDDB99" w:rsidR="002C3541" w:rsidRDefault="005F55F9" w:rsidP="0095006D">
      <w:r>
        <w:t xml:space="preserve">The Regulations </w:t>
      </w:r>
      <w:r w:rsidR="00BE2220">
        <w:t>support compliance with</w:t>
      </w:r>
      <w:r>
        <w:t xml:space="preserve"> these requirements by prescribing the</w:t>
      </w:r>
      <w:r w:rsidR="00EA4A5D">
        <w:t xml:space="preserve"> required</w:t>
      </w:r>
      <w:r>
        <w:t xml:space="preserve"> documents </w:t>
      </w:r>
      <w:r w:rsidR="00EA4A5D">
        <w:t>and particulars. As such, most of the obligations of probity and competency arise from the Act</w:t>
      </w:r>
      <w:r w:rsidR="00871F89">
        <w:t xml:space="preserve"> itself</w:t>
      </w:r>
      <w:r w:rsidR="00EA4A5D">
        <w:t xml:space="preserve">. Table </w:t>
      </w:r>
      <w:r w:rsidR="00BA180F">
        <w:t>4.1</w:t>
      </w:r>
      <w:r w:rsidR="00EA4A5D">
        <w:t xml:space="preserve"> below outlines the </w:t>
      </w:r>
      <w:r w:rsidR="00C45415">
        <w:t xml:space="preserve">obligations </w:t>
      </w:r>
      <w:r w:rsidR="00C45415" w:rsidRPr="00C45415">
        <w:t>introduced by the Act and those by the Regulations.</w:t>
      </w:r>
      <w:r w:rsidR="00020220">
        <w:t xml:space="preserve"> </w:t>
      </w:r>
      <w:r w:rsidR="00E826DD">
        <w:t xml:space="preserve">Additionally, </w:t>
      </w:r>
      <w:r w:rsidR="00166933">
        <w:t>the Regulations also require that applicants include on their applications details of each security activity they are seeking to be authorised for on their licence.</w:t>
      </w:r>
    </w:p>
    <w:p w14:paraId="4CFC362E" w14:textId="12B8B9F2" w:rsidR="00DE5B28" w:rsidRDefault="0003158E" w:rsidP="0003158E">
      <w:pPr>
        <w:pStyle w:val="Caption"/>
      </w:pPr>
      <w:r>
        <w:t xml:space="preserve">Table </w:t>
      </w:r>
      <w:r w:rsidR="00414520">
        <w:fldChar w:fldCharType="begin"/>
      </w:r>
      <w:r w:rsidR="00414520">
        <w:instrText xml:space="preserve"> STYLEREF 1 \s </w:instrText>
      </w:r>
      <w:r w:rsidR="00414520">
        <w:fldChar w:fldCharType="separate"/>
      </w:r>
      <w:r w:rsidR="009D133E">
        <w:rPr>
          <w:noProof/>
        </w:rPr>
        <w:t>4</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1</w:t>
      </w:r>
      <w:r w:rsidR="00414520">
        <w:fldChar w:fldCharType="end"/>
      </w:r>
      <w:r>
        <w:t>: Requirements for a private security licence</w:t>
      </w:r>
    </w:p>
    <w:tbl>
      <w:tblPr>
        <w:tblStyle w:val="Deloittetable1"/>
        <w:tblW w:w="5000" w:type="pct"/>
        <w:tblLook w:val="04A0" w:firstRow="1" w:lastRow="0" w:firstColumn="1" w:lastColumn="0" w:noHBand="0" w:noVBand="1"/>
      </w:tblPr>
      <w:tblGrid>
        <w:gridCol w:w="3295"/>
        <w:gridCol w:w="1673"/>
        <w:gridCol w:w="1357"/>
        <w:gridCol w:w="2037"/>
        <w:gridCol w:w="1276"/>
      </w:tblGrid>
      <w:tr w:rsidR="00AB584E" w:rsidRPr="00F07D02" w14:paraId="70698000" w14:textId="4D50732F" w:rsidTr="002F4C73">
        <w:trPr>
          <w:cnfStyle w:val="100000000000" w:firstRow="1" w:lastRow="0" w:firstColumn="0" w:lastColumn="0" w:oddVBand="0" w:evenVBand="0" w:oddHBand="0" w:evenHBand="0" w:firstRowFirstColumn="0" w:firstRowLastColumn="0" w:lastRowFirstColumn="0" w:lastRowLastColumn="0"/>
          <w:tblHeader/>
        </w:trPr>
        <w:tc>
          <w:tcPr>
            <w:tcW w:w="1709" w:type="pct"/>
          </w:tcPr>
          <w:p w14:paraId="6DFF2CBB" w14:textId="21F0422D" w:rsidR="00AB584E" w:rsidRPr="0087731F" w:rsidRDefault="00AB584E" w:rsidP="00DE5B28">
            <w:pPr>
              <w:jc w:val="both"/>
              <w:rPr>
                <w:b/>
                <w:lang w:eastAsia="en-AU"/>
              </w:rPr>
            </w:pPr>
            <w:r w:rsidRPr="0087731F">
              <w:rPr>
                <w:b/>
                <w:lang w:eastAsia="en-AU"/>
              </w:rPr>
              <w:t>Requirement</w:t>
            </w:r>
            <w:r w:rsidR="0036598D">
              <w:rPr>
                <w:b/>
                <w:lang w:eastAsia="en-AU"/>
              </w:rPr>
              <w:t xml:space="preserve"> </w:t>
            </w:r>
          </w:p>
        </w:tc>
        <w:tc>
          <w:tcPr>
            <w:tcW w:w="1572" w:type="pct"/>
            <w:gridSpan w:val="2"/>
          </w:tcPr>
          <w:p w14:paraId="3056A317" w14:textId="7829EF53" w:rsidR="00AB584E" w:rsidRPr="0087731F" w:rsidRDefault="00AB584E" w:rsidP="006918F2">
            <w:pPr>
              <w:jc w:val="center"/>
              <w:rPr>
                <w:b/>
                <w:lang w:eastAsia="en-AU"/>
              </w:rPr>
            </w:pPr>
            <w:r w:rsidRPr="0087731F">
              <w:rPr>
                <w:b/>
                <w:lang w:eastAsia="en-AU"/>
              </w:rPr>
              <w:t xml:space="preserve">Obligation imposed by </w:t>
            </w:r>
            <w:r w:rsidR="00247279">
              <w:rPr>
                <w:b/>
                <w:lang w:eastAsia="en-AU"/>
              </w:rPr>
              <w:t xml:space="preserve">the amended </w:t>
            </w:r>
            <w:r w:rsidRPr="0087731F">
              <w:rPr>
                <w:b/>
                <w:lang w:eastAsia="en-AU"/>
              </w:rPr>
              <w:t>Act?</w:t>
            </w:r>
          </w:p>
        </w:tc>
        <w:tc>
          <w:tcPr>
            <w:tcW w:w="1719" w:type="pct"/>
            <w:gridSpan w:val="2"/>
          </w:tcPr>
          <w:p w14:paraId="225FC265" w14:textId="3782B5A5" w:rsidR="00AB584E" w:rsidRPr="0087731F" w:rsidRDefault="00AB584E" w:rsidP="006918F2">
            <w:pPr>
              <w:jc w:val="center"/>
              <w:rPr>
                <w:b/>
                <w:lang w:eastAsia="en-AU"/>
              </w:rPr>
            </w:pPr>
            <w:r w:rsidRPr="0087731F">
              <w:rPr>
                <w:b/>
                <w:lang w:eastAsia="en-AU"/>
              </w:rPr>
              <w:t>Obligation imposed by Regulations?</w:t>
            </w:r>
          </w:p>
        </w:tc>
      </w:tr>
      <w:tr w:rsidR="00AB584E" w:rsidRPr="00F07D02" w14:paraId="51109EBF" w14:textId="47A66400" w:rsidTr="002F4C73">
        <w:tc>
          <w:tcPr>
            <w:tcW w:w="1709" w:type="pct"/>
          </w:tcPr>
          <w:p w14:paraId="44168481" w14:textId="3B7AC530" w:rsidR="00AB584E" w:rsidRDefault="00AB584E" w:rsidP="0004610D">
            <w:pPr>
              <w:rPr>
                <w:lang w:eastAsia="en-AU"/>
              </w:rPr>
            </w:pPr>
          </w:p>
        </w:tc>
        <w:tc>
          <w:tcPr>
            <w:tcW w:w="868" w:type="pct"/>
          </w:tcPr>
          <w:p w14:paraId="2EE62254" w14:textId="76A2AC50" w:rsidR="00AB584E" w:rsidRPr="0004610D" w:rsidRDefault="00AB584E" w:rsidP="00612E82">
            <w:pPr>
              <w:pStyle w:val="ListParagraph"/>
              <w:ind w:left="417"/>
              <w:jc w:val="center"/>
              <w:rPr>
                <w:b/>
                <w:bCs/>
                <w:lang w:eastAsia="en-AU"/>
              </w:rPr>
            </w:pPr>
            <w:r w:rsidRPr="0004610D">
              <w:rPr>
                <w:b/>
                <w:bCs/>
                <w:lang w:eastAsia="en-AU"/>
              </w:rPr>
              <w:t>Individuals</w:t>
            </w:r>
          </w:p>
        </w:tc>
        <w:tc>
          <w:tcPr>
            <w:tcW w:w="704" w:type="pct"/>
          </w:tcPr>
          <w:p w14:paraId="5B0C8B4C" w14:textId="095B94C0" w:rsidR="00AB584E" w:rsidRPr="0004610D" w:rsidRDefault="00AB584E" w:rsidP="00612E82">
            <w:pPr>
              <w:pStyle w:val="ListParagraph"/>
              <w:ind w:left="417"/>
              <w:jc w:val="center"/>
              <w:rPr>
                <w:b/>
                <w:bCs/>
                <w:lang w:eastAsia="en-AU"/>
              </w:rPr>
            </w:pPr>
            <w:r w:rsidRPr="0004610D">
              <w:rPr>
                <w:b/>
                <w:bCs/>
                <w:lang w:eastAsia="en-AU"/>
              </w:rPr>
              <w:t>Businesses</w:t>
            </w:r>
          </w:p>
        </w:tc>
        <w:tc>
          <w:tcPr>
            <w:tcW w:w="1057" w:type="pct"/>
          </w:tcPr>
          <w:p w14:paraId="4DBFC5B5" w14:textId="02E496B7" w:rsidR="00AB584E" w:rsidRPr="0004610D" w:rsidRDefault="00AB584E" w:rsidP="00612E82">
            <w:pPr>
              <w:pStyle w:val="ListParagraph"/>
              <w:ind w:left="417"/>
              <w:jc w:val="center"/>
              <w:rPr>
                <w:b/>
                <w:bCs/>
                <w:lang w:eastAsia="en-AU"/>
              </w:rPr>
            </w:pPr>
            <w:r w:rsidRPr="0004610D">
              <w:rPr>
                <w:b/>
                <w:bCs/>
                <w:lang w:eastAsia="en-AU"/>
              </w:rPr>
              <w:t>Individuals</w:t>
            </w:r>
          </w:p>
        </w:tc>
        <w:tc>
          <w:tcPr>
            <w:tcW w:w="662" w:type="pct"/>
          </w:tcPr>
          <w:p w14:paraId="5557316F" w14:textId="16768BD4" w:rsidR="00AB584E" w:rsidRPr="0004610D" w:rsidRDefault="00AB584E" w:rsidP="00612E82">
            <w:pPr>
              <w:pStyle w:val="ListParagraph"/>
              <w:ind w:left="417"/>
              <w:jc w:val="center"/>
              <w:rPr>
                <w:b/>
                <w:bCs/>
                <w:lang w:eastAsia="en-AU"/>
              </w:rPr>
            </w:pPr>
            <w:r w:rsidRPr="0004610D">
              <w:rPr>
                <w:b/>
                <w:bCs/>
                <w:lang w:eastAsia="en-AU"/>
              </w:rPr>
              <w:t>Businesses</w:t>
            </w:r>
          </w:p>
        </w:tc>
      </w:tr>
      <w:tr w:rsidR="00AB584E" w:rsidRPr="00F07D02" w14:paraId="1B989A81" w14:textId="77777777" w:rsidTr="00AB584E">
        <w:tc>
          <w:tcPr>
            <w:tcW w:w="5000" w:type="pct"/>
            <w:gridSpan w:val="5"/>
            <w:shd w:val="clear" w:color="auto" w:fill="DFF0F9" w:themeFill="accent3" w:themeFillTint="33"/>
          </w:tcPr>
          <w:p w14:paraId="33D20863" w14:textId="022C45EC" w:rsidR="00AB584E" w:rsidRPr="00AB584E" w:rsidRDefault="00AB584E" w:rsidP="00DF1032">
            <w:pPr>
              <w:rPr>
                <w:b/>
                <w:bCs/>
                <w:lang w:eastAsia="en-AU"/>
              </w:rPr>
            </w:pPr>
            <w:r w:rsidRPr="00AB584E">
              <w:rPr>
                <w:b/>
                <w:bCs/>
                <w:lang w:eastAsia="en-AU"/>
              </w:rPr>
              <w:t xml:space="preserve">Identity requirements </w:t>
            </w:r>
          </w:p>
        </w:tc>
      </w:tr>
      <w:tr w:rsidR="000B4A06" w:rsidRPr="00F07D02" w14:paraId="5E294F75" w14:textId="77777777" w:rsidTr="002F4C73">
        <w:tc>
          <w:tcPr>
            <w:tcW w:w="1709" w:type="pct"/>
          </w:tcPr>
          <w:p w14:paraId="372C0E0D" w14:textId="2016FE76" w:rsidR="000B4A06" w:rsidRDefault="000B4A06" w:rsidP="000B4A06">
            <w:pPr>
              <w:jc w:val="both"/>
              <w:rPr>
                <w:lang w:eastAsia="en-AU"/>
              </w:rPr>
            </w:pPr>
            <w:r>
              <w:rPr>
                <w:lang w:eastAsia="en-AU"/>
              </w:rPr>
              <w:t>Full set of fingerprints</w:t>
            </w:r>
          </w:p>
        </w:tc>
        <w:tc>
          <w:tcPr>
            <w:tcW w:w="868" w:type="pct"/>
          </w:tcPr>
          <w:p w14:paraId="3023EAF4" w14:textId="2D2CAEF0" w:rsidR="000B4A06" w:rsidRPr="00C97FCD" w:rsidRDefault="000B4A06" w:rsidP="00612E82">
            <w:pPr>
              <w:pStyle w:val="ListParagraph"/>
              <w:ind w:left="417"/>
              <w:jc w:val="center"/>
              <w:rPr>
                <w:rFonts w:ascii="Wingdings" w:eastAsia="Wingdings" w:hAnsi="Wingdings" w:cs="Wingdings"/>
                <w:szCs w:val="17"/>
              </w:rPr>
            </w:pPr>
            <w:r>
              <w:rPr>
                <w:rFonts w:ascii="Wingdings" w:eastAsia="Wingdings" w:hAnsi="Wingdings" w:cs="Wingdings"/>
                <w:szCs w:val="17"/>
              </w:rPr>
              <w:t>ü</w:t>
            </w:r>
          </w:p>
        </w:tc>
        <w:tc>
          <w:tcPr>
            <w:tcW w:w="704" w:type="pct"/>
          </w:tcPr>
          <w:p w14:paraId="6CF9717F" w14:textId="263FFE43" w:rsidR="000B4A06" w:rsidRPr="00C97FCD" w:rsidRDefault="000B4A06" w:rsidP="00612E82">
            <w:pPr>
              <w:pStyle w:val="ListParagraph"/>
              <w:ind w:left="417"/>
              <w:jc w:val="center"/>
              <w:rPr>
                <w:rFonts w:ascii="Wingdings" w:eastAsia="Wingdings" w:hAnsi="Wingdings" w:cs="Wingdings"/>
                <w:szCs w:val="17"/>
              </w:rPr>
            </w:pPr>
            <w:r>
              <w:rPr>
                <w:rFonts w:ascii="Wingdings" w:eastAsia="Wingdings" w:hAnsi="Wingdings" w:cs="Wingdings"/>
                <w:szCs w:val="17"/>
              </w:rPr>
              <w:t>ü</w:t>
            </w:r>
          </w:p>
        </w:tc>
        <w:tc>
          <w:tcPr>
            <w:tcW w:w="1057" w:type="pct"/>
          </w:tcPr>
          <w:p w14:paraId="388413B1" w14:textId="000A185A" w:rsidR="000B4A06" w:rsidRDefault="000B4A06" w:rsidP="00612E82">
            <w:pPr>
              <w:pStyle w:val="ListParagraph"/>
              <w:ind w:left="417"/>
              <w:jc w:val="center"/>
              <w:rPr>
                <w:lang w:eastAsia="en-AU"/>
              </w:rPr>
            </w:pPr>
            <w:r w:rsidRPr="009C3057">
              <w:rPr>
                <w:rFonts w:ascii="Wingdings" w:eastAsia="Wingdings" w:hAnsi="Wingdings" w:cs="Wingdings"/>
                <w:sz w:val="20"/>
                <w:szCs w:val="20"/>
              </w:rPr>
              <w:t>û</w:t>
            </w:r>
          </w:p>
        </w:tc>
        <w:tc>
          <w:tcPr>
            <w:tcW w:w="662" w:type="pct"/>
          </w:tcPr>
          <w:p w14:paraId="3DF43F33" w14:textId="1E54D72A" w:rsidR="000B4A06" w:rsidRDefault="000B4A06" w:rsidP="00612E82">
            <w:pPr>
              <w:pStyle w:val="ListParagraph"/>
              <w:ind w:left="417"/>
              <w:jc w:val="center"/>
              <w:rPr>
                <w:lang w:eastAsia="en-AU"/>
              </w:rPr>
            </w:pPr>
            <w:r w:rsidRPr="009C3057">
              <w:rPr>
                <w:rFonts w:ascii="Wingdings" w:eastAsia="Wingdings" w:hAnsi="Wingdings" w:cs="Wingdings"/>
                <w:sz w:val="20"/>
                <w:szCs w:val="20"/>
              </w:rPr>
              <w:t>û</w:t>
            </w:r>
          </w:p>
        </w:tc>
      </w:tr>
      <w:tr w:rsidR="000B4A06" w:rsidRPr="00F07D02" w14:paraId="74A19695" w14:textId="77777777" w:rsidTr="002F4C73">
        <w:tc>
          <w:tcPr>
            <w:tcW w:w="1709" w:type="pct"/>
          </w:tcPr>
          <w:p w14:paraId="431736E1" w14:textId="52082650" w:rsidR="000B4A06" w:rsidRDefault="000B4A06" w:rsidP="000B4A06">
            <w:pPr>
              <w:jc w:val="both"/>
              <w:rPr>
                <w:lang w:eastAsia="en-AU"/>
              </w:rPr>
            </w:pPr>
            <w:r>
              <w:rPr>
                <w:lang w:eastAsia="en-AU"/>
              </w:rPr>
              <w:t>Given name, surname, postal and residential address, and photograph of applicant</w:t>
            </w:r>
          </w:p>
        </w:tc>
        <w:tc>
          <w:tcPr>
            <w:tcW w:w="868" w:type="pct"/>
          </w:tcPr>
          <w:p w14:paraId="6CA12D67" w14:textId="1DB2BDA1" w:rsidR="000B4A06" w:rsidRPr="00C97FCD" w:rsidRDefault="000B4A06" w:rsidP="00612E82">
            <w:pPr>
              <w:pStyle w:val="ListParagraph"/>
              <w:ind w:left="417"/>
              <w:jc w:val="center"/>
              <w:rPr>
                <w:rFonts w:ascii="Wingdings" w:eastAsia="Wingdings" w:hAnsi="Wingdings" w:cs="Wingdings"/>
                <w:szCs w:val="17"/>
              </w:rPr>
            </w:pPr>
            <w:r w:rsidRPr="00851A2B">
              <w:rPr>
                <w:rFonts w:ascii="Wingdings" w:eastAsia="Wingdings" w:hAnsi="Wingdings" w:cs="Wingdings"/>
                <w:sz w:val="20"/>
                <w:szCs w:val="20"/>
              </w:rPr>
              <w:t>û</w:t>
            </w:r>
          </w:p>
        </w:tc>
        <w:tc>
          <w:tcPr>
            <w:tcW w:w="704" w:type="pct"/>
          </w:tcPr>
          <w:p w14:paraId="7E57B62F" w14:textId="6D2198E9" w:rsidR="000B4A06" w:rsidRPr="00C97FCD" w:rsidRDefault="000B4A06" w:rsidP="00612E82">
            <w:pPr>
              <w:pStyle w:val="ListParagraph"/>
              <w:ind w:left="417"/>
              <w:jc w:val="center"/>
              <w:rPr>
                <w:rFonts w:ascii="Wingdings" w:eastAsia="Wingdings" w:hAnsi="Wingdings" w:cs="Wingdings"/>
                <w:szCs w:val="17"/>
              </w:rPr>
            </w:pPr>
            <w:r w:rsidRPr="00851A2B">
              <w:rPr>
                <w:rFonts w:ascii="Wingdings" w:eastAsia="Wingdings" w:hAnsi="Wingdings" w:cs="Wingdings"/>
                <w:sz w:val="20"/>
                <w:szCs w:val="20"/>
              </w:rPr>
              <w:t>û</w:t>
            </w:r>
          </w:p>
        </w:tc>
        <w:tc>
          <w:tcPr>
            <w:tcW w:w="1057" w:type="pct"/>
          </w:tcPr>
          <w:p w14:paraId="05F52D54" w14:textId="3CF4112A" w:rsidR="000B4A06" w:rsidRDefault="000B4A06" w:rsidP="00612E82">
            <w:pPr>
              <w:pStyle w:val="ListParagraph"/>
              <w:ind w:left="417"/>
              <w:jc w:val="center"/>
              <w:rPr>
                <w:lang w:eastAsia="en-AU"/>
              </w:rPr>
            </w:pPr>
            <w:r w:rsidRPr="001B54DF">
              <w:rPr>
                <w:rFonts w:ascii="Wingdings" w:eastAsia="Wingdings" w:hAnsi="Wingdings" w:cs="Wingdings"/>
                <w:szCs w:val="17"/>
              </w:rPr>
              <w:t>ü</w:t>
            </w:r>
          </w:p>
        </w:tc>
        <w:tc>
          <w:tcPr>
            <w:tcW w:w="662" w:type="pct"/>
          </w:tcPr>
          <w:p w14:paraId="29D8938F" w14:textId="7A434F19" w:rsidR="000B4A06" w:rsidRDefault="000B4A06" w:rsidP="00612E82">
            <w:pPr>
              <w:pStyle w:val="ListParagraph"/>
              <w:ind w:left="417"/>
              <w:jc w:val="center"/>
              <w:rPr>
                <w:lang w:eastAsia="en-AU"/>
              </w:rPr>
            </w:pPr>
            <w:r w:rsidRPr="001B54DF">
              <w:rPr>
                <w:rFonts w:ascii="Wingdings" w:eastAsia="Wingdings" w:hAnsi="Wingdings" w:cs="Wingdings"/>
                <w:szCs w:val="17"/>
              </w:rPr>
              <w:t>ü</w:t>
            </w:r>
          </w:p>
        </w:tc>
      </w:tr>
      <w:tr w:rsidR="00742DE9" w:rsidRPr="00F07D02" w14:paraId="20193A02" w14:textId="77777777" w:rsidTr="002F4C73">
        <w:tc>
          <w:tcPr>
            <w:tcW w:w="1709" w:type="pct"/>
          </w:tcPr>
          <w:p w14:paraId="6198598B" w14:textId="11DC9956" w:rsidR="00742DE9" w:rsidRDefault="00742DE9" w:rsidP="00742DE9">
            <w:pPr>
              <w:jc w:val="both"/>
              <w:rPr>
                <w:lang w:eastAsia="en-AU"/>
              </w:rPr>
            </w:pPr>
            <w:r>
              <w:rPr>
                <w:lang w:eastAsia="en-AU"/>
              </w:rPr>
              <w:t>Proof of age</w:t>
            </w:r>
          </w:p>
        </w:tc>
        <w:tc>
          <w:tcPr>
            <w:tcW w:w="868" w:type="pct"/>
          </w:tcPr>
          <w:p w14:paraId="2CB0164B" w14:textId="6C1EC66A" w:rsidR="00742DE9" w:rsidRPr="00C97FCD" w:rsidRDefault="00742DE9" w:rsidP="00742DE9">
            <w:pPr>
              <w:pStyle w:val="ListParagraph"/>
              <w:ind w:left="417"/>
              <w:jc w:val="center"/>
              <w:rPr>
                <w:rFonts w:ascii="Wingdings" w:eastAsia="Wingdings" w:hAnsi="Wingdings" w:cs="Wingdings"/>
                <w:szCs w:val="17"/>
              </w:rPr>
            </w:pPr>
            <w:r w:rsidRPr="00851A2B">
              <w:rPr>
                <w:rFonts w:ascii="Wingdings" w:eastAsia="Wingdings" w:hAnsi="Wingdings" w:cs="Wingdings"/>
                <w:sz w:val="20"/>
                <w:szCs w:val="20"/>
              </w:rPr>
              <w:t>û</w:t>
            </w:r>
          </w:p>
        </w:tc>
        <w:tc>
          <w:tcPr>
            <w:tcW w:w="704" w:type="pct"/>
          </w:tcPr>
          <w:p w14:paraId="7A540B31" w14:textId="0EC6F032" w:rsidR="00742DE9" w:rsidRPr="00C97FCD" w:rsidRDefault="00742DE9" w:rsidP="00742DE9">
            <w:pPr>
              <w:pStyle w:val="ListParagraph"/>
              <w:ind w:left="417"/>
              <w:jc w:val="center"/>
              <w:rPr>
                <w:rFonts w:ascii="Wingdings" w:eastAsia="Wingdings" w:hAnsi="Wingdings" w:cs="Wingdings"/>
                <w:szCs w:val="17"/>
              </w:rPr>
            </w:pPr>
            <w:r w:rsidRPr="00851A2B">
              <w:rPr>
                <w:rFonts w:ascii="Wingdings" w:eastAsia="Wingdings" w:hAnsi="Wingdings" w:cs="Wingdings"/>
                <w:sz w:val="20"/>
                <w:szCs w:val="20"/>
              </w:rPr>
              <w:t>û</w:t>
            </w:r>
          </w:p>
        </w:tc>
        <w:tc>
          <w:tcPr>
            <w:tcW w:w="1057" w:type="pct"/>
          </w:tcPr>
          <w:p w14:paraId="053E4FBD" w14:textId="23341D34" w:rsidR="00742DE9" w:rsidRDefault="00742DE9" w:rsidP="00742DE9">
            <w:pPr>
              <w:pStyle w:val="ListParagraph"/>
              <w:ind w:left="417"/>
              <w:jc w:val="center"/>
              <w:rPr>
                <w:lang w:eastAsia="en-AU"/>
              </w:rPr>
            </w:pPr>
            <w:r w:rsidRPr="001B54DF">
              <w:rPr>
                <w:rFonts w:ascii="Wingdings" w:eastAsia="Wingdings" w:hAnsi="Wingdings" w:cs="Wingdings"/>
                <w:szCs w:val="17"/>
              </w:rPr>
              <w:t>ü</w:t>
            </w:r>
          </w:p>
        </w:tc>
        <w:tc>
          <w:tcPr>
            <w:tcW w:w="662" w:type="pct"/>
          </w:tcPr>
          <w:p w14:paraId="4285BFBB" w14:textId="5F6F74CC" w:rsidR="00742DE9" w:rsidRDefault="00742DE9" w:rsidP="00742DE9">
            <w:pPr>
              <w:pStyle w:val="ListParagraph"/>
              <w:ind w:left="417"/>
              <w:jc w:val="center"/>
              <w:rPr>
                <w:lang w:eastAsia="en-AU"/>
              </w:rPr>
            </w:pPr>
            <w:r w:rsidRPr="001B54DF">
              <w:rPr>
                <w:rFonts w:ascii="Wingdings" w:eastAsia="Wingdings" w:hAnsi="Wingdings" w:cs="Wingdings"/>
                <w:szCs w:val="17"/>
              </w:rPr>
              <w:t>ü</w:t>
            </w:r>
          </w:p>
        </w:tc>
      </w:tr>
      <w:tr w:rsidR="000B4A06" w:rsidRPr="00F07D02" w14:paraId="20658697" w14:textId="77777777" w:rsidTr="002F4C73">
        <w:tc>
          <w:tcPr>
            <w:tcW w:w="1709" w:type="pct"/>
          </w:tcPr>
          <w:p w14:paraId="7C60995A" w14:textId="0A621D20" w:rsidR="000B4A06" w:rsidRDefault="000B4A06" w:rsidP="000B4A06">
            <w:pPr>
              <w:jc w:val="both"/>
              <w:rPr>
                <w:lang w:eastAsia="en-AU"/>
              </w:rPr>
            </w:pPr>
            <w:r>
              <w:rPr>
                <w:lang w:eastAsia="en-AU"/>
              </w:rPr>
              <w:t>Name and address of employer</w:t>
            </w:r>
          </w:p>
        </w:tc>
        <w:tc>
          <w:tcPr>
            <w:tcW w:w="868" w:type="pct"/>
          </w:tcPr>
          <w:p w14:paraId="20E80AA2" w14:textId="1EEBAFB3" w:rsidR="000B4A06" w:rsidRDefault="000B4A06" w:rsidP="00612E82">
            <w:pPr>
              <w:pStyle w:val="ListParagraph"/>
              <w:ind w:left="417"/>
              <w:jc w:val="center"/>
              <w:rPr>
                <w:lang w:eastAsia="en-AU"/>
              </w:rPr>
            </w:pPr>
            <w:r w:rsidRPr="005653C0">
              <w:rPr>
                <w:rFonts w:ascii="Wingdings" w:eastAsia="Wingdings" w:hAnsi="Wingdings" w:cs="Wingdings"/>
                <w:sz w:val="20"/>
                <w:szCs w:val="20"/>
              </w:rPr>
              <w:t>û</w:t>
            </w:r>
          </w:p>
        </w:tc>
        <w:tc>
          <w:tcPr>
            <w:tcW w:w="704" w:type="pct"/>
          </w:tcPr>
          <w:p w14:paraId="00ECA2ED" w14:textId="52C01A1A" w:rsidR="000B4A06" w:rsidRDefault="000B4A06" w:rsidP="00612E82">
            <w:pPr>
              <w:pStyle w:val="ListParagraph"/>
              <w:ind w:left="417"/>
              <w:jc w:val="center"/>
              <w:rPr>
                <w:lang w:eastAsia="en-AU"/>
              </w:rPr>
            </w:pPr>
            <w:r w:rsidRPr="005653C0">
              <w:rPr>
                <w:rFonts w:ascii="Wingdings" w:eastAsia="Wingdings" w:hAnsi="Wingdings" w:cs="Wingdings"/>
                <w:sz w:val="20"/>
                <w:szCs w:val="20"/>
              </w:rPr>
              <w:t>û</w:t>
            </w:r>
          </w:p>
        </w:tc>
        <w:tc>
          <w:tcPr>
            <w:tcW w:w="1057" w:type="pct"/>
          </w:tcPr>
          <w:p w14:paraId="113308CF" w14:textId="24172DD6" w:rsidR="000B4A06" w:rsidRDefault="000B4A06" w:rsidP="00612E82">
            <w:pPr>
              <w:pStyle w:val="ListParagraph"/>
              <w:ind w:left="417"/>
              <w:jc w:val="center"/>
              <w:rPr>
                <w:lang w:eastAsia="en-AU"/>
              </w:rPr>
            </w:pPr>
            <w:r>
              <w:rPr>
                <w:rFonts w:ascii="Wingdings" w:eastAsia="Wingdings" w:hAnsi="Wingdings" w:cs="Wingdings"/>
                <w:szCs w:val="17"/>
              </w:rPr>
              <w:t>ü</w:t>
            </w:r>
          </w:p>
        </w:tc>
        <w:tc>
          <w:tcPr>
            <w:tcW w:w="662" w:type="pct"/>
          </w:tcPr>
          <w:p w14:paraId="6DE5B534" w14:textId="55F61DDD" w:rsidR="000B4A06" w:rsidRDefault="000B4A06" w:rsidP="00612E82">
            <w:pPr>
              <w:pStyle w:val="ListParagraph"/>
              <w:ind w:left="417"/>
              <w:jc w:val="center"/>
              <w:rPr>
                <w:lang w:eastAsia="en-AU"/>
              </w:rPr>
            </w:pPr>
            <w:r w:rsidRPr="008C05BD">
              <w:rPr>
                <w:rFonts w:ascii="Wingdings" w:eastAsia="Wingdings" w:hAnsi="Wingdings" w:cs="Wingdings"/>
                <w:sz w:val="20"/>
                <w:szCs w:val="20"/>
              </w:rPr>
              <w:t>û</w:t>
            </w:r>
          </w:p>
        </w:tc>
      </w:tr>
      <w:tr w:rsidR="000B4A06" w:rsidRPr="00F07D02" w14:paraId="7D700EA9" w14:textId="77777777" w:rsidTr="002F4C73">
        <w:tc>
          <w:tcPr>
            <w:tcW w:w="1709" w:type="pct"/>
          </w:tcPr>
          <w:p w14:paraId="327FD72E" w14:textId="6F467B28" w:rsidR="000B4A06" w:rsidRDefault="000B4A06" w:rsidP="000B4A06">
            <w:pPr>
              <w:jc w:val="both"/>
              <w:rPr>
                <w:lang w:eastAsia="en-AU"/>
              </w:rPr>
            </w:pPr>
            <w:r>
              <w:rPr>
                <w:lang w:eastAsia="en-AU"/>
              </w:rPr>
              <w:lastRenderedPageBreak/>
              <w:t xml:space="preserve">Australian Business Number </w:t>
            </w:r>
          </w:p>
        </w:tc>
        <w:tc>
          <w:tcPr>
            <w:tcW w:w="868" w:type="pct"/>
          </w:tcPr>
          <w:p w14:paraId="6D6EC76A" w14:textId="1ECCAD29" w:rsidR="000B4A06" w:rsidRDefault="000B4A06" w:rsidP="00612E82">
            <w:pPr>
              <w:pStyle w:val="ListParagraph"/>
              <w:ind w:left="417"/>
              <w:jc w:val="center"/>
              <w:rPr>
                <w:lang w:eastAsia="en-AU"/>
              </w:rPr>
            </w:pPr>
            <w:r w:rsidRPr="004E5BC2">
              <w:rPr>
                <w:rFonts w:ascii="Wingdings" w:eastAsia="Wingdings" w:hAnsi="Wingdings" w:cs="Wingdings"/>
                <w:sz w:val="20"/>
                <w:szCs w:val="20"/>
              </w:rPr>
              <w:t>û</w:t>
            </w:r>
          </w:p>
        </w:tc>
        <w:tc>
          <w:tcPr>
            <w:tcW w:w="704" w:type="pct"/>
          </w:tcPr>
          <w:p w14:paraId="4DE52731" w14:textId="1D61794D" w:rsidR="000B4A06" w:rsidRDefault="000B4A06" w:rsidP="00612E82">
            <w:pPr>
              <w:pStyle w:val="ListParagraph"/>
              <w:ind w:left="417"/>
              <w:jc w:val="center"/>
              <w:rPr>
                <w:lang w:eastAsia="en-AU"/>
              </w:rPr>
            </w:pPr>
            <w:r w:rsidRPr="004E5BC2">
              <w:rPr>
                <w:rFonts w:ascii="Wingdings" w:eastAsia="Wingdings" w:hAnsi="Wingdings" w:cs="Wingdings"/>
                <w:sz w:val="20"/>
                <w:szCs w:val="20"/>
              </w:rPr>
              <w:t>û</w:t>
            </w:r>
          </w:p>
        </w:tc>
        <w:tc>
          <w:tcPr>
            <w:tcW w:w="1057" w:type="pct"/>
          </w:tcPr>
          <w:p w14:paraId="6B1D5C0A" w14:textId="5FB0FF94" w:rsidR="000B4A06" w:rsidRPr="0071525F" w:rsidRDefault="000B4A06" w:rsidP="00612E82">
            <w:pPr>
              <w:pStyle w:val="ListParagraph"/>
              <w:ind w:left="417"/>
              <w:jc w:val="center"/>
              <w:rPr>
                <w:lang w:eastAsia="en-AU"/>
              </w:rPr>
            </w:pPr>
            <w:r w:rsidRPr="004E5BC2">
              <w:rPr>
                <w:rFonts w:ascii="Wingdings" w:eastAsia="Wingdings" w:hAnsi="Wingdings" w:cs="Wingdings"/>
                <w:sz w:val="20"/>
                <w:szCs w:val="20"/>
              </w:rPr>
              <w:t>û</w:t>
            </w:r>
          </w:p>
        </w:tc>
        <w:tc>
          <w:tcPr>
            <w:tcW w:w="662" w:type="pct"/>
          </w:tcPr>
          <w:p w14:paraId="6060D248" w14:textId="3F1930F6" w:rsidR="000B4A06" w:rsidRDefault="000B4A06" w:rsidP="00612E82">
            <w:pPr>
              <w:pStyle w:val="ListParagraph"/>
              <w:ind w:left="417"/>
              <w:jc w:val="center"/>
              <w:rPr>
                <w:lang w:eastAsia="en-AU"/>
              </w:rPr>
            </w:pPr>
            <w:r w:rsidRPr="00C65CC5">
              <w:rPr>
                <w:rFonts w:ascii="Wingdings" w:eastAsia="Wingdings" w:hAnsi="Wingdings" w:cs="Wingdings"/>
                <w:szCs w:val="17"/>
              </w:rPr>
              <w:t>ü</w:t>
            </w:r>
          </w:p>
        </w:tc>
      </w:tr>
      <w:tr w:rsidR="000B4A06" w:rsidRPr="00F07D02" w14:paraId="5AD5D680" w14:textId="77777777" w:rsidTr="002F4C73">
        <w:tc>
          <w:tcPr>
            <w:tcW w:w="1709" w:type="pct"/>
          </w:tcPr>
          <w:p w14:paraId="7ED8BD28" w14:textId="77777777" w:rsidR="000B4A06" w:rsidRDefault="000B4A06" w:rsidP="000B4A06">
            <w:pPr>
              <w:jc w:val="both"/>
              <w:rPr>
                <w:lang w:eastAsia="en-AU"/>
              </w:rPr>
            </w:pPr>
            <w:r>
              <w:rPr>
                <w:lang w:eastAsia="en-AU"/>
              </w:rPr>
              <w:t xml:space="preserve">Certified copy of: </w:t>
            </w:r>
          </w:p>
          <w:p w14:paraId="1DCC0236" w14:textId="61D5B03D" w:rsidR="000B4A06" w:rsidRPr="000835C4" w:rsidRDefault="000B4A06" w:rsidP="00202AB3">
            <w:pPr>
              <w:pStyle w:val="ListParagraph"/>
              <w:numPr>
                <w:ilvl w:val="0"/>
                <w:numId w:val="42"/>
              </w:numPr>
              <w:rPr>
                <w:lang w:eastAsia="en-AU"/>
              </w:rPr>
            </w:pPr>
            <w:r w:rsidRPr="000835C4">
              <w:rPr>
                <w:lang w:eastAsia="en-AU"/>
              </w:rPr>
              <w:t>registration of business name</w:t>
            </w:r>
          </w:p>
          <w:p w14:paraId="3145424C" w14:textId="77777777" w:rsidR="000B4A06" w:rsidRPr="000835C4" w:rsidRDefault="000B4A06" w:rsidP="00202AB3">
            <w:pPr>
              <w:pStyle w:val="ListParagraph"/>
              <w:numPr>
                <w:ilvl w:val="0"/>
                <w:numId w:val="42"/>
              </w:numPr>
              <w:rPr>
                <w:lang w:eastAsia="en-AU"/>
              </w:rPr>
            </w:pPr>
            <w:r w:rsidRPr="000835C4">
              <w:rPr>
                <w:lang w:eastAsia="en-AU"/>
              </w:rPr>
              <w:t>any certificate of registration under the Corporations Act 2001</w:t>
            </w:r>
          </w:p>
          <w:p w14:paraId="4E74099F" w14:textId="77777777" w:rsidR="000B4A06" w:rsidRDefault="000B4A06" w:rsidP="00202AB3">
            <w:pPr>
              <w:pStyle w:val="ListParagraph"/>
              <w:numPr>
                <w:ilvl w:val="0"/>
                <w:numId w:val="42"/>
              </w:numPr>
              <w:rPr>
                <w:lang w:eastAsia="en-AU"/>
              </w:rPr>
            </w:pPr>
            <w:r w:rsidRPr="000835C4">
              <w:rPr>
                <w:lang w:eastAsia="en-AU"/>
              </w:rPr>
              <w:t>document verifying the appointment of body corporate officers</w:t>
            </w:r>
          </w:p>
          <w:p w14:paraId="0892E01E" w14:textId="77777777" w:rsidR="0034661C" w:rsidRDefault="0034661C" w:rsidP="0034661C">
            <w:pPr>
              <w:ind w:left="0"/>
              <w:rPr>
                <w:lang w:eastAsia="en-AU"/>
              </w:rPr>
            </w:pPr>
          </w:p>
          <w:p w14:paraId="51990591" w14:textId="30590095" w:rsidR="0034661C" w:rsidRPr="0034661C" w:rsidRDefault="0034661C" w:rsidP="0034661C">
            <w:pPr>
              <w:ind w:left="0"/>
              <w:rPr>
                <w:lang w:eastAsia="en-AU"/>
              </w:rPr>
            </w:pPr>
          </w:p>
        </w:tc>
        <w:tc>
          <w:tcPr>
            <w:tcW w:w="868" w:type="pct"/>
          </w:tcPr>
          <w:p w14:paraId="767771BA" w14:textId="2D1BC501" w:rsidR="000B4A06" w:rsidRDefault="000B4A06" w:rsidP="00612E82">
            <w:pPr>
              <w:pStyle w:val="ListParagraph"/>
              <w:ind w:left="417"/>
              <w:jc w:val="center"/>
              <w:rPr>
                <w:lang w:eastAsia="en-AU"/>
              </w:rPr>
            </w:pPr>
            <w:r w:rsidRPr="004E5BC2">
              <w:rPr>
                <w:rFonts w:ascii="Wingdings" w:eastAsia="Wingdings" w:hAnsi="Wingdings" w:cs="Wingdings"/>
                <w:sz w:val="20"/>
                <w:szCs w:val="20"/>
              </w:rPr>
              <w:t>û</w:t>
            </w:r>
          </w:p>
        </w:tc>
        <w:tc>
          <w:tcPr>
            <w:tcW w:w="704" w:type="pct"/>
          </w:tcPr>
          <w:p w14:paraId="5F52D58B" w14:textId="3F7752D1" w:rsidR="000B4A06" w:rsidRDefault="000B4A06" w:rsidP="00612E82">
            <w:pPr>
              <w:pStyle w:val="ListParagraph"/>
              <w:ind w:left="417"/>
              <w:jc w:val="center"/>
              <w:rPr>
                <w:lang w:eastAsia="en-AU"/>
              </w:rPr>
            </w:pPr>
            <w:r w:rsidRPr="004E5BC2">
              <w:rPr>
                <w:rFonts w:ascii="Wingdings" w:eastAsia="Wingdings" w:hAnsi="Wingdings" w:cs="Wingdings"/>
                <w:sz w:val="20"/>
                <w:szCs w:val="20"/>
              </w:rPr>
              <w:t>û</w:t>
            </w:r>
          </w:p>
        </w:tc>
        <w:tc>
          <w:tcPr>
            <w:tcW w:w="1057" w:type="pct"/>
          </w:tcPr>
          <w:p w14:paraId="07D721C5" w14:textId="2449C0EF" w:rsidR="000B4A06" w:rsidRPr="0071525F" w:rsidRDefault="000B4A06" w:rsidP="00612E82">
            <w:pPr>
              <w:pStyle w:val="ListParagraph"/>
              <w:ind w:left="417"/>
              <w:jc w:val="center"/>
              <w:rPr>
                <w:lang w:eastAsia="en-AU"/>
              </w:rPr>
            </w:pPr>
            <w:r w:rsidRPr="004E5BC2">
              <w:rPr>
                <w:rFonts w:ascii="Wingdings" w:eastAsia="Wingdings" w:hAnsi="Wingdings" w:cs="Wingdings"/>
                <w:sz w:val="20"/>
                <w:szCs w:val="20"/>
              </w:rPr>
              <w:t>û</w:t>
            </w:r>
          </w:p>
        </w:tc>
        <w:tc>
          <w:tcPr>
            <w:tcW w:w="662" w:type="pct"/>
          </w:tcPr>
          <w:p w14:paraId="63374819" w14:textId="526D97F1" w:rsidR="000B4A06" w:rsidRDefault="000B4A06" w:rsidP="00612E82">
            <w:pPr>
              <w:pStyle w:val="ListParagraph"/>
              <w:ind w:left="417"/>
              <w:jc w:val="center"/>
              <w:rPr>
                <w:lang w:eastAsia="en-AU"/>
              </w:rPr>
            </w:pPr>
            <w:r w:rsidRPr="00C65CC5">
              <w:rPr>
                <w:rFonts w:ascii="Wingdings" w:eastAsia="Wingdings" w:hAnsi="Wingdings" w:cs="Wingdings"/>
                <w:szCs w:val="17"/>
              </w:rPr>
              <w:t>ü</w:t>
            </w:r>
          </w:p>
        </w:tc>
      </w:tr>
      <w:tr w:rsidR="000B4A06" w:rsidRPr="00F07D02" w14:paraId="2C6F5634" w14:textId="77777777" w:rsidTr="00AB584E">
        <w:tc>
          <w:tcPr>
            <w:tcW w:w="5000" w:type="pct"/>
            <w:gridSpan w:val="5"/>
            <w:shd w:val="clear" w:color="auto" w:fill="DFF0F9" w:themeFill="accent3" w:themeFillTint="33"/>
          </w:tcPr>
          <w:p w14:paraId="58BED7F2" w14:textId="4E8AA258" w:rsidR="000B4A06" w:rsidRPr="00AB584E" w:rsidRDefault="000B4A06" w:rsidP="000B4A06">
            <w:pPr>
              <w:ind w:left="0"/>
              <w:jc w:val="both"/>
              <w:rPr>
                <w:b/>
                <w:bCs/>
                <w:lang w:eastAsia="en-AU"/>
              </w:rPr>
            </w:pPr>
            <w:r w:rsidRPr="00AB584E">
              <w:rPr>
                <w:b/>
                <w:bCs/>
                <w:lang w:eastAsia="en-AU"/>
              </w:rPr>
              <w:t xml:space="preserve">Probity requirements </w:t>
            </w:r>
          </w:p>
        </w:tc>
      </w:tr>
      <w:tr w:rsidR="000B4A06" w:rsidRPr="00F07D02" w14:paraId="77AA1E6F" w14:textId="77777777" w:rsidTr="002F4C73">
        <w:tc>
          <w:tcPr>
            <w:tcW w:w="1709" w:type="pct"/>
          </w:tcPr>
          <w:p w14:paraId="126262AF" w14:textId="4C884AB7" w:rsidR="000B4A06" w:rsidRDefault="000B4A06" w:rsidP="000B4A06">
            <w:pPr>
              <w:jc w:val="both"/>
              <w:rPr>
                <w:lang w:eastAsia="en-AU"/>
              </w:rPr>
            </w:pPr>
            <w:r>
              <w:rPr>
                <w:lang w:eastAsia="en-AU"/>
              </w:rPr>
              <w:t>No contravention or failure to comply with any provision of the Act or the Regulations</w:t>
            </w:r>
          </w:p>
        </w:tc>
        <w:tc>
          <w:tcPr>
            <w:tcW w:w="868" w:type="pct"/>
          </w:tcPr>
          <w:p w14:paraId="63709A9B" w14:textId="4D33C7C6" w:rsidR="000B4A06" w:rsidRDefault="000B4A06" w:rsidP="00612E82">
            <w:pPr>
              <w:pStyle w:val="ListParagraph"/>
              <w:ind w:left="417"/>
              <w:jc w:val="center"/>
              <w:rPr>
                <w:lang w:eastAsia="en-AU"/>
              </w:rPr>
            </w:pPr>
            <w:r w:rsidRPr="00E973B6">
              <w:rPr>
                <w:rFonts w:ascii="Wingdings" w:eastAsia="Wingdings" w:hAnsi="Wingdings" w:cs="Wingdings"/>
                <w:szCs w:val="17"/>
              </w:rPr>
              <w:t>ü</w:t>
            </w:r>
          </w:p>
        </w:tc>
        <w:tc>
          <w:tcPr>
            <w:tcW w:w="704" w:type="pct"/>
          </w:tcPr>
          <w:p w14:paraId="71E80DA3" w14:textId="7E097BE6" w:rsidR="000B4A06" w:rsidRDefault="000B4A06" w:rsidP="00612E82">
            <w:pPr>
              <w:pStyle w:val="ListParagraph"/>
              <w:ind w:left="417"/>
              <w:jc w:val="center"/>
              <w:rPr>
                <w:lang w:eastAsia="en-AU"/>
              </w:rPr>
            </w:pPr>
            <w:r w:rsidRPr="00E973B6">
              <w:rPr>
                <w:rFonts w:ascii="Wingdings" w:eastAsia="Wingdings" w:hAnsi="Wingdings" w:cs="Wingdings"/>
                <w:szCs w:val="17"/>
              </w:rPr>
              <w:t>ü</w:t>
            </w:r>
          </w:p>
        </w:tc>
        <w:tc>
          <w:tcPr>
            <w:tcW w:w="1057" w:type="pct"/>
          </w:tcPr>
          <w:p w14:paraId="6E60248B" w14:textId="43FF1573" w:rsidR="000B4A06" w:rsidRPr="0071525F" w:rsidRDefault="000B4A06" w:rsidP="00612E82">
            <w:pPr>
              <w:pStyle w:val="ListParagraph"/>
              <w:ind w:left="417"/>
              <w:jc w:val="center"/>
              <w:rPr>
                <w:lang w:eastAsia="en-AU"/>
              </w:rPr>
            </w:pPr>
            <w:r w:rsidRPr="00B20989">
              <w:rPr>
                <w:rFonts w:ascii="Wingdings" w:eastAsia="Wingdings" w:hAnsi="Wingdings" w:cs="Wingdings"/>
                <w:sz w:val="20"/>
                <w:szCs w:val="20"/>
              </w:rPr>
              <w:t>û</w:t>
            </w:r>
          </w:p>
        </w:tc>
        <w:tc>
          <w:tcPr>
            <w:tcW w:w="662" w:type="pct"/>
          </w:tcPr>
          <w:p w14:paraId="7966CBEC" w14:textId="263FC701" w:rsidR="000B4A06" w:rsidRDefault="000B4A06" w:rsidP="00612E82">
            <w:pPr>
              <w:pStyle w:val="ListParagraph"/>
              <w:ind w:left="417"/>
              <w:jc w:val="center"/>
              <w:rPr>
                <w:lang w:eastAsia="en-AU"/>
              </w:rPr>
            </w:pPr>
            <w:r w:rsidRPr="00B20989">
              <w:rPr>
                <w:rFonts w:ascii="Wingdings" w:eastAsia="Wingdings" w:hAnsi="Wingdings" w:cs="Wingdings"/>
                <w:sz w:val="20"/>
                <w:szCs w:val="20"/>
              </w:rPr>
              <w:t>û</w:t>
            </w:r>
          </w:p>
        </w:tc>
      </w:tr>
      <w:tr w:rsidR="000B4A06" w:rsidRPr="00F07D02" w14:paraId="5886D8C2" w14:textId="77777777" w:rsidTr="002F4C73">
        <w:tc>
          <w:tcPr>
            <w:tcW w:w="1709" w:type="pct"/>
          </w:tcPr>
          <w:p w14:paraId="30458218" w14:textId="0F2A3E82" w:rsidR="000B4A06" w:rsidRDefault="000B4A06" w:rsidP="000B4A06">
            <w:pPr>
              <w:jc w:val="both"/>
              <w:rPr>
                <w:lang w:eastAsia="en-AU"/>
              </w:rPr>
            </w:pPr>
            <w:r>
              <w:rPr>
                <w:lang w:eastAsia="en-AU"/>
              </w:rPr>
              <w:t>Not a prohibited person</w:t>
            </w:r>
            <w:r w:rsidR="00753B3E">
              <w:rPr>
                <w:rStyle w:val="FootnoteReference"/>
                <w:lang w:eastAsia="en-AU"/>
              </w:rPr>
              <w:footnoteReference w:id="18"/>
            </w:r>
          </w:p>
        </w:tc>
        <w:tc>
          <w:tcPr>
            <w:tcW w:w="868" w:type="pct"/>
          </w:tcPr>
          <w:p w14:paraId="759C9FAB" w14:textId="19434EDF" w:rsidR="000B4A06" w:rsidRDefault="000B4A06" w:rsidP="00612E82">
            <w:pPr>
              <w:pStyle w:val="ListParagraph"/>
              <w:ind w:left="417"/>
              <w:jc w:val="center"/>
              <w:rPr>
                <w:lang w:eastAsia="en-AU"/>
              </w:rPr>
            </w:pPr>
            <w:r w:rsidRPr="00E973B6">
              <w:rPr>
                <w:rFonts w:ascii="Wingdings" w:eastAsia="Wingdings" w:hAnsi="Wingdings" w:cs="Wingdings"/>
                <w:szCs w:val="17"/>
              </w:rPr>
              <w:t>ü</w:t>
            </w:r>
          </w:p>
        </w:tc>
        <w:tc>
          <w:tcPr>
            <w:tcW w:w="704" w:type="pct"/>
          </w:tcPr>
          <w:p w14:paraId="14A651DE" w14:textId="43103E41" w:rsidR="000B4A06" w:rsidRDefault="000B4A06" w:rsidP="00612E82">
            <w:pPr>
              <w:pStyle w:val="ListParagraph"/>
              <w:ind w:left="417"/>
              <w:jc w:val="center"/>
              <w:rPr>
                <w:lang w:eastAsia="en-AU"/>
              </w:rPr>
            </w:pPr>
            <w:r w:rsidRPr="00E973B6">
              <w:rPr>
                <w:rFonts w:ascii="Wingdings" w:eastAsia="Wingdings" w:hAnsi="Wingdings" w:cs="Wingdings"/>
                <w:szCs w:val="17"/>
              </w:rPr>
              <w:t>ü</w:t>
            </w:r>
          </w:p>
        </w:tc>
        <w:tc>
          <w:tcPr>
            <w:tcW w:w="1057" w:type="pct"/>
          </w:tcPr>
          <w:p w14:paraId="4B9F771B" w14:textId="2BE6AB9A" w:rsidR="000B4A06" w:rsidRPr="0071525F" w:rsidRDefault="000B4A06" w:rsidP="00612E82">
            <w:pPr>
              <w:pStyle w:val="ListParagraph"/>
              <w:ind w:left="417"/>
              <w:jc w:val="center"/>
              <w:rPr>
                <w:lang w:eastAsia="en-AU"/>
              </w:rPr>
            </w:pPr>
            <w:r w:rsidRPr="00B20989">
              <w:rPr>
                <w:rFonts w:ascii="Wingdings" w:eastAsia="Wingdings" w:hAnsi="Wingdings" w:cs="Wingdings"/>
                <w:sz w:val="20"/>
                <w:szCs w:val="20"/>
              </w:rPr>
              <w:t>û</w:t>
            </w:r>
          </w:p>
        </w:tc>
        <w:tc>
          <w:tcPr>
            <w:tcW w:w="662" w:type="pct"/>
          </w:tcPr>
          <w:p w14:paraId="3FA92F42" w14:textId="77C22EE0" w:rsidR="000B4A06" w:rsidRDefault="000B4A06" w:rsidP="00612E82">
            <w:pPr>
              <w:pStyle w:val="ListParagraph"/>
              <w:ind w:left="417"/>
              <w:jc w:val="center"/>
              <w:rPr>
                <w:lang w:eastAsia="en-AU"/>
              </w:rPr>
            </w:pPr>
            <w:r w:rsidRPr="00B20989">
              <w:rPr>
                <w:rFonts w:ascii="Wingdings" w:eastAsia="Wingdings" w:hAnsi="Wingdings" w:cs="Wingdings"/>
                <w:sz w:val="20"/>
                <w:szCs w:val="20"/>
              </w:rPr>
              <w:t>û</w:t>
            </w:r>
          </w:p>
        </w:tc>
      </w:tr>
      <w:tr w:rsidR="000B4A06" w:rsidRPr="00F07D02" w14:paraId="6726AE34" w14:textId="77777777" w:rsidTr="002F4C73">
        <w:tc>
          <w:tcPr>
            <w:tcW w:w="1709" w:type="pct"/>
          </w:tcPr>
          <w:p w14:paraId="54A6CA49" w14:textId="79B89608" w:rsidR="000B4A06" w:rsidRDefault="00047AED" w:rsidP="000B4A06">
            <w:pPr>
              <w:rPr>
                <w:lang w:eastAsia="en-AU"/>
              </w:rPr>
            </w:pPr>
            <w:r>
              <w:rPr>
                <w:lang w:eastAsia="en-AU"/>
              </w:rPr>
              <w:t>Not have c</w:t>
            </w:r>
            <w:r w:rsidR="000B4A06">
              <w:rPr>
                <w:lang w:eastAsia="en-AU"/>
              </w:rPr>
              <w:t>onvictions, finding</w:t>
            </w:r>
            <w:r>
              <w:rPr>
                <w:lang w:eastAsia="en-AU"/>
              </w:rPr>
              <w:t>s</w:t>
            </w:r>
            <w:r w:rsidR="000B4A06">
              <w:rPr>
                <w:lang w:eastAsia="en-AU"/>
              </w:rPr>
              <w:t xml:space="preserve"> of guilt without a conviction being recorded or </w:t>
            </w:r>
            <w:r>
              <w:rPr>
                <w:lang w:eastAsia="en-AU"/>
              </w:rPr>
              <w:t>be charged with</w:t>
            </w:r>
            <w:r w:rsidR="000B4A06">
              <w:rPr>
                <w:lang w:eastAsia="en-AU"/>
              </w:rPr>
              <w:t xml:space="preserve"> </w:t>
            </w:r>
            <w:r w:rsidR="00454C51">
              <w:rPr>
                <w:lang w:eastAsia="en-AU"/>
              </w:rPr>
              <w:t xml:space="preserve">a </w:t>
            </w:r>
            <w:r w:rsidR="000B4A06">
              <w:rPr>
                <w:lang w:eastAsia="en-AU"/>
              </w:rPr>
              <w:t>disqualifying offence</w:t>
            </w:r>
            <w:r>
              <w:rPr>
                <w:rStyle w:val="FootnoteReference"/>
                <w:lang w:eastAsia="en-AU"/>
              </w:rPr>
              <w:footnoteReference w:id="19"/>
            </w:r>
          </w:p>
        </w:tc>
        <w:tc>
          <w:tcPr>
            <w:tcW w:w="868" w:type="pct"/>
          </w:tcPr>
          <w:p w14:paraId="1DAB28FD" w14:textId="0DA2BB7D" w:rsidR="000B4A06" w:rsidRDefault="000B4A06" w:rsidP="00612E82">
            <w:pPr>
              <w:pStyle w:val="ListParagraph"/>
              <w:ind w:left="417"/>
              <w:jc w:val="center"/>
              <w:rPr>
                <w:lang w:eastAsia="en-AU"/>
              </w:rPr>
            </w:pPr>
            <w:r w:rsidRPr="00E973B6">
              <w:rPr>
                <w:rFonts w:ascii="Wingdings" w:eastAsia="Wingdings" w:hAnsi="Wingdings" w:cs="Wingdings"/>
                <w:szCs w:val="17"/>
              </w:rPr>
              <w:t>ü</w:t>
            </w:r>
          </w:p>
        </w:tc>
        <w:tc>
          <w:tcPr>
            <w:tcW w:w="704" w:type="pct"/>
          </w:tcPr>
          <w:p w14:paraId="4A503CEA" w14:textId="328BF09A" w:rsidR="000B4A06" w:rsidRDefault="000B4A06" w:rsidP="00612E82">
            <w:pPr>
              <w:pStyle w:val="ListParagraph"/>
              <w:ind w:left="417"/>
              <w:jc w:val="center"/>
              <w:rPr>
                <w:lang w:eastAsia="en-AU"/>
              </w:rPr>
            </w:pPr>
            <w:r w:rsidRPr="00E973B6">
              <w:rPr>
                <w:rFonts w:ascii="Wingdings" w:eastAsia="Wingdings" w:hAnsi="Wingdings" w:cs="Wingdings"/>
                <w:szCs w:val="17"/>
              </w:rPr>
              <w:t>ü</w:t>
            </w:r>
          </w:p>
        </w:tc>
        <w:tc>
          <w:tcPr>
            <w:tcW w:w="1057" w:type="pct"/>
          </w:tcPr>
          <w:p w14:paraId="033DB008" w14:textId="4B521015" w:rsidR="000B4A06" w:rsidRPr="0071525F" w:rsidRDefault="000B4A06" w:rsidP="00612E82">
            <w:pPr>
              <w:pStyle w:val="ListParagraph"/>
              <w:ind w:left="417"/>
              <w:jc w:val="center"/>
              <w:rPr>
                <w:lang w:eastAsia="en-AU"/>
              </w:rPr>
            </w:pPr>
            <w:r w:rsidRPr="00B20989">
              <w:rPr>
                <w:rFonts w:ascii="Wingdings" w:eastAsia="Wingdings" w:hAnsi="Wingdings" w:cs="Wingdings"/>
                <w:sz w:val="20"/>
                <w:szCs w:val="20"/>
              </w:rPr>
              <w:t>û</w:t>
            </w:r>
          </w:p>
        </w:tc>
        <w:tc>
          <w:tcPr>
            <w:tcW w:w="662" w:type="pct"/>
          </w:tcPr>
          <w:p w14:paraId="7096E045" w14:textId="6F8D4C72" w:rsidR="000B4A06" w:rsidRDefault="000B4A06" w:rsidP="00612E82">
            <w:pPr>
              <w:pStyle w:val="ListParagraph"/>
              <w:ind w:left="417"/>
              <w:jc w:val="center"/>
              <w:rPr>
                <w:lang w:eastAsia="en-AU"/>
              </w:rPr>
            </w:pPr>
            <w:r w:rsidRPr="00B20989">
              <w:rPr>
                <w:rFonts w:ascii="Wingdings" w:eastAsia="Wingdings" w:hAnsi="Wingdings" w:cs="Wingdings"/>
                <w:sz w:val="20"/>
                <w:szCs w:val="20"/>
              </w:rPr>
              <w:t>û</w:t>
            </w:r>
          </w:p>
        </w:tc>
      </w:tr>
      <w:tr w:rsidR="000B4A06" w:rsidRPr="00F07D02" w14:paraId="2251ED0B" w14:textId="77777777" w:rsidTr="002F4C73">
        <w:tc>
          <w:tcPr>
            <w:tcW w:w="1709" w:type="pct"/>
          </w:tcPr>
          <w:p w14:paraId="5CE34FD2" w14:textId="1B4D2607" w:rsidR="000B4A06" w:rsidRDefault="00047AED" w:rsidP="000B4A06">
            <w:pPr>
              <w:rPr>
                <w:lang w:eastAsia="en-AU"/>
              </w:rPr>
            </w:pPr>
            <w:r>
              <w:rPr>
                <w:lang w:eastAsia="en-AU"/>
              </w:rPr>
              <w:t>Not have c</w:t>
            </w:r>
            <w:r w:rsidR="000B4A06">
              <w:rPr>
                <w:lang w:eastAsia="en-AU"/>
              </w:rPr>
              <w:t>onvictions, finding</w:t>
            </w:r>
            <w:r>
              <w:rPr>
                <w:lang w:eastAsia="en-AU"/>
              </w:rPr>
              <w:t>s</w:t>
            </w:r>
            <w:r w:rsidR="000B4A06">
              <w:rPr>
                <w:lang w:eastAsia="en-AU"/>
              </w:rPr>
              <w:t xml:space="preserve"> of guilt without a conviction being recorded or </w:t>
            </w:r>
            <w:r>
              <w:rPr>
                <w:lang w:eastAsia="en-AU"/>
              </w:rPr>
              <w:t xml:space="preserve">being charged with a </w:t>
            </w:r>
            <w:r w:rsidR="000B4A06">
              <w:rPr>
                <w:lang w:eastAsia="en-AU"/>
              </w:rPr>
              <w:t>disqualifying offence for:</w:t>
            </w:r>
          </w:p>
          <w:p w14:paraId="448AD792" w14:textId="77777777" w:rsidR="000B4A06" w:rsidRPr="0004454C" w:rsidRDefault="000B4A06" w:rsidP="00202AB3">
            <w:pPr>
              <w:pStyle w:val="ListParagraph"/>
              <w:numPr>
                <w:ilvl w:val="0"/>
                <w:numId w:val="41"/>
              </w:numPr>
              <w:rPr>
                <w:lang w:eastAsia="en-AU"/>
              </w:rPr>
            </w:pPr>
            <w:r w:rsidRPr="0004454C">
              <w:rPr>
                <w:lang w:eastAsia="en-AU"/>
              </w:rPr>
              <w:t>close associates</w:t>
            </w:r>
          </w:p>
          <w:p w14:paraId="1D7CCC84" w14:textId="77777777" w:rsidR="000B4A06" w:rsidRPr="0004454C" w:rsidRDefault="000B4A06" w:rsidP="00202AB3">
            <w:pPr>
              <w:pStyle w:val="ListParagraph"/>
              <w:numPr>
                <w:ilvl w:val="0"/>
                <w:numId w:val="41"/>
              </w:numPr>
              <w:rPr>
                <w:lang w:eastAsia="en-AU"/>
              </w:rPr>
            </w:pPr>
            <w:r w:rsidRPr="0004454C">
              <w:rPr>
                <w:lang w:eastAsia="en-AU"/>
              </w:rPr>
              <w:t xml:space="preserve">nominated person of the body corporate </w:t>
            </w:r>
          </w:p>
          <w:p w14:paraId="3FE9A6E0" w14:textId="629CB1AC" w:rsidR="000B4A06" w:rsidRPr="00E06E5D" w:rsidRDefault="000B4A06" w:rsidP="00202AB3">
            <w:pPr>
              <w:pStyle w:val="ListParagraph"/>
              <w:numPr>
                <w:ilvl w:val="0"/>
                <w:numId w:val="41"/>
              </w:numPr>
              <w:rPr>
                <w:lang w:eastAsia="en-AU"/>
              </w:rPr>
            </w:pPr>
            <w:r w:rsidRPr="00E06E5D">
              <w:rPr>
                <w:lang w:eastAsia="en-AU"/>
              </w:rPr>
              <w:t>any other officers of body corporate</w:t>
            </w:r>
          </w:p>
        </w:tc>
        <w:tc>
          <w:tcPr>
            <w:tcW w:w="868" w:type="pct"/>
          </w:tcPr>
          <w:p w14:paraId="01B3B76B" w14:textId="1D8E7009" w:rsidR="000B4A06" w:rsidRDefault="000B4A06" w:rsidP="00612E82">
            <w:pPr>
              <w:pStyle w:val="ListParagraph"/>
              <w:ind w:left="417"/>
              <w:jc w:val="center"/>
              <w:rPr>
                <w:lang w:eastAsia="en-AU"/>
              </w:rPr>
            </w:pPr>
            <w:r w:rsidRPr="00E42BC2">
              <w:rPr>
                <w:rFonts w:ascii="Wingdings" w:eastAsia="Wingdings" w:hAnsi="Wingdings" w:cs="Wingdings"/>
                <w:sz w:val="20"/>
                <w:szCs w:val="20"/>
              </w:rPr>
              <w:t>û</w:t>
            </w:r>
          </w:p>
        </w:tc>
        <w:tc>
          <w:tcPr>
            <w:tcW w:w="704" w:type="pct"/>
          </w:tcPr>
          <w:p w14:paraId="669047C1" w14:textId="7C6CD060" w:rsidR="000B4A06" w:rsidRDefault="000B4A06" w:rsidP="00612E82">
            <w:pPr>
              <w:pStyle w:val="ListParagraph"/>
              <w:ind w:left="417"/>
              <w:jc w:val="center"/>
              <w:rPr>
                <w:lang w:eastAsia="en-AU"/>
              </w:rPr>
            </w:pPr>
            <w:r w:rsidRPr="00E42BC2">
              <w:rPr>
                <w:rFonts w:ascii="Wingdings" w:eastAsia="Wingdings" w:hAnsi="Wingdings" w:cs="Wingdings"/>
                <w:sz w:val="20"/>
                <w:szCs w:val="20"/>
              </w:rPr>
              <w:t>û</w:t>
            </w:r>
          </w:p>
        </w:tc>
        <w:tc>
          <w:tcPr>
            <w:tcW w:w="1057" w:type="pct"/>
          </w:tcPr>
          <w:p w14:paraId="481DA6AF" w14:textId="7582DB2C" w:rsidR="000B4A06" w:rsidRPr="0071525F" w:rsidRDefault="000B4A06" w:rsidP="00612E82">
            <w:pPr>
              <w:pStyle w:val="ListParagraph"/>
              <w:ind w:left="417"/>
              <w:jc w:val="center"/>
              <w:rPr>
                <w:lang w:eastAsia="en-AU"/>
              </w:rPr>
            </w:pPr>
            <w:r w:rsidRPr="00E42BC2">
              <w:rPr>
                <w:rFonts w:ascii="Wingdings" w:eastAsia="Wingdings" w:hAnsi="Wingdings" w:cs="Wingdings"/>
                <w:sz w:val="20"/>
                <w:szCs w:val="20"/>
              </w:rPr>
              <w:t>û</w:t>
            </w:r>
          </w:p>
        </w:tc>
        <w:tc>
          <w:tcPr>
            <w:tcW w:w="662" w:type="pct"/>
          </w:tcPr>
          <w:p w14:paraId="349063D0" w14:textId="0317B589" w:rsidR="000B4A06" w:rsidRDefault="000B4A06" w:rsidP="00612E82">
            <w:pPr>
              <w:pStyle w:val="ListParagraph"/>
              <w:ind w:left="417"/>
              <w:jc w:val="center"/>
              <w:rPr>
                <w:lang w:eastAsia="en-AU"/>
              </w:rPr>
            </w:pPr>
            <w:r>
              <w:rPr>
                <w:rFonts w:ascii="Wingdings" w:eastAsia="Wingdings" w:hAnsi="Wingdings" w:cs="Wingdings"/>
                <w:szCs w:val="17"/>
              </w:rPr>
              <w:t>ü</w:t>
            </w:r>
          </w:p>
        </w:tc>
      </w:tr>
      <w:tr w:rsidR="00415BB9" w:rsidRPr="00F07D02" w14:paraId="6985DE69" w14:textId="5E73BD77" w:rsidTr="002F4C73">
        <w:tc>
          <w:tcPr>
            <w:tcW w:w="1709" w:type="pct"/>
          </w:tcPr>
          <w:p w14:paraId="5053AEB6" w14:textId="4006CEDA" w:rsidR="00415BB9" w:rsidRPr="00344352" w:rsidRDefault="00415BB9" w:rsidP="00415BB9">
            <w:pPr>
              <w:jc w:val="both"/>
              <w:rPr>
                <w:lang w:eastAsia="en-AU"/>
              </w:rPr>
            </w:pPr>
            <w:r>
              <w:rPr>
                <w:lang w:eastAsia="en-AU"/>
              </w:rPr>
              <w:t>Two written references from a prescribed person*</w:t>
            </w:r>
          </w:p>
        </w:tc>
        <w:tc>
          <w:tcPr>
            <w:tcW w:w="868" w:type="pct"/>
          </w:tcPr>
          <w:p w14:paraId="35625D60" w14:textId="19277D0F" w:rsidR="00415BB9" w:rsidRPr="0071525F" w:rsidRDefault="00415BB9" w:rsidP="00415BB9">
            <w:pPr>
              <w:pStyle w:val="ListParagraph"/>
              <w:ind w:left="417"/>
              <w:jc w:val="center"/>
              <w:rPr>
                <w:lang w:eastAsia="en-AU"/>
              </w:rPr>
            </w:pPr>
            <w:r w:rsidRPr="003472EB">
              <w:rPr>
                <w:rFonts w:ascii="Wingdings" w:eastAsia="Wingdings" w:hAnsi="Wingdings" w:cs="Wingdings"/>
                <w:sz w:val="20"/>
                <w:szCs w:val="20"/>
              </w:rPr>
              <w:t>û</w:t>
            </w:r>
          </w:p>
        </w:tc>
        <w:tc>
          <w:tcPr>
            <w:tcW w:w="704" w:type="pct"/>
          </w:tcPr>
          <w:p w14:paraId="53E2C768" w14:textId="1AF57195" w:rsidR="00415BB9" w:rsidRDefault="00415BB9" w:rsidP="00415BB9">
            <w:pPr>
              <w:pStyle w:val="ListParagraph"/>
              <w:ind w:left="417"/>
              <w:jc w:val="center"/>
              <w:rPr>
                <w:lang w:eastAsia="en-AU"/>
              </w:rPr>
            </w:pPr>
            <w:r w:rsidRPr="003472EB">
              <w:rPr>
                <w:rFonts w:ascii="Wingdings" w:eastAsia="Wingdings" w:hAnsi="Wingdings" w:cs="Wingdings"/>
                <w:sz w:val="20"/>
                <w:szCs w:val="20"/>
              </w:rPr>
              <w:t>û</w:t>
            </w:r>
          </w:p>
        </w:tc>
        <w:tc>
          <w:tcPr>
            <w:tcW w:w="1057" w:type="pct"/>
          </w:tcPr>
          <w:p w14:paraId="19A4FCE0" w14:textId="057D56D9" w:rsidR="00415BB9" w:rsidRPr="0071525F" w:rsidRDefault="00415BB9" w:rsidP="00415BB9">
            <w:pPr>
              <w:pStyle w:val="ListParagraph"/>
              <w:ind w:left="417"/>
              <w:jc w:val="center"/>
              <w:rPr>
                <w:lang w:eastAsia="en-AU"/>
              </w:rPr>
            </w:pPr>
            <w:r w:rsidRPr="003472EB">
              <w:rPr>
                <w:rFonts w:ascii="Wingdings" w:eastAsia="Wingdings" w:hAnsi="Wingdings" w:cs="Wingdings"/>
                <w:sz w:val="20"/>
                <w:szCs w:val="20"/>
              </w:rPr>
              <w:t>û</w:t>
            </w:r>
          </w:p>
        </w:tc>
        <w:tc>
          <w:tcPr>
            <w:tcW w:w="662" w:type="pct"/>
          </w:tcPr>
          <w:p w14:paraId="19386A0E" w14:textId="34796740" w:rsidR="00415BB9" w:rsidRDefault="00415BB9" w:rsidP="00415BB9">
            <w:pPr>
              <w:pStyle w:val="ListParagraph"/>
              <w:ind w:left="417"/>
              <w:jc w:val="center"/>
              <w:rPr>
                <w:lang w:eastAsia="en-AU"/>
              </w:rPr>
            </w:pPr>
            <w:r w:rsidRPr="003472EB">
              <w:rPr>
                <w:rFonts w:ascii="Wingdings" w:eastAsia="Wingdings" w:hAnsi="Wingdings" w:cs="Wingdings"/>
                <w:sz w:val="20"/>
                <w:szCs w:val="20"/>
              </w:rPr>
              <w:t>û</w:t>
            </w:r>
          </w:p>
        </w:tc>
      </w:tr>
      <w:tr w:rsidR="00802276" w:rsidRPr="00F07D02" w14:paraId="4593CC76" w14:textId="5F76349D" w:rsidTr="002F4C73">
        <w:tc>
          <w:tcPr>
            <w:tcW w:w="1709" w:type="pct"/>
          </w:tcPr>
          <w:p w14:paraId="54BB736B" w14:textId="1072A307" w:rsidR="00802276" w:rsidRDefault="00802276" w:rsidP="00802276">
            <w:pPr>
              <w:jc w:val="both"/>
              <w:rPr>
                <w:lang w:eastAsia="en-AU"/>
              </w:rPr>
            </w:pPr>
            <w:r>
              <w:rPr>
                <w:lang w:eastAsia="en-AU"/>
              </w:rPr>
              <w:t>Name, business, residential, and postal address, proof of identity, full set of fingerprints and two written references</w:t>
            </w:r>
            <w:r w:rsidR="00612935">
              <w:rPr>
                <w:lang w:eastAsia="en-AU"/>
              </w:rPr>
              <w:t>*</w:t>
            </w:r>
            <w:r>
              <w:rPr>
                <w:lang w:eastAsia="en-AU"/>
              </w:rPr>
              <w:t xml:space="preserve"> for: </w:t>
            </w:r>
          </w:p>
          <w:p w14:paraId="773DB1AA" w14:textId="72B2A86E" w:rsidR="00802276" w:rsidRPr="0004454C" w:rsidRDefault="00802276" w:rsidP="00202AB3">
            <w:pPr>
              <w:pStyle w:val="ListParagraph"/>
              <w:numPr>
                <w:ilvl w:val="0"/>
                <w:numId w:val="40"/>
              </w:numPr>
              <w:rPr>
                <w:lang w:eastAsia="en-AU"/>
              </w:rPr>
            </w:pPr>
            <w:r w:rsidRPr="0004454C">
              <w:rPr>
                <w:lang w:eastAsia="en-AU"/>
              </w:rPr>
              <w:t>close associates</w:t>
            </w:r>
          </w:p>
          <w:p w14:paraId="1DBAD9D3" w14:textId="77777777" w:rsidR="00802276" w:rsidRPr="0004454C" w:rsidRDefault="00802276" w:rsidP="00202AB3">
            <w:pPr>
              <w:pStyle w:val="ListParagraph"/>
              <w:numPr>
                <w:ilvl w:val="0"/>
                <w:numId w:val="40"/>
              </w:numPr>
              <w:rPr>
                <w:lang w:eastAsia="en-AU"/>
              </w:rPr>
            </w:pPr>
            <w:r w:rsidRPr="0004454C">
              <w:rPr>
                <w:lang w:eastAsia="en-AU"/>
              </w:rPr>
              <w:t xml:space="preserve">nominated person of the body corporate </w:t>
            </w:r>
          </w:p>
          <w:p w14:paraId="4FB25575" w14:textId="6BEEA6DF" w:rsidR="00802276" w:rsidRPr="0004454C" w:rsidRDefault="00802276" w:rsidP="00202AB3">
            <w:pPr>
              <w:pStyle w:val="ListParagraph"/>
              <w:numPr>
                <w:ilvl w:val="0"/>
                <w:numId w:val="40"/>
              </w:numPr>
              <w:rPr>
                <w:lang w:eastAsia="en-AU"/>
              </w:rPr>
            </w:pPr>
            <w:r w:rsidRPr="0004454C">
              <w:rPr>
                <w:lang w:eastAsia="en-AU"/>
              </w:rPr>
              <w:t>any other officers of body corporate</w:t>
            </w:r>
          </w:p>
        </w:tc>
        <w:tc>
          <w:tcPr>
            <w:tcW w:w="868" w:type="pct"/>
          </w:tcPr>
          <w:p w14:paraId="07855840" w14:textId="4C809DF0" w:rsidR="00802276" w:rsidRDefault="00802276" w:rsidP="00612E82">
            <w:pPr>
              <w:pStyle w:val="ListParagraph"/>
              <w:ind w:left="417"/>
              <w:jc w:val="center"/>
              <w:rPr>
                <w:lang w:eastAsia="en-AU"/>
              </w:rPr>
            </w:pPr>
            <w:r w:rsidRPr="00995C83">
              <w:rPr>
                <w:rFonts w:ascii="Wingdings" w:eastAsia="Wingdings" w:hAnsi="Wingdings" w:cs="Wingdings"/>
                <w:sz w:val="20"/>
                <w:szCs w:val="20"/>
              </w:rPr>
              <w:t>û</w:t>
            </w:r>
          </w:p>
        </w:tc>
        <w:tc>
          <w:tcPr>
            <w:tcW w:w="704" w:type="pct"/>
          </w:tcPr>
          <w:p w14:paraId="058346E2" w14:textId="74FB06FF" w:rsidR="00802276" w:rsidRDefault="00802276" w:rsidP="00612E82">
            <w:pPr>
              <w:pStyle w:val="ListParagraph"/>
              <w:ind w:left="417"/>
              <w:jc w:val="center"/>
              <w:rPr>
                <w:lang w:eastAsia="en-AU"/>
              </w:rPr>
            </w:pPr>
            <w:r>
              <w:rPr>
                <w:rFonts w:ascii="Wingdings" w:eastAsia="Wingdings" w:hAnsi="Wingdings" w:cs="Wingdings"/>
                <w:szCs w:val="17"/>
              </w:rPr>
              <w:t>ü</w:t>
            </w:r>
          </w:p>
        </w:tc>
        <w:tc>
          <w:tcPr>
            <w:tcW w:w="1057" w:type="pct"/>
          </w:tcPr>
          <w:p w14:paraId="21975490" w14:textId="21F3C227" w:rsidR="00802276" w:rsidRDefault="00802276" w:rsidP="00612E82">
            <w:pPr>
              <w:pStyle w:val="ListParagraph"/>
              <w:ind w:left="417"/>
              <w:jc w:val="center"/>
              <w:rPr>
                <w:lang w:eastAsia="en-AU"/>
              </w:rPr>
            </w:pPr>
            <w:r w:rsidRPr="00975D05">
              <w:rPr>
                <w:rFonts w:ascii="Wingdings" w:eastAsia="Wingdings" w:hAnsi="Wingdings" w:cs="Wingdings"/>
                <w:sz w:val="20"/>
                <w:szCs w:val="20"/>
              </w:rPr>
              <w:t>û</w:t>
            </w:r>
          </w:p>
        </w:tc>
        <w:tc>
          <w:tcPr>
            <w:tcW w:w="662" w:type="pct"/>
          </w:tcPr>
          <w:p w14:paraId="54CD5BF3" w14:textId="26BC25F2" w:rsidR="00802276" w:rsidRDefault="00802276" w:rsidP="00612E82">
            <w:pPr>
              <w:pStyle w:val="ListParagraph"/>
              <w:ind w:left="417"/>
              <w:jc w:val="center"/>
              <w:rPr>
                <w:lang w:eastAsia="en-AU"/>
              </w:rPr>
            </w:pPr>
            <w:r w:rsidRPr="00975D05">
              <w:rPr>
                <w:rFonts w:ascii="Wingdings" w:eastAsia="Wingdings" w:hAnsi="Wingdings" w:cs="Wingdings"/>
                <w:sz w:val="20"/>
                <w:szCs w:val="20"/>
              </w:rPr>
              <w:t>û</w:t>
            </w:r>
          </w:p>
        </w:tc>
      </w:tr>
      <w:tr w:rsidR="00802276" w:rsidRPr="00F07D02" w14:paraId="2D988844" w14:textId="77777777" w:rsidTr="002F4C73">
        <w:tc>
          <w:tcPr>
            <w:tcW w:w="1709" w:type="pct"/>
          </w:tcPr>
          <w:p w14:paraId="7BD69F70" w14:textId="5FCDB10F" w:rsidR="00802276" w:rsidRDefault="00802276" w:rsidP="00802276">
            <w:pPr>
              <w:jc w:val="both"/>
              <w:rPr>
                <w:lang w:eastAsia="en-AU"/>
              </w:rPr>
            </w:pPr>
            <w:r>
              <w:rPr>
                <w:lang w:eastAsia="en-AU"/>
              </w:rPr>
              <w:t xml:space="preserve">Certificate of currency for public liability insurance </w:t>
            </w:r>
          </w:p>
        </w:tc>
        <w:tc>
          <w:tcPr>
            <w:tcW w:w="868" w:type="pct"/>
          </w:tcPr>
          <w:p w14:paraId="73AF8DFC" w14:textId="7D37D321" w:rsidR="00802276" w:rsidRDefault="00802276" w:rsidP="00612E82">
            <w:pPr>
              <w:pStyle w:val="ListParagraph"/>
              <w:ind w:left="417"/>
              <w:jc w:val="center"/>
              <w:rPr>
                <w:lang w:eastAsia="en-AU"/>
              </w:rPr>
            </w:pPr>
            <w:r w:rsidRPr="00995C83">
              <w:rPr>
                <w:rFonts w:ascii="Wingdings" w:eastAsia="Wingdings" w:hAnsi="Wingdings" w:cs="Wingdings"/>
                <w:sz w:val="20"/>
                <w:szCs w:val="20"/>
              </w:rPr>
              <w:t>û</w:t>
            </w:r>
          </w:p>
        </w:tc>
        <w:tc>
          <w:tcPr>
            <w:tcW w:w="704" w:type="pct"/>
          </w:tcPr>
          <w:p w14:paraId="30E6F7F4" w14:textId="5D4825C9" w:rsidR="00802276" w:rsidRDefault="00802276" w:rsidP="00612E82">
            <w:pPr>
              <w:pStyle w:val="ListParagraph"/>
              <w:ind w:left="417"/>
              <w:jc w:val="center"/>
              <w:rPr>
                <w:lang w:eastAsia="en-AU"/>
              </w:rPr>
            </w:pPr>
            <w:r w:rsidRPr="007D1624">
              <w:rPr>
                <w:rFonts w:ascii="Wingdings" w:eastAsia="Wingdings" w:hAnsi="Wingdings" w:cs="Wingdings"/>
                <w:szCs w:val="17"/>
              </w:rPr>
              <w:t>ü</w:t>
            </w:r>
          </w:p>
        </w:tc>
        <w:tc>
          <w:tcPr>
            <w:tcW w:w="1057" w:type="pct"/>
          </w:tcPr>
          <w:p w14:paraId="27C32BC7" w14:textId="1F6C13BC" w:rsidR="00802276" w:rsidRPr="00880FB2" w:rsidRDefault="00802276" w:rsidP="00612E82">
            <w:pPr>
              <w:pStyle w:val="ListParagraph"/>
              <w:ind w:left="417"/>
              <w:jc w:val="center"/>
              <w:rPr>
                <w:lang w:eastAsia="en-AU"/>
              </w:rPr>
            </w:pPr>
            <w:r w:rsidRPr="00975D05">
              <w:rPr>
                <w:rFonts w:ascii="Wingdings" w:eastAsia="Wingdings" w:hAnsi="Wingdings" w:cs="Wingdings"/>
                <w:sz w:val="20"/>
                <w:szCs w:val="20"/>
              </w:rPr>
              <w:t>û</w:t>
            </w:r>
          </w:p>
        </w:tc>
        <w:tc>
          <w:tcPr>
            <w:tcW w:w="662" w:type="pct"/>
          </w:tcPr>
          <w:p w14:paraId="0573267F" w14:textId="1B0876C7" w:rsidR="00802276" w:rsidRDefault="00802276" w:rsidP="00612E82">
            <w:pPr>
              <w:pStyle w:val="ListParagraph"/>
              <w:ind w:left="417"/>
              <w:jc w:val="center"/>
              <w:rPr>
                <w:lang w:eastAsia="en-AU"/>
              </w:rPr>
            </w:pPr>
            <w:r w:rsidRPr="00975D05">
              <w:rPr>
                <w:rFonts w:ascii="Wingdings" w:eastAsia="Wingdings" w:hAnsi="Wingdings" w:cs="Wingdings"/>
                <w:sz w:val="20"/>
                <w:szCs w:val="20"/>
              </w:rPr>
              <w:t>û</w:t>
            </w:r>
          </w:p>
        </w:tc>
      </w:tr>
      <w:tr w:rsidR="00802276" w:rsidRPr="00F07D02" w14:paraId="21E40EB6" w14:textId="77777777" w:rsidTr="002F4C73">
        <w:tc>
          <w:tcPr>
            <w:tcW w:w="1709" w:type="pct"/>
          </w:tcPr>
          <w:p w14:paraId="64B559E5" w14:textId="3C638331" w:rsidR="00802276" w:rsidRDefault="00802276" w:rsidP="00802276">
            <w:pPr>
              <w:jc w:val="both"/>
              <w:rPr>
                <w:lang w:eastAsia="en-AU"/>
              </w:rPr>
            </w:pPr>
            <w:r>
              <w:rPr>
                <w:lang w:eastAsia="en-AU"/>
              </w:rPr>
              <w:t xml:space="preserve">Evidence of compliance with existing statutory workplace obligations and financial viability of the business </w:t>
            </w:r>
          </w:p>
        </w:tc>
        <w:tc>
          <w:tcPr>
            <w:tcW w:w="868" w:type="pct"/>
          </w:tcPr>
          <w:p w14:paraId="1C469C5B" w14:textId="61AB9C1C" w:rsidR="00802276" w:rsidRDefault="00802276" w:rsidP="00612E82">
            <w:pPr>
              <w:pStyle w:val="ListParagraph"/>
              <w:ind w:left="417"/>
              <w:jc w:val="center"/>
              <w:rPr>
                <w:lang w:eastAsia="en-AU"/>
              </w:rPr>
            </w:pPr>
            <w:r w:rsidRPr="00995C83">
              <w:rPr>
                <w:rFonts w:ascii="Wingdings" w:eastAsia="Wingdings" w:hAnsi="Wingdings" w:cs="Wingdings"/>
                <w:sz w:val="20"/>
                <w:szCs w:val="20"/>
              </w:rPr>
              <w:t>û</w:t>
            </w:r>
          </w:p>
        </w:tc>
        <w:tc>
          <w:tcPr>
            <w:tcW w:w="704" w:type="pct"/>
          </w:tcPr>
          <w:p w14:paraId="5BE913B1" w14:textId="7B58777F" w:rsidR="00802276" w:rsidRDefault="00802276" w:rsidP="00612E82">
            <w:pPr>
              <w:pStyle w:val="ListParagraph"/>
              <w:ind w:left="417"/>
              <w:jc w:val="center"/>
              <w:rPr>
                <w:lang w:eastAsia="en-AU"/>
              </w:rPr>
            </w:pPr>
            <w:r w:rsidRPr="007D1624">
              <w:rPr>
                <w:rFonts w:ascii="Wingdings" w:eastAsia="Wingdings" w:hAnsi="Wingdings" w:cs="Wingdings"/>
                <w:szCs w:val="17"/>
              </w:rPr>
              <w:t>ü</w:t>
            </w:r>
          </w:p>
        </w:tc>
        <w:tc>
          <w:tcPr>
            <w:tcW w:w="1057" w:type="pct"/>
          </w:tcPr>
          <w:p w14:paraId="17A555D4" w14:textId="103DC44E" w:rsidR="00802276" w:rsidRPr="00880FB2" w:rsidRDefault="00802276" w:rsidP="00612E82">
            <w:pPr>
              <w:pStyle w:val="ListParagraph"/>
              <w:ind w:left="417"/>
              <w:jc w:val="center"/>
              <w:rPr>
                <w:lang w:eastAsia="en-AU"/>
              </w:rPr>
            </w:pPr>
            <w:r w:rsidRPr="00975D05">
              <w:rPr>
                <w:rFonts w:ascii="Wingdings" w:eastAsia="Wingdings" w:hAnsi="Wingdings" w:cs="Wingdings"/>
                <w:sz w:val="20"/>
                <w:szCs w:val="20"/>
              </w:rPr>
              <w:t>û</w:t>
            </w:r>
          </w:p>
        </w:tc>
        <w:tc>
          <w:tcPr>
            <w:tcW w:w="662" w:type="pct"/>
          </w:tcPr>
          <w:p w14:paraId="3CDA6867" w14:textId="2EC17D2C" w:rsidR="00802276" w:rsidRDefault="00802276" w:rsidP="00612E82">
            <w:pPr>
              <w:pStyle w:val="ListParagraph"/>
              <w:ind w:left="417"/>
              <w:jc w:val="center"/>
              <w:rPr>
                <w:lang w:eastAsia="en-AU"/>
              </w:rPr>
            </w:pPr>
            <w:r w:rsidRPr="00975D05">
              <w:rPr>
                <w:rFonts w:ascii="Wingdings" w:eastAsia="Wingdings" w:hAnsi="Wingdings" w:cs="Wingdings"/>
                <w:sz w:val="20"/>
                <w:szCs w:val="20"/>
              </w:rPr>
              <w:t>û</w:t>
            </w:r>
          </w:p>
        </w:tc>
      </w:tr>
      <w:tr w:rsidR="00802276" w:rsidRPr="00F07D02" w14:paraId="70EF7968" w14:textId="77777777" w:rsidTr="002F4C73">
        <w:tc>
          <w:tcPr>
            <w:tcW w:w="1709" w:type="pct"/>
          </w:tcPr>
          <w:p w14:paraId="13B15CAE" w14:textId="310A0BB4" w:rsidR="00802276" w:rsidRDefault="00802276" w:rsidP="00802276">
            <w:pPr>
              <w:jc w:val="both"/>
              <w:rPr>
                <w:lang w:eastAsia="en-AU"/>
              </w:rPr>
            </w:pPr>
            <w:r>
              <w:rPr>
                <w:lang w:eastAsia="en-AU"/>
              </w:rPr>
              <w:t>Details of bankruptcy or insolvency</w:t>
            </w:r>
          </w:p>
        </w:tc>
        <w:tc>
          <w:tcPr>
            <w:tcW w:w="868" w:type="pct"/>
          </w:tcPr>
          <w:p w14:paraId="163D4516" w14:textId="0F90D995" w:rsidR="00802276" w:rsidRDefault="00802276" w:rsidP="00612E82">
            <w:pPr>
              <w:pStyle w:val="ListParagraph"/>
              <w:ind w:left="417"/>
              <w:jc w:val="center"/>
              <w:rPr>
                <w:lang w:eastAsia="en-AU"/>
              </w:rPr>
            </w:pPr>
            <w:r w:rsidRPr="00995C83">
              <w:rPr>
                <w:rFonts w:ascii="Wingdings" w:eastAsia="Wingdings" w:hAnsi="Wingdings" w:cs="Wingdings"/>
                <w:sz w:val="20"/>
                <w:szCs w:val="20"/>
              </w:rPr>
              <w:t>û</w:t>
            </w:r>
          </w:p>
        </w:tc>
        <w:tc>
          <w:tcPr>
            <w:tcW w:w="704" w:type="pct"/>
          </w:tcPr>
          <w:p w14:paraId="47900BDC" w14:textId="298AA35A" w:rsidR="00802276" w:rsidRDefault="00802276" w:rsidP="00612E82">
            <w:pPr>
              <w:pStyle w:val="ListParagraph"/>
              <w:ind w:left="417"/>
              <w:jc w:val="center"/>
              <w:rPr>
                <w:lang w:eastAsia="en-AU"/>
              </w:rPr>
            </w:pPr>
            <w:r w:rsidRPr="007D1624">
              <w:rPr>
                <w:rFonts w:ascii="Wingdings" w:eastAsia="Wingdings" w:hAnsi="Wingdings" w:cs="Wingdings"/>
                <w:szCs w:val="17"/>
              </w:rPr>
              <w:t>ü</w:t>
            </w:r>
          </w:p>
        </w:tc>
        <w:tc>
          <w:tcPr>
            <w:tcW w:w="1057" w:type="pct"/>
          </w:tcPr>
          <w:p w14:paraId="7C23D537" w14:textId="2CA08FDF" w:rsidR="00802276" w:rsidRPr="00880FB2" w:rsidRDefault="00802276" w:rsidP="00612E82">
            <w:pPr>
              <w:pStyle w:val="ListParagraph"/>
              <w:ind w:left="417"/>
              <w:jc w:val="center"/>
              <w:rPr>
                <w:lang w:eastAsia="en-AU"/>
              </w:rPr>
            </w:pPr>
            <w:r w:rsidRPr="00975D05">
              <w:rPr>
                <w:rFonts w:ascii="Wingdings" w:eastAsia="Wingdings" w:hAnsi="Wingdings" w:cs="Wingdings"/>
                <w:sz w:val="20"/>
                <w:szCs w:val="20"/>
              </w:rPr>
              <w:t>û</w:t>
            </w:r>
          </w:p>
        </w:tc>
        <w:tc>
          <w:tcPr>
            <w:tcW w:w="662" w:type="pct"/>
          </w:tcPr>
          <w:p w14:paraId="05B7A2DC" w14:textId="4FEBC265" w:rsidR="00802276" w:rsidRDefault="00802276" w:rsidP="00612E82">
            <w:pPr>
              <w:pStyle w:val="ListParagraph"/>
              <w:ind w:left="417"/>
              <w:jc w:val="center"/>
              <w:rPr>
                <w:lang w:eastAsia="en-AU"/>
              </w:rPr>
            </w:pPr>
            <w:r w:rsidRPr="00975D05">
              <w:rPr>
                <w:rFonts w:ascii="Wingdings" w:eastAsia="Wingdings" w:hAnsi="Wingdings" w:cs="Wingdings"/>
                <w:sz w:val="20"/>
                <w:szCs w:val="20"/>
              </w:rPr>
              <w:t>û</w:t>
            </w:r>
          </w:p>
        </w:tc>
      </w:tr>
      <w:tr w:rsidR="000B4A06" w:rsidRPr="00F07D02" w14:paraId="11CD7D6C" w14:textId="77777777" w:rsidTr="00AB584E">
        <w:tc>
          <w:tcPr>
            <w:tcW w:w="5000" w:type="pct"/>
            <w:gridSpan w:val="5"/>
            <w:shd w:val="clear" w:color="auto" w:fill="DFF0F9" w:themeFill="accent3" w:themeFillTint="33"/>
          </w:tcPr>
          <w:p w14:paraId="3E530401" w14:textId="55131F65" w:rsidR="000B4A06" w:rsidRPr="00AB584E" w:rsidRDefault="000B4A06" w:rsidP="000B4A06">
            <w:pPr>
              <w:ind w:left="0"/>
              <w:rPr>
                <w:b/>
                <w:bCs/>
              </w:rPr>
            </w:pPr>
            <w:r w:rsidRPr="00AB584E">
              <w:rPr>
                <w:b/>
                <w:bCs/>
              </w:rPr>
              <w:lastRenderedPageBreak/>
              <w:t xml:space="preserve">Competency requirements </w:t>
            </w:r>
          </w:p>
        </w:tc>
      </w:tr>
      <w:tr w:rsidR="000B4A06" w:rsidRPr="00F07D02" w14:paraId="72857FE5" w14:textId="45E9BFD7" w:rsidTr="002F4C73">
        <w:tc>
          <w:tcPr>
            <w:tcW w:w="1709" w:type="pct"/>
          </w:tcPr>
          <w:p w14:paraId="26C93A41" w14:textId="61B3E5E2" w:rsidR="000B4A06" w:rsidRDefault="000B4A06" w:rsidP="000B4A06">
            <w:pPr>
              <w:jc w:val="both"/>
              <w:rPr>
                <w:lang w:eastAsia="en-AU"/>
              </w:rPr>
            </w:pPr>
            <w:r>
              <w:rPr>
                <w:lang w:eastAsia="en-AU"/>
              </w:rPr>
              <w:t xml:space="preserve">Successful completion of approved training requirements, or relevant experience or knowledge </w:t>
            </w:r>
          </w:p>
        </w:tc>
        <w:tc>
          <w:tcPr>
            <w:tcW w:w="868" w:type="pct"/>
          </w:tcPr>
          <w:p w14:paraId="150F4A04" w14:textId="25074A1A" w:rsidR="000B4A06" w:rsidRDefault="000B4A06" w:rsidP="00612E82">
            <w:pPr>
              <w:pStyle w:val="ListParagraph"/>
              <w:ind w:left="417"/>
              <w:jc w:val="center"/>
              <w:rPr>
                <w:lang w:eastAsia="en-AU"/>
              </w:rPr>
            </w:pPr>
            <w:r w:rsidRPr="006776D2">
              <w:rPr>
                <w:rFonts w:ascii="Wingdings" w:eastAsia="Wingdings" w:hAnsi="Wingdings" w:cs="Wingdings"/>
                <w:szCs w:val="17"/>
              </w:rPr>
              <w:t>ü</w:t>
            </w:r>
          </w:p>
        </w:tc>
        <w:tc>
          <w:tcPr>
            <w:tcW w:w="704" w:type="pct"/>
          </w:tcPr>
          <w:p w14:paraId="34C13A66" w14:textId="164CC5EB" w:rsidR="000B4A06" w:rsidRDefault="000B4A06" w:rsidP="00612E82">
            <w:pPr>
              <w:pStyle w:val="ListParagraph"/>
              <w:ind w:left="417"/>
              <w:jc w:val="center"/>
              <w:rPr>
                <w:lang w:eastAsia="en-AU"/>
              </w:rPr>
            </w:pPr>
            <w:r w:rsidRPr="006776D2">
              <w:rPr>
                <w:rFonts w:ascii="Wingdings" w:eastAsia="Wingdings" w:hAnsi="Wingdings" w:cs="Wingdings"/>
                <w:szCs w:val="17"/>
              </w:rPr>
              <w:t>ü</w:t>
            </w:r>
          </w:p>
        </w:tc>
        <w:tc>
          <w:tcPr>
            <w:tcW w:w="1057" w:type="pct"/>
          </w:tcPr>
          <w:p w14:paraId="0697397F" w14:textId="0BC81CC1" w:rsidR="000B4A06" w:rsidRPr="00880FB2" w:rsidRDefault="000B4A06" w:rsidP="00612E82">
            <w:pPr>
              <w:pStyle w:val="ListParagraph"/>
              <w:ind w:left="417"/>
              <w:jc w:val="center"/>
              <w:rPr>
                <w:lang w:eastAsia="en-AU"/>
              </w:rPr>
            </w:pPr>
            <w:r>
              <w:t>Provision of certified evidence</w:t>
            </w:r>
          </w:p>
        </w:tc>
        <w:tc>
          <w:tcPr>
            <w:tcW w:w="662" w:type="pct"/>
          </w:tcPr>
          <w:p w14:paraId="337162D0" w14:textId="1703D63B" w:rsidR="000B4A06" w:rsidRDefault="000B4A06" w:rsidP="002F4C73">
            <w:pPr>
              <w:pStyle w:val="ListParagraph"/>
              <w:ind w:left="0"/>
              <w:jc w:val="center"/>
              <w:rPr>
                <w:lang w:eastAsia="en-AU"/>
              </w:rPr>
            </w:pPr>
            <w:r>
              <w:t>Provision of certified evidence</w:t>
            </w:r>
          </w:p>
        </w:tc>
      </w:tr>
      <w:tr w:rsidR="00013DBE" w:rsidRPr="00F07D02" w14:paraId="41E54BA3" w14:textId="77777777" w:rsidTr="002F4C73">
        <w:tc>
          <w:tcPr>
            <w:tcW w:w="1709" w:type="pct"/>
          </w:tcPr>
          <w:p w14:paraId="2D97FC50" w14:textId="4E8CD4D4" w:rsidR="00013DBE" w:rsidRDefault="00013DBE" w:rsidP="000B4A06">
            <w:pPr>
              <w:jc w:val="both"/>
              <w:rPr>
                <w:lang w:eastAsia="en-AU"/>
              </w:rPr>
            </w:pPr>
            <w:r>
              <w:rPr>
                <w:lang w:eastAsia="en-AU"/>
              </w:rPr>
              <w:t>Evidence of refresher training where required by the Chief Commissioner</w:t>
            </w:r>
          </w:p>
        </w:tc>
        <w:tc>
          <w:tcPr>
            <w:tcW w:w="868" w:type="pct"/>
          </w:tcPr>
          <w:p w14:paraId="3AB7642D" w14:textId="5EFF8AB0" w:rsidR="00013DBE" w:rsidRPr="006776D2" w:rsidRDefault="00013DBE" w:rsidP="00612E82">
            <w:pPr>
              <w:pStyle w:val="ListParagraph"/>
              <w:ind w:left="417"/>
              <w:jc w:val="center"/>
              <w:rPr>
                <w:rFonts w:ascii="Wingdings" w:eastAsia="Wingdings" w:hAnsi="Wingdings" w:cs="Wingdings"/>
                <w:szCs w:val="17"/>
              </w:rPr>
            </w:pPr>
            <w:r w:rsidRPr="006776D2">
              <w:rPr>
                <w:rFonts w:ascii="Wingdings" w:eastAsia="Wingdings" w:hAnsi="Wingdings" w:cs="Wingdings"/>
                <w:szCs w:val="17"/>
              </w:rPr>
              <w:t>ü</w:t>
            </w:r>
          </w:p>
        </w:tc>
        <w:tc>
          <w:tcPr>
            <w:tcW w:w="704" w:type="pct"/>
          </w:tcPr>
          <w:p w14:paraId="288AE765" w14:textId="640325B8" w:rsidR="00013DBE" w:rsidRPr="006776D2" w:rsidRDefault="00013DBE" w:rsidP="00612E82">
            <w:pPr>
              <w:pStyle w:val="ListParagraph"/>
              <w:ind w:left="417"/>
              <w:jc w:val="center"/>
              <w:rPr>
                <w:rFonts w:ascii="Wingdings" w:eastAsia="Wingdings" w:hAnsi="Wingdings" w:cs="Wingdings"/>
                <w:szCs w:val="17"/>
              </w:rPr>
            </w:pPr>
            <w:r w:rsidRPr="008C05BD">
              <w:rPr>
                <w:rFonts w:ascii="Wingdings" w:eastAsia="Wingdings" w:hAnsi="Wingdings" w:cs="Wingdings"/>
                <w:sz w:val="20"/>
                <w:szCs w:val="20"/>
              </w:rPr>
              <w:t>û</w:t>
            </w:r>
          </w:p>
        </w:tc>
        <w:tc>
          <w:tcPr>
            <w:tcW w:w="1057" w:type="pct"/>
          </w:tcPr>
          <w:p w14:paraId="73DBC762" w14:textId="61FA1FCB" w:rsidR="00013DBE" w:rsidRDefault="00013DBE" w:rsidP="00612E82">
            <w:pPr>
              <w:pStyle w:val="ListParagraph"/>
              <w:ind w:left="417"/>
              <w:jc w:val="center"/>
            </w:pPr>
            <w:r w:rsidRPr="006776D2">
              <w:rPr>
                <w:rFonts w:ascii="Wingdings" w:eastAsia="Wingdings" w:hAnsi="Wingdings" w:cs="Wingdings"/>
                <w:szCs w:val="17"/>
              </w:rPr>
              <w:t>ü</w:t>
            </w:r>
          </w:p>
        </w:tc>
        <w:tc>
          <w:tcPr>
            <w:tcW w:w="662" w:type="pct"/>
          </w:tcPr>
          <w:p w14:paraId="517CF58F" w14:textId="0F75ACEB" w:rsidR="00013DBE" w:rsidRDefault="00013DBE" w:rsidP="002F4C73">
            <w:pPr>
              <w:pStyle w:val="ListParagraph"/>
              <w:ind w:left="0"/>
              <w:jc w:val="center"/>
            </w:pPr>
            <w:r w:rsidRPr="008C05BD">
              <w:rPr>
                <w:rFonts w:ascii="Wingdings" w:eastAsia="Wingdings" w:hAnsi="Wingdings" w:cs="Wingdings"/>
                <w:sz w:val="20"/>
                <w:szCs w:val="20"/>
              </w:rPr>
              <w:t>û</w:t>
            </w:r>
          </w:p>
        </w:tc>
      </w:tr>
      <w:tr w:rsidR="000B4A06" w:rsidRPr="00F07D02" w14:paraId="6D2CCA5B" w14:textId="77777777" w:rsidTr="002F4C73">
        <w:tc>
          <w:tcPr>
            <w:tcW w:w="1709" w:type="pct"/>
          </w:tcPr>
          <w:p w14:paraId="0E319DE9" w14:textId="59A83D5B" w:rsidR="000B4A06" w:rsidRDefault="000B4A06" w:rsidP="000B4A06">
            <w:pPr>
              <w:jc w:val="both"/>
              <w:rPr>
                <w:lang w:eastAsia="en-AU"/>
              </w:rPr>
            </w:pPr>
            <w:r>
              <w:rPr>
                <w:lang w:eastAsia="en-AU"/>
              </w:rPr>
              <w:t>Evidence of membership of relevant security industry organisation</w:t>
            </w:r>
            <w:r w:rsidR="0036598D">
              <w:rPr>
                <w:lang w:eastAsia="en-AU"/>
              </w:rPr>
              <w:t xml:space="preserve"> </w:t>
            </w:r>
          </w:p>
        </w:tc>
        <w:tc>
          <w:tcPr>
            <w:tcW w:w="868" w:type="pct"/>
          </w:tcPr>
          <w:p w14:paraId="2083A121" w14:textId="4699F2FC" w:rsidR="000B4A06" w:rsidRDefault="000B4A06" w:rsidP="00612E82">
            <w:pPr>
              <w:pStyle w:val="ListParagraph"/>
              <w:ind w:left="417"/>
              <w:jc w:val="center"/>
              <w:rPr>
                <w:lang w:eastAsia="en-AU"/>
              </w:rPr>
            </w:pPr>
            <w:r w:rsidRPr="008C05BD">
              <w:rPr>
                <w:rFonts w:ascii="Wingdings" w:eastAsia="Wingdings" w:hAnsi="Wingdings" w:cs="Wingdings"/>
                <w:sz w:val="20"/>
                <w:szCs w:val="20"/>
              </w:rPr>
              <w:t>û</w:t>
            </w:r>
          </w:p>
        </w:tc>
        <w:tc>
          <w:tcPr>
            <w:tcW w:w="704" w:type="pct"/>
          </w:tcPr>
          <w:p w14:paraId="74C92C47" w14:textId="1C7025E8" w:rsidR="000B4A06" w:rsidRDefault="000B4A06" w:rsidP="00612E82">
            <w:pPr>
              <w:pStyle w:val="ListParagraph"/>
              <w:ind w:left="417"/>
              <w:jc w:val="center"/>
              <w:rPr>
                <w:lang w:eastAsia="en-AU"/>
              </w:rPr>
            </w:pPr>
            <w:r w:rsidRPr="007D1624">
              <w:rPr>
                <w:rFonts w:ascii="Wingdings" w:eastAsia="Wingdings" w:hAnsi="Wingdings" w:cs="Wingdings"/>
                <w:szCs w:val="17"/>
              </w:rPr>
              <w:t>ü</w:t>
            </w:r>
          </w:p>
        </w:tc>
        <w:tc>
          <w:tcPr>
            <w:tcW w:w="1057" w:type="pct"/>
          </w:tcPr>
          <w:p w14:paraId="64B48FF5" w14:textId="0253D7D4" w:rsidR="000B4A06" w:rsidRDefault="002F4C73" w:rsidP="00612E82">
            <w:pPr>
              <w:pStyle w:val="ListParagraph"/>
              <w:ind w:left="417"/>
              <w:jc w:val="center"/>
            </w:pPr>
            <w:r w:rsidRPr="008C05BD">
              <w:rPr>
                <w:rFonts w:ascii="Wingdings" w:eastAsia="Wingdings" w:hAnsi="Wingdings" w:cs="Wingdings"/>
                <w:sz w:val="20"/>
                <w:szCs w:val="20"/>
              </w:rPr>
              <w:t>û</w:t>
            </w:r>
          </w:p>
        </w:tc>
        <w:tc>
          <w:tcPr>
            <w:tcW w:w="662" w:type="pct"/>
          </w:tcPr>
          <w:p w14:paraId="7E03A70E" w14:textId="28EBD371" w:rsidR="000B4A06" w:rsidRDefault="000B4A06" w:rsidP="002F4C73">
            <w:pPr>
              <w:pStyle w:val="ListParagraph"/>
              <w:ind w:left="0"/>
              <w:jc w:val="center"/>
            </w:pPr>
            <w:r>
              <w:t>Provision of certified evidence</w:t>
            </w:r>
          </w:p>
        </w:tc>
      </w:tr>
      <w:tr w:rsidR="00013DBE" w:rsidRPr="00F07D02" w14:paraId="65407D56" w14:textId="77777777" w:rsidTr="002F4C73">
        <w:tc>
          <w:tcPr>
            <w:tcW w:w="1709" w:type="pct"/>
          </w:tcPr>
          <w:p w14:paraId="34DD7871" w14:textId="4E8C61EF" w:rsidR="00013DBE" w:rsidRDefault="00013DBE" w:rsidP="000B4A06">
            <w:pPr>
              <w:jc w:val="both"/>
              <w:rPr>
                <w:lang w:eastAsia="en-AU"/>
              </w:rPr>
            </w:pPr>
            <w:r>
              <w:rPr>
                <w:lang w:eastAsia="en-AU"/>
              </w:rPr>
              <w:t>Evidence of first aid training (renewals only)</w:t>
            </w:r>
          </w:p>
        </w:tc>
        <w:tc>
          <w:tcPr>
            <w:tcW w:w="868" w:type="pct"/>
          </w:tcPr>
          <w:p w14:paraId="2F624FBC" w14:textId="52B56167" w:rsidR="00013DBE" w:rsidRPr="008C05BD" w:rsidRDefault="00013DBE" w:rsidP="00612E82">
            <w:pPr>
              <w:pStyle w:val="ListParagraph"/>
              <w:ind w:left="417"/>
              <w:jc w:val="center"/>
              <w:rPr>
                <w:rFonts w:ascii="Wingdings" w:eastAsia="Wingdings" w:hAnsi="Wingdings" w:cs="Wingdings"/>
                <w:sz w:val="20"/>
                <w:szCs w:val="20"/>
              </w:rPr>
            </w:pPr>
            <w:r w:rsidRPr="006776D2">
              <w:rPr>
                <w:rFonts w:ascii="Wingdings" w:eastAsia="Wingdings" w:hAnsi="Wingdings" w:cs="Wingdings"/>
                <w:szCs w:val="17"/>
              </w:rPr>
              <w:t>ü</w:t>
            </w:r>
          </w:p>
        </w:tc>
        <w:tc>
          <w:tcPr>
            <w:tcW w:w="704" w:type="pct"/>
          </w:tcPr>
          <w:p w14:paraId="69999A1D" w14:textId="672D8133" w:rsidR="00013DBE" w:rsidRPr="007D1624" w:rsidRDefault="00013DBE" w:rsidP="00612E82">
            <w:pPr>
              <w:pStyle w:val="ListParagraph"/>
              <w:ind w:left="417"/>
              <w:jc w:val="center"/>
              <w:rPr>
                <w:rFonts w:ascii="Wingdings" w:eastAsia="Wingdings" w:hAnsi="Wingdings" w:cs="Wingdings"/>
                <w:szCs w:val="17"/>
              </w:rPr>
            </w:pPr>
            <w:r w:rsidRPr="008C05BD">
              <w:rPr>
                <w:rFonts w:ascii="Wingdings" w:eastAsia="Wingdings" w:hAnsi="Wingdings" w:cs="Wingdings"/>
                <w:sz w:val="20"/>
                <w:szCs w:val="20"/>
              </w:rPr>
              <w:t>û</w:t>
            </w:r>
          </w:p>
        </w:tc>
        <w:tc>
          <w:tcPr>
            <w:tcW w:w="1057" w:type="pct"/>
          </w:tcPr>
          <w:p w14:paraId="44BA3AED" w14:textId="02C0FABB" w:rsidR="00013DBE" w:rsidRPr="008C05BD" w:rsidRDefault="00013DBE" w:rsidP="00612E82">
            <w:pPr>
              <w:pStyle w:val="ListParagraph"/>
              <w:ind w:left="417"/>
              <w:jc w:val="center"/>
              <w:rPr>
                <w:rFonts w:ascii="Wingdings" w:eastAsia="Wingdings" w:hAnsi="Wingdings" w:cs="Wingdings"/>
                <w:sz w:val="20"/>
                <w:szCs w:val="20"/>
              </w:rPr>
            </w:pPr>
            <w:r w:rsidRPr="006776D2">
              <w:rPr>
                <w:rFonts w:ascii="Wingdings" w:eastAsia="Wingdings" w:hAnsi="Wingdings" w:cs="Wingdings"/>
                <w:szCs w:val="17"/>
              </w:rPr>
              <w:t>ü</w:t>
            </w:r>
          </w:p>
        </w:tc>
        <w:tc>
          <w:tcPr>
            <w:tcW w:w="662" w:type="pct"/>
          </w:tcPr>
          <w:p w14:paraId="3773819F" w14:textId="4C556ADB" w:rsidR="00013DBE" w:rsidRDefault="00013DBE" w:rsidP="002F4C73">
            <w:pPr>
              <w:pStyle w:val="ListParagraph"/>
              <w:ind w:left="0"/>
              <w:jc w:val="center"/>
            </w:pPr>
            <w:r w:rsidRPr="008C05BD">
              <w:rPr>
                <w:rFonts w:ascii="Wingdings" w:eastAsia="Wingdings" w:hAnsi="Wingdings" w:cs="Wingdings"/>
                <w:sz w:val="20"/>
                <w:szCs w:val="20"/>
              </w:rPr>
              <w:t>û</w:t>
            </w:r>
          </w:p>
        </w:tc>
      </w:tr>
      <w:tr w:rsidR="000B4A06" w:rsidRPr="00F07D02" w14:paraId="2DDE8760" w14:textId="2BEC81E3" w:rsidTr="002F4C73">
        <w:tc>
          <w:tcPr>
            <w:tcW w:w="1709" w:type="pct"/>
          </w:tcPr>
          <w:p w14:paraId="350AA9EB" w14:textId="184F1C00" w:rsidR="000B4A06" w:rsidRDefault="000B4A06" w:rsidP="000B4A06">
            <w:pPr>
              <w:jc w:val="both"/>
              <w:rPr>
                <w:lang w:eastAsia="en-AU"/>
              </w:rPr>
            </w:pPr>
            <w:r>
              <w:rPr>
                <w:lang w:eastAsia="en-AU"/>
              </w:rPr>
              <w:t xml:space="preserve">Evidence of membership of relevant industry organisation </w:t>
            </w:r>
          </w:p>
        </w:tc>
        <w:tc>
          <w:tcPr>
            <w:tcW w:w="868" w:type="pct"/>
          </w:tcPr>
          <w:p w14:paraId="75257B01" w14:textId="26DF5569" w:rsidR="000B4A06" w:rsidRDefault="000B4A06" w:rsidP="00612E82">
            <w:pPr>
              <w:pStyle w:val="ListParagraph"/>
              <w:ind w:left="417"/>
              <w:jc w:val="center"/>
              <w:rPr>
                <w:lang w:eastAsia="en-AU"/>
              </w:rPr>
            </w:pPr>
            <w:r w:rsidRPr="008C05BD">
              <w:rPr>
                <w:rFonts w:ascii="Wingdings" w:eastAsia="Wingdings" w:hAnsi="Wingdings" w:cs="Wingdings"/>
                <w:sz w:val="20"/>
                <w:szCs w:val="20"/>
              </w:rPr>
              <w:t>û</w:t>
            </w:r>
          </w:p>
        </w:tc>
        <w:tc>
          <w:tcPr>
            <w:tcW w:w="704" w:type="pct"/>
          </w:tcPr>
          <w:p w14:paraId="137A9430" w14:textId="5FD8ABA1" w:rsidR="000B4A06" w:rsidRDefault="0034661C" w:rsidP="00612E82">
            <w:pPr>
              <w:jc w:val="center"/>
            </w:pPr>
            <w:r w:rsidRPr="007D1624">
              <w:rPr>
                <w:rFonts w:ascii="Wingdings" w:eastAsia="Wingdings" w:hAnsi="Wingdings" w:cs="Wingdings"/>
                <w:szCs w:val="17"/>
              </w:rPr>
              <w:t>ü</w:t>
            </w:r>
          </w:p>
        </w:tc>
        <w:tc>
          <w:tcPr>
            <w:tcW w:w="1057" w:type="pct"/>
          </w:tcPr>
          <w:p w14:paraId="4A68B46D" w14:textId="0324065D" w:rsidR="000B4A06" w:rsidRDefault="000B4A06" w:rsidP="00612E82">
            <w:pPr>
              <w:jc w:val="center"/>
              <w:rPr>
                <w:lang w:eastAsia="en-AU"/>
              </w:rPr>
            </w:pPr>
            <w:r w:rsidRPr="008C05BD">
              <w:rPr>
                <w:rFonts w:ascii="Wingdings" w:eastAsia="Wingdings" w:hAnsi="Wingdings" w:cs="Wingdings"/>
                <w:sz w:val="20"/>
                <w:szCs w:val="20"/>
              </w:rPr>
              <w:t>û</w:t>
            </w:r>
          </w:p>
        </w:tc>
        <w:tc>
          <w:tcPr>
            <w:tcW w:w="662" w:type="pct"/>
          </w:tcPr>
          <w:p w14:paraId="2B3FB157" w14:textId="2903C746" w:rsidR="000B4A06" w:rsidRDefault="000B4A06" w:rsidP="002F4C73">
            <w:pPr>
              <w:jc w:val="center"/>
            </w:pPr>
            <w:r>
              <w:t>Provision of certified evidence</w:t>
            </w:r>
          </w:p>
        </w:tc>
      </w:tr>
    </w:tbl>
    <w:p w14:paraId="5AC2608F" w14:textId="399C5902" w:rsidR="00DE5B28" w:rsidRPr="000C67F8" w:rsidRDefault="00F16F0B" w:rsidP="00A40A6F">
      <w:pPr>
        <w:rPr>
          <w:i/>
          <w:iCs/>
        </w:rPr>
      </w:pPr>
      <w:r w:rsidRPr="000C67F8">
        <w:rPr>
          <w:i/>
          <w:iCs/>
        </w:rPr>
        <w:t>*Th</w:t>
      </w:r>
      <w:r w:rsidR="00612935" w:rsidRPr="000C67F8">
        <w:rPr>
          <w:i/>
          <w:iCs/>
        </w:rPr>
        <w:t>e</w:t>
      </w:r>
      <w:r w:rsidRPr="000C67F8">
        <w:rPr>
          <w:i/>
          <w:iCs/>
        </w:rPr>
        <w:t xml:space="preserve"> requirement</w:t>
      </w:r>
      <w:r w:rsidR="00612935" w:rsidRPr="000C67F8">
        <w:rPr>
          <w:i/>
          <w:iCs/>
        </w:rPr>
        <w:t xml:space="preserve"> for providing written reference</w:t>
      </w:r>
      <w:r w:rsidR="005B1811" w:rsidRPr="000C67F8">
        <w:rPr>
          <w:i/>
          <w:iCs/>
        </w:rPr>
        <w:t>s</w:t>
      </w:r>
      <w:r w:rsidRPr="000C67F8">
        <w:rPr>
          <w:i/>
          <w:iCs/>
        </w:rPr>
        <w:t xml:space="preserve"> </w:t>
      </w:r>
      <w:r w:rsidR="00911605">
        <w:rPr>
          <w:i/>
          <w:iCs/>
        </w:rPr>
        <w:t xml:space="preserve">will be </w:t>
      </w:r>
      <w:r w:rsidRPr="000C67F8">
        <w:rPr>
          <w:i/>
          <w:iCs/>
        </w:rPr>
        <w:t xml:space="preserve">removed under the </w:t>
      </w:r>
      <w:r w:rsidR="0003158E" w:rsidRPr="000C67F8">
        <w:rPr>
          <w:i/>
          <w:iCs/>
        </w:rPr>
        <w:t>Private Security and County Court Amendment Act 2024</w:t>
      </w:r>
    </w:p>
    <w:p w14:paraId="2553DB8F" w14:textId="39077F08" w:rsidR="006D5826" w:rsidRDefault="00053534" w:rsidP="00A40A6F">
      <w:r>
        <w:t xml:space="preserve">Under the </w:t>
      </w:r>
      <w:r w:rsidR="00415BB9">
        <w:t>Reference</w:t>
      </w:r>
      <w:r>
        <w:t xml:space="preserve"> Case, the prescribed </w:t>
      </w:r>
      <w:r w:rsidR="00A0495D">
        <w:t>particulars and documentation, as well as the cost recovery fee schedule, would sunset and not be replaced</w:t>
      </w:r>
      <w:r w:rsidR="003263D0">
        <w:t xml:space="preserve">. </w:t>
      </w:r>
      <w:r w:rsidR="00BD6F75">
        <w:t>In this scenario</w:t>
      </w:r>
      <w:r w:rsidR="001528AF">
        <w:t xml:space="preserve">, applicants would </w:t>
      </w:r>
      <w:r w:rsidR="00DF20A1">
        <w:t>still</w:t>
      </w:r>
      <w:r w:rsidR="001528AF">
        <w:t xml:space="preserve"> </w:t>
      </w:r>
      <w:r w:rsidR="00312B95">
        <w:t xml:space="preserve">be required to provide documents and information to fulfil the requirements listed in the </w:t>
      </w:r>
      <w:r w:rsidR="004E3E4B">
        <w:t>Act</w:t>
      </w:r>
      <w:r w:rsidR="00DF20A1">
        <w:t>, however,</w:t>
      </w:r>
      <w:r w:rsidR="00C44F1E">
        <w:t xml:space="preserve"> the </w:t>
      </w:r>
      <w:r w:rsidR="00E7224E">
        <w:t xml:space="preserve">process of doing so </w:t>
      </w:r>
      <w:r w:rsidR="001D44F5">
        <w:t>would be unclear</w:t>
      </w:r>
      <w:r w:rsidR="00C44F1E">
        <w:t xml:space="preserve"> and </w:t>
      </w:r>
      <w:r w:rsidR="001D44F5">
        <w:t>lack legal foundation. This</w:t>
      </w:r>
      <w:r w:rsidR="003263D0">
        <w:t xml:space="preserve"> </w:t>
      </w:r>
      <w:r w:rsidR="007D4CBE">
        <w:t>c</w:t>
      </w:r>
      <w:r w:rsidR="003263D0">
        <w:t xml:space="preserve">ould </w:t>
      </w:r>
      <w:r w:rsidR="00B54767">
        <w:t xml:space="preserve">create </w:t>
      </w:r>
      <w:r w:rsidR="007C0875">
        <w:t xml:space="preserve">significant ambiguity regarding the </w:t>
      </w:r>
      <w:r w:rsidR="002E58F7">
        <w:t>requirements for applications and</w:t>
      </w:r>
      <w:r w:rsidR="001D44F5">
        <w:t>,</w:t>
      </w:r>
      <w:r w:rsidR="002E58F7">
        <w:t xml:space="preserve"> by extension</w:t>
      </w:r>
      <w:r w:rsidR="001D44F5">
        <w:t>,</w:t>
      </w:r>
      <w:r w:rsidR="002E58F7">
        <w:t xml:space="preserve"> the probity and competency requirements for prospective and existing licence and registration holders</w:t>
      </w:r>
      <w:r w:rsidR="00A25D7B">
        <w:t>.</w:t>
      </w:r>
      <w:r w:rsidR="00B47F1E">
        <w:t xml:space="preserve"> </w:t>
      </w:r>
      <w:r w:rsidR="00B55481">
        <w:t>Th</w:t>
      </w:r>
      <w:r w:rsidR="00921367">
        <w:t xml:space="preserve">e absence of clarity on such requirements would </w:t>
      </w:r>
      <w:r w:rsidR="004C5C0B">
        <w:t xml:space="preserve">likely </w:t>
      </w:r>
      <w:r w:rsidR="00921367">
        <w:t xml:space="preserve">detract from </w:t>
      </w:r>
      <w:r w:rsidR="003A3E0D">
        <w:t>Victoria Police</w:t>
      </w:r>
      <w:r w:rsidR="00921367">
        <w:t>’</w:t>
      </w:r>
      <w:r w:rsidR="003A3E0D">
        <w:t>s</w:t>
      </w:r>
      <w:r w:rsidR="00921367">
        <w:t xml:space="preserve"> ability to ensure </w:t>
      </w:r>
      <w:r w:rsidR="00BD66AD">
        <w:t xml:space="preserve">private security providers </w:t>
      </w:r>
      <w:r w:rsidR="008C008B">
        <w:t>act according to</w:t>
      </w:r>
      <w:r w:rsidR="007D1322">
        <w:t xml:space="preserve"> the </w:t>
      </w:r>
      <w:r w:rsidR="00FF7C93">
        <w:t>purposes</w:t>
      </w:r>
      <w:r w:rsidR="007D1322">
        <w:t xml:space="preserve"> </w:t>
      </w:r>
      <w:r w:rsidR="00FF7C93">
        <w:t>of the sector’s legislative and regulatory frameworks.</w:t>
      </w:r>
    </w:p>
    <w:p w14:paraId="31F53061" w14:textId="60E4E5F8" w:rsidR="006D6B3A" w:rsidRDefault="0037575F" w:rsidP="006D6B3A">
      <w:pPr>
        <w:pStyle w:val="Heading3"/>
      </w:pPr>
      <w:r>
        <w:t>Option 1</w:t>
      </w:r>
      <w:r w:rsidR="00872E16">
        <w:t xml:space="preserve">: </w:t>
      </w:r>
      <w:r w:rsidR="009E1A4B">
        <w:t>R</w:t>
      </w:r>
      <w:r w:rsidR="00872E16">
        <w:t>emake the Regulations with a single licensing system</w:t>
      </w:r>
    </w:p>
    <w:p w14:paraId="1E70D331" w14:textId="6FA128A0" w:rsidR="004F24FB" w:rsidRDefault="005F1D37" w:rsidP="00F83667">
      <w:r w:rsidRPr="005F1D37">
        <w:t xml:space="preserve">While a series of changes are proposed to </w:t>
      </w:r>
      <w:r>
        <w:t xml:space="preserve">be introduced through </w:t>
      </w:r>
      <w:r w:rsidRPr="005F1D37">
        <w:t>the</w:t>
      </w:r>
      <w:r>
        <w:t xml:space="preserve"> amended</w:t>
      </w:r>
      <w:r w:rsidRPr="005F1D37">
        <w:t xml:space="preserve"> Act, only the replacement of the current two-tier system of license and registration with a single-tier licensing system </w:t>
      </w:r>
      <w:r w:rsidR="00266D61">
        <w:t>will have a substantive</w:t>
      </w:r>
      <w:r w:rsidR="0036598D">
        <w:t xml:space="preserve"> </w:t>
      </w:r>
      <w:r w:rsidRPr="005F1D37">
        <w:t>impact on the Regulations</w:t>
      </w:r>
      <w:r w:rsidR="00266D61">
        <w:t xml:space="preserve">. </w:t>
      </w:r>
      <w:r w:rsidR="00F83667">
        <w:t>The e</w:t>
      </w:r>
      <w:r w:rsidR="00F83667" w:rsidRPr="00F83667">
        <w:t xml:space="preserve">xpected changes needed in the Regulations to reflect </w:t>
      </w:r>
      <w:r w:rsidR="00CF43F7">
        <w:t>the amendments to the Act</w:t>
      </w:r>
      <w:r w:rsidR="00F83667">
        <w:t xml:space="preserve"> include</w:t>
      </w:r>
      <w:r w:rsidR="00CB4E03">
        <w:t xml:space="preserve"> language and structural updates</w:t>
      </w:r>
      <w:r w:rsidR="00F83667" w:rsidRPr="00F83667">
        <w:t xml:space="preserve"> to refer to a single tier licencing system (keeping the same particulars and documentation requirements as currently prescribed)</w:t>
      </w:r>
      <w:r w:rsidR="00CB4E03">
        <w:t xml:space="preserve"> and </w:t>
      </w:r>
      <w:r w:rsidR="00F83667" w:rsidRPr="00F83667">
        <w:t>update</w:t>
      </w:r>
      <w:r w:rsidR="00CB4E03">
        <w:t>s to</w:t>
      </w:r>
      <w:r w:rsidR="00F83667" w:rsidRPr="00F83667">
        <w:t xml:space="preserve"> fee-settings to align with single tier licencing system</w:t>
      </w:r>
      <w:r w:rsidR="00CB4E03">
        <w:t xml:space="preserve"> (which </w:t>
      </w:r>
      <w:r w:rsidR="00154D5E">
        <w:t xml:space="preserve">are addressed in Chapter 5). </w:t>
      </w:r>
      <w:r w:rsidR="0077010B">
        <w:t xml:space="preserve">The Regulations will also require that crowd controllers must wear clearly visible </w:t>
      </w:r>
      <w:r w:rsidR="00242C8A">
        <w:t>identification</w:t>
      </w:r>
      <w:r w:rsidR="00554D47">
        <w:t>. It should be noted</w:t>
      </w:r>
      <w:r w:rsidR="00242C8A">
        <w:t>, however,</w:t>
      </w:r>
      <w:r w:rsidR="00554D47">
        <w:t xml:space="preserve"> that</w:t>
      </w:r>
      <w:r w:rsidR="00242C8A">
        <w:t xml:space="preserve"> this requirement is not expected to impose </w:t>
      </w:r>
      <w:r w:rsidR="000276D8">
        <w:t xml:space="preserve">additional burden on industry as, in practice, the </w:t>
      </w:r>
      <w:r w:rsidR="007718C7">
        <w:t xml:space="preserve">visible identification is already provided by the employer and the description in the Regulations is consistent </w:t>
      </w:r>
      <w:r w:rsidR="00554D47">
        <w:t>with</w:t>
      </w:r>
      <w:r w:rsidR="009B1A3E" w:rsidRPr="009B1A3E">
        <w:t xml:space="preserve"> already available identification. </w:t>
      </w:r>
      <w:r w:rsidR="00554D47">
        <w:t xml:space="preserve"> </w:t>
      </w:r>
      <w:r w:rsidR="000276D8">
        <w:t xml:space="preserve"> </w:t>
      </w:r>
    </w:p>
    <w:p w14:paraId="3AFB0FA1" w14:textId="77AAB7F4" w:rsidR="00154D5E" w:rsidRDefault="00154D5E" w:rsidP="00F83667">
      <w:r w:rsidRPr="00154D5E">
        <w:t>Due to the relatively low impact and limited range of feasible alternative options</w:t>
      </w:r>
      <w:r w:rsidR="00FD7D48">
        <w:t xml:space="preserve"> </w:t>
      </w:r>
      <w:r w:rsidR="006023B2">
        <w:t>for changes to the Regulations</w:t>
      </w:r>
      <w:r w:rsidRPr="00154D5E">
        <w:t xml:space="preserve">, only the </w:t>
      </w:r>
      <w:r w:rsidR="006023B2">
        <w:t>reference case</w:t>
      </w:r>
      <w:r w:rsidRPr="00154D5E">
        <w:t xml:space="preserve"> and </w:t>
      </w:r>
      <w:r w:rsidR="006023B2">
        <w:t>a single option</w:t>
      </w:r>
      <w:r w:rsidRPr="00154D5E">
        <w:t xml:space="preserve"> are proposed for analysis for remaking the Regulations.</w:t>
      </w:r>
    </w:p>
    <w:p w14:paraId="5467927F" w14:textId="6D422ACC" w:rsidR="00206D25" w:rsidRDefault="00206D25" w:rsidP="00206D25">
      <w:r>
        <w:t xml:space="preserve">Option 1 would remake the Regulations with their current provisions, apart from the removal of references to registrations to reflect the introduction of a single-tiered licensing system by the recent amendment to the Act. Through this single-tier system, security equipment installers and security equipment advisors will now need to be licensed and will be subject to the same requirements as current licence holders. The other sections of the Regulations (excluding the fees) will be remade as they currently are. </w:t>
      </w:r>
    </w:p>
    <w:p w14:paraId="7F9E5990" w14:textId="6A02C14C" w:rsidR="00E17A5C" w:rsidRDefault="00426ED5" w:rsidP="00206D25">
      <w:r>
        <w:t xml:space="preserve">Option 1 is intended to address the issues of </w:t>
      </w:r>
      <w:r w:rsidR="00FA6D33">
        <w:t xml:space="preserve">ambiguity, inconsistency and inefficiency that are likely to result in the </w:t>
      </w:r>
      <w:r w:rsidR="0054254B">
        <w:t>R</w:t>
      </w:r>
      <w:r w:rsidR="00FA6D33">
        <w:t xml:space="preserve">eference </w:t>
      </w:r>
      <w:r w:rsidR="0054254B">
        <w:t>C</w:t>
      </w:r>
      <w:r w:rsidR="00FA6D33">
        <w:t>ase.</w:t>
      </w:r>
      <w:r w:rsidR="0036598D">
        <w:t xml:space="preserve"> </w:t>
      </w:r>
      <w:r w:rsidR="00B309BF">
        <w:t xml:space="preserve">In contrast to the reference case, under Option 1, there would be a clearer </w:t>
      </w:r>
      <w:r w:rsidRPr="00426ED5">
        <w:t>process and legal foundation</w:t>
      </w:r>
      <w:r w:rsidR="00B309BF">
        <w:t xml:space="preserve"> for the submission of required documentation in support of a licence applications</w:t>
      </w:r>
      <w:r w:rsidRPr="00426ED5">
        <w:t>. Th</w:t>
      </w:r>
      <w:r w:rsidR="008E5D7A">
        <w:t xml:space="preserve">is option is intended to support more efficient </w:t>
      </w:r>
      <w:r w:rsidR="0067701C">
        <w:t>administration of the</w:t>
      </w:r>
      <w:r w:rsidRPr="00426ED5">
        <w:t xml:space="preserve"> legislative and regulatory frameworks</w:t>
      </w:r>
      <w:r w:rsidR="00022BAB">
        <w:t>.</w:t>
      </w:r>
    </w:p>
    <w:p w14:paraId="4395FB21" w14:textId="7B210607" w:rsidR="0002278D" w:rsidRDefault="007A50B0" w:rsidP="0002278D">
      <w:pPr>
        <w:pStyle w:val="Heading2"/>
      </w:pPr>
      <w:bookmarkStart w:id="89" w:name="_Toc189832257"/>
      <w:bookmarkEnd w:id="85"/>
      <w:bookmarkEnd w:id="86"/>
      <w:bookmarkEnd w:id="87"/>
      <w:r>
        <w:lastRenderedPageBreak/>
        <w:t>Options analysis</w:t>
      </w:r>
      <w:bookmarkEnd w:id="89"/>
      <w:r>
        <w:t xml:space="preserve"> </w:t>
      </w:r>
    </w:p>
    <w:p w14:paraId="53C98888" w14:textId="2C8AC0F4" w:rsidR="00106D18" w:rsidRDefault="00401644" w:rsidP="00401644">
      <w:pPr>
        <w:pStyle w:val="Heading3"/>
      </w:pPr>
      <w:r>
        <w:t xml:space="preserve">Criterion 1: Competency </w:t>
      </w:r>
      <w:r w:rsidR="007C4DF0">
        <w:t xml:space="preserve">and probity of the private security industry </w:t>
      </w:r>
    </w:p>
    <w:p w14:paraId="2F59A888" w14:textId="66F9EACD" w:rsidR="00FE2FB5" w:rsidRPr="00FE2FB5" w:rsidRDefault="006C32F1" w:rsidP="006C32F1">
      <w:pPr>
        <w:pStyle w:val="Caption"/>
      </w:pPr>
      <w:r>
        <w:t xml:space="preserve">Table </w:t>
      </w:r>
      <w:r w:rsidR="00414520">
        <w:fldChar w:fldCharType="begin"/>
      </w:r>
      <w:r w:rsidR="00414520">
        <w:instrText xml:space="preserve"> STYLEREF 1 \s </w:instrText>
      </w:r>
      <w:r w:rsidR="00414520">
        <w:fldChar w:fldCharType="separate"/>
      </w:r>
      <w:r w:rsidR="009D133E">
        <w:rPr>
          <w:noProof/>
        </w:rPr>
        <w:t>4</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2</w:t>
      </w:r>
      <w:r w:rsidR="00414520">
        <w:fldChar w:fldCharType="end"/>
      </w:r>
      <w:r>
        <w:t xml:space="preserve">: Summary of scores for Criterion 1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2092"/>
        <w:gridCol w:w="2092"/>
        <w:gridCol w:w="2091"/>
      </w:tblGrid>
      <w:tr w:rsidR="00D80E97" w:rsidRPr="00535D1A" w14:paraId="73490C7E" w14:textId="77777777" w:rsidTr="00717838">
        <w:trPr>
          <w:trHeight w:val="315"/>
        </w:trPr>
        <w:tc>
          <w:tcPr>
            <w:tcW w:w="1744" w:type="pct"/>
            <w:tcBorders>
              <w:top w:val="single" w:sz="24" w:space="0" w:color="62B5E5"/>
              <w:left w:val="nil"/>
              <w:bottom w:val="single" w:sz="6" w:space="0" w:color="000000"/>
              <w:right w:val="nil"/>
            </w:tcBorders>
            <w:shd w:val="clear" w:color="auto" w:fill="auto"/>
            <w:hideMark/>
          </w:tcPr>
          <w:p w14:paraId="21B6DA4D" w14:textId="77777777" w:rsidR="00D80E97" w:rsidRPr="002D2A9B" w:rsidRDefault="00D80E97" w:rsidP="00106D18">
            <w:pPr>
              <w:spacing w:line="240" w:lineRule="auto"/>
              <w:textAlignment w:val="baseline"/>
              <w:rPr>
                <w:rFonts w:eastAsia="Times New Roman" w:cs="Calibri Light"/>
                <w:lang w:eastAsia="en-AU"/>
              </w:rPr>
            </w:pPr>
            <w:r w:rsidRPr="002D2A9B">
              <w:rPr>
                <w:rFonts w:eastAsia="Times New Roman" w:cs="Calibri Light"/>
                <w:b/>
                <w:color w:val="000000"/>
                <w:lang w:val="en-GB" w:eastAsia="en-AU"/>
              </w:rPr>
              <w:t>Criterion</w:t>
            </w:r>
            <w:r w:rsidRPr="002D2A9B">
              <w:rPr>
                <w:rFonts w:eastAsia="Times New Roman" w:cs="Calibri Light"/>
                <w:color w:val="000000"/>
                <w:lang w:eastAsia="en-AU"/>
              </w:rPr>
              <w:t> </w:t>
            </w:r>
          </w:p>
        </w:tc>
        <w:tc>
          <w:tcPr>
            <w:tcW w:w="1085" w:type="pct"/>
            <w:tcBorders>
              <w:top w:val="single" w:sz="24" w:space="0" w:color="62B5E5"/>
              <w:left w:val="nil"/>
              <w:bottom w:val="single" w:sz="6" w:space="0" w:color="000000"/>
              <w:right w:val="nil"/>
            </w:tcBorders>
          </w:tcPr>
          <w:p w14:paraId="7EE179B6" w14:textId="77777777" w:rsidR="00D80E97" w:rsidRPr="002D2A9B" w:rsidRDefault="00D80E97" w:rsidP="00106D18">
            <w:pPr>
              <w:spacing w:line="240" w:lineRule="auto"/>
              <w:jc w:val="center"/>
              <w:textAlignment w:val="baseline"/>
              <w:rPr>
                <w:rFonts w:eastAsia="Times New Roman" w:cs="Calibri Light"/>
                <w:b/>
                <w:color w:val="000000"/>
                <w:lang w:val="en-GB" w:eastAsia="en-AU"/>
              </w:rPr>
            </w:pPr>
            <w:r w:rsidRPr="002D2A9B">
              <w:rPr>
                <w:rFonts w:eastAsia="Times New Roman" w:cs="Calibri Light"/>
                <w:b/>
                <w:color w:val="000000"/>
                <w:lang w:val="en-GB" w:eastAsia="en-AU"/>
              </w:rPr>
              <w:t>Weighting</w:t>
            </w:r>
          </w:p>
        </w:tc>
        <w:tc>
          <w:tcPr>
            <w:tcW w:w="1085" w:type="pct"/>
            <w:tcBorders>
              <w:top w:val="single" w:sz="24" w:space="0" w:color="62B5E5"/>
              <w:left w:val="nil"/>
              <w:bottom w:val="single" w:sz="6" w:space="0" w:color="000000"/>
              <w:right w:val="nil"/>
            </w:tcBorders>
            <w:shd w:val="clear" w:color="auto" w:fill="auto"/>
            <w:hideMark/>
          </w:tcPr>
          <w:p w14:paraId="2B072EBC" w14:textId="53513D46" w:rsidR="00D80E97" w:rsidRPr="002D2A9B" w:rsidRDefault="008E4A71" w:rsidP="00106D18">
            <w:pPr>
              <w:spacing w:line="240" w:lineRule="auto"/>
              <w:jc w:val="center"/>
              <w:textAlignment w:val="baseline"/>
              <w:rPr>
                <w:rFonts w:eastAsia="Times New Roman" w:cs="Calibri Light"/>
                <w:lang w:eastAsia="en-AU"/>
              </w:rPr>
            </w:pPr>
            <w:r>
              <w:rPr>
                <w:rFonts w:eastAsia="Times New Roman" w:cs="Calibri Light"/>
                <w:b/>
                <w:color w:val="000000"/>
                <w:lang w:val="en-GB" w:eastAsia="en-AU"/>
              </w:rPr>
              <w:t>Reference</w:t>
            </w:r>
            <w:r w:rsidRPr="002D2A9B">
              <w:rPr>
                <w:rFonts w:eastAsia="Times New Roman" w:cs="Calibri Light"/>
                <w:b/>
                <w:color w:val="000000"/>
                <w:lang w:val="en-GB" w:eastAsia="en-AU"/>
              </w:rPr>
              <w:t xml:space="preserve"> </w:t>
            </w:r>
            <w:r w:rsidR="00D80E97" w:rsidRPr="002D2A9B">
              <w:rPr>
                <w:rFonts w:eastAsia="Times New Roman" w:cs="Calibri Light"/>
                <w:b/>
                <w:color w:val="000000"/>
                <w:lang w:val="en-GB" w:eastAsia="en-AU"/>
              </w:rPr>
              <w:t>Case</w:t>
            </w:r>
          </w:p>
        </w:tc>
        <w:tc>
          <w:tcPr>
            <w:tcW w:w="1085" w:type="pct"/>
            <w:tcBorders>
              <w:top w:val="single" w:sz="24" w:space="0" w:color="62B5E5"/>
              <w:left w:val="nil"/>
              <w:bottom w:val="single" w:sz="6" w:space="0" w:color="000000"/>
              <w:right w:val="nil"/>
            </w:tcBorders>
            <w:shd w:val="clear" w:color="auto" w:fill="auto"/>
            <w:hideMark/>
          </w:tcPr>
          <w:p w14:paraId="69A5F34F" w14:textId="50E62D65" w:rsidR="00D80E97" w:rsidRPr="002D2A9B" w:rsidRDefault="00D80E97" w:rsidP="00106D18">
            <w:pPr>
              <w:spacing w:line="240" w:lineRule="auto"/>
              <w:jc w:val="center"/>
              <w:textAlignment w:val="baseline"/>
              <w:rPr>
                <w:rFonts w:eastAsia="Times New Roman" w:cs="Calibri Light"/>
                <w:b/>
                <w:color w:val="000000"/>
                <w:lang w:val="en-GB" w:eastAsia="en-AU"/>
              </w:rPr>
            </w:pPr>
            <w:r w:rsidRPr="002D2A9B">
              <w:rPr>
                <w:rFonts w:eastAsia="Times New Roman" w:cs="Calibri Light"/>
                <w:b/>
                <w:color w:val="000000"/>
                <w:lang w:val="en-GB" w:eastAsia="en-AU"/>
              </w:rPr>
              <w:t>Option 1 – Impact of Status Quo</w:t>
            </w:r>
            <w:r w:rsidRPr="002D2A9B">
              <w:rPr>
                <w:rFonts w:eastAsia="Times New Roman" w:cs="Calibri Light"/>
                <w:color w:val="000000"/>
                <w:lang w:eastAsia="en-AU"/>
              </w:rPr>
              <w:t xml:space="preserve"> relative to the </w:t>
            </w:r>
            <w:r w:rsidR="008E4A71">
              <w:rPr>
                <w:rFonts w:eastAsia="Times New Roman" w:cs="Calibri Light"/>
                <w:color w:val="000000"/>
                <w:lang w:eastAsia="en-AU"/>
              </w:rPr>
              <w:t>Reference</w:t>
            </w:r>
            <w:r w:rsidR="008E4A71" w:rsidRPr="002D2A9B">
              <w:rPr>
                <w:rFonts w:eastAsia="Times New Roman" w:cs="Calibri Light"/>
                <w:color w:val="000000"/>
                <w:lang w:eastAsia="en-AU"/>
              </w:rPr>
              <w:t xml:space="preserve"> </w:t>
            </w:r>
            <w:r w:rsidR="007B3801">
              <w:rPr>
                <w:rFonts w:eastAsia="Times New Roman" w:cs="Calibri Light"/>
                <w:color w:val="000000"/>
                <w:lang w:eastAsia="en-AU"/>
              </w:rPr>
              <w:t>C</w:t>
            </w:r>
            <w:r w:rsidRPr="002D2A9B">
              <w:rPr>
                <w:rFonts w:eastAsia="Times New Roman" w:cs="Calibri Light"/>
                <w:color w:val="000000"/>
                <w:lang w:eastAsia="en-AU"/>
              </w:rPr>
              <w:t xml:space="preserve">ase </w:t>
            </w:r>
          </w:p>
        </w:tc>
      </w:tr>
      <w:tr w:rsidR="00D80E97" w:rsidRPr="006C072E" w14:paraId="26380EF2" w14:textId="77777777" w:rsidTr="00717838">
        <w:trPr>
          <w:trHeight w:val="420"/>
        </w:trPr>
        <w:tc>
          <w:tcPr>
            <w:tcW w:w="1744" w:type="pct"/>
            <w:tcBorders>
              <w:top w:val="single" w:sz="6" w:space="0" w:color="000000"/>
              <w:left w:val="nil"/>
              <w:bottom w:val="single" w:sz="6" w:space="0" w:color="000000"/>
              <w:right w:val="nil"/>
            </w:tcBorders>
            <w:shd w:val="clear" w:color="auto" w:fill="auto"/>
            <w:vAlign w:val="center"/>
            <w:hideMark/>
          </w:tcPr>
          <w:p w14:paraId="09B50E4E" w14:textId="77777777" w:rsidR="00D80E97" w:rsidRPr="002D2A9B" w:rsidRDefault="00D80E97" w:rsidP="00106D18">
            <w:pPr>
              <w:spacing w:line="240" w:lineRule="auto"/>
              <w:textAlignment w:val="baseline"/>
              <w:rPr>
                <w:rFonts w:eastAsia="Times New Roman" w:cs="Calibri Light"/>
                <w:lang w:eastAsia="en-AU"/>
              </w:rPr>
            </w:pPr>
            <w:r>
              <w:t>Competency and probity of the private security industry</w:t>
            </w:r>
          </w:p>
        </w:tc>
        <w:tc>
          <w:tcPr>
            <w:tcW w:w="1085" w:type="pct"/>
            <w:tcBorders>
              <w:top w:val="single" w:sz="6" w:space="0" w:color="000000"/>
              <w:left w:val="nil"/>
              <w:bottom w:val="single" w:sz="6" w:space="0" w:color="000000"/>
              <w:right w:val="nil"/>
            </w:tcBorders>
            <w:vAlign w:val="center"/>
          </w:tcPr>
          <w:p w14:paraId="01F2849B" w14:textId="77777777" w:rsidR="00D80E97" w:rsidRPr="002D2A9B" w:rsidRDefault="00D80E97" w:rsidP="00106D18">
            <w:pPr>
              <w:spacing w:line="240" w:lineRule="auto"/>
              <w:jc w:val="center"/>
              <w:textAlignment w:val="baseline"/>
              <w:rPr>
                <w:rFonts w:eastAsia="Times New Roman" w:cs="Calibri Light"/>
                <w:lang w:eastAsia="en-AU"/>
              </w:rPr>
            </w:pPr>
            <w:r w:rsidRPr="002D2A9B">
              <w:rPr>
                <w:rFonts w:eastAsia="Times New Roman" w:cs="Calibri Light"/>
                <w:lang w:eastAsia="en-AU"/>
              </w:rPr>
              <w:t>5</w:t>
            </w:r>
            <w:r>
              <w:rPr>
                <w:rFonts w:eastAsia="Times New Roman" w:cs="Calibri Light"/>
                <w:lang w:eastAsia="en-AU"/>
              </w:rPr>
              <w:t>0</w:t>
            </w:r>
            <w:r w:rsidRPr="002D2A9B">
              <w:rPr>
                <w:rFonts w:eastAsia="Times New Roman" w:cs="Calibri Light"/>
                <w:lang w:eastAsia="en-AU"/>
              </w:rPr>
              <w:t>%</w:t>
            </w:r>
          </w:p>
        </w:tc>
        <w:tc>
          <w:tcPr>
            <w:tcW w:w="1085" w:type="pct"/>
            <w:tcBorders>
              <w:top w:val="single" w:sz="6" w:space="0" w:color="000000"/>
              <w:left w:val="nil"/>
              <w:bottom w:val="single" w:sz="6" w:space="0" w:color="000000"/>
              <w:right w:val="nil"/>
            </w:tcBorders>
            <w:shd w:val="clear" w:color="auto" w:fill="auto"/>
            <w:vAlign w:val="center"/>
            <w:hideMark/>
          </w:tcPr>
          <w:p w14:paraId="4FD5DF9C" w14:textId="77777777" w:rsidR="00D80E97" w:rsidRPr="002D2A9B" w:rsidRDefault="00D80E97" w:rsidP="00106D18">
            <w:pPr>
              <w:spacing w:line="240" w:lineRule="auto"/>
              <w:jc w:val="center"/>
              <w:textAlignment w:val="baseline"/>
              <w:rPr>
                <w:rFonts w:eastAsia="Times New Roman" w:cs="Calibri Light"/>
                <w:lang w:eastAsia="en-AU"/>
              </w:rPr>
            </w:pPr>
            <w:r w:rsidRPr="002D2A9B">
              <w:rPr>
                <w:rFonts w:eastAsia="Times New Roman" w:cs="Calibri Light"/>
                <w:lang w:eastAsia="en-AU"/>
              </w:rPr>
              <w:t>0</w:t>
            </w:r>
          </w:p>
        </w:tc>
        <w:tc>
          <w:tcPr>
            <w:tcW w:w="1085" w:type="pct"/>
            <w:tcBorders>
              <w:top w:val="single" w:sz="6" w:space="0" w:color="000000"/>
              <w:left w:val="nil"/>
              <w:bottom w:val="single" w:sz="6" w:space="0" w:color="000000"/>
              <w:right w:val="nil"/>
            </w:tcBorders>
            <w:shd w:val="clear" w:color="auto" w:fill="auto"/>
            <w:vAlign w:val="center"/>
          </w:tcPr>
          <w:p w14:paraId="5AF05171" w14:textId="27CB0F2E" w:rsidR="00D80E97" w:rsidRPr="002D2A9B" w:rsidRDefault="00F44603" w:rsidP="00106D18">
            <w:pPr>
              <w:spacing w:line="240" w:lineRule="auto"/>
              <w:jc w:val="center"/>
              <w:textAlignment w:val="baseline"/>
              <w:rPr>
                <w:rFonts w:eastAsia="Times New Roman" w:cs="Calibri Light"/>
                <w:lang w:eastAsia="en-AU"/>
              </w:rPr>
            </w:pPr>
            <w:r>
              <w:rPr>
                <w:rFonts w:eastAsia="Times New Roman" w:cs="Calibri Light"/>
                <w:lang w:eastAsia="en-AU"/>
              </w:rPr>
              <w:t>5</w:t>
            </w:r>
          </w:p>
        </w:tc>
      </w:tr>
      <w:tr w:rsidR="006C32F1" w:rsidRPr="006C072E" w14:paraId="190BDB6B" w14:textId="77777777" w:rsidTr="00717838">
        <w:trPr>
          <w:trHeight w:val="420"/>
        </w:trPr>
        <w:tc>
          <w:tcPr>
            <w:tcW w:w="1744" w:type="pct"/>
            <w:tcBorders>
              <w:top w:val="single" w:sz="6" w:space="0" w:color="000000"/>
              <w:left w:val="nil"/>
              <w:bottom w:val="single" w:sz="6" w:space="0" w:color="000000"/>
              <w:right w:val="nil"/>
            </w:tcBorders>
            <w:shd w:val="clear" w:color="auto" w:fill="auto"/>
            <w:vAlign w:val="center"/>
          </w:tcPr>
          <w:p w14:paraId="3D9B571B" w14:textId="28A39333" w:rsidR="006C32F1" w:rsidRPr="006C32F1" w:rsidRDefault="006C32F1" w:rsidP="00106D18">
            <w:pPr>
              <w:spacing w:line="240" w:lineRule="auto"/>
              <w:textAlignment w:val="baseline"/>
              <w:rPr>
                <w:b/>
                <w:bCs/>
              </w:rPr>
            </w:pPr>
            <w:r w:rsidRPr="006C32F1">
              <w:rPr>
                <w:b/>
                <w:bCs/>
              </w:rPr>
              <w:t>Weighted score</w:t>
            </w:r>
          </w:p>
        </w:tc>
        <w:tc>
          <w:tcPr>
            <w:tcW w:w="1085" w:type="pct"/>
            <w:tcBorders>
              <w:top w:val="single" w:sz="6" w:space="0" w:color="000000"/>
              <w:left w:val="nil"/>
              <w:bottom w:val="single" w:sz="6" w:space="0" w:color="000000"/>
              <w:right w:val="nil"/>
            </w:tcBorders>
            <w:vAlign w:val="center"/>
          </w:tcPr>
          <w:p w14:paraId="0B69854C" w14:textId="77777777" w:rsidR="006C32F1" w:rsidRPr="002D2A9B" w:rsidRDefault="006C32F1" w:rsidP="00106D18">
            <w:pPr>
              <w:spacing w:line="240" w:lineRule="auto"/>
              <w:jc w:val="center"/>
              <w:textAlignment w:val="baseline"/>
              <w:rPr>
                <w:rFonts w:eastAsia="Times New Roman" w:cs="Calibri Light"/>
                <w:lang w:eastAsia="en-AU"/>
              </w:rPr>
            </w:pPr>
          </w:p>
        </w:tc>
        <w:tc>
          <w:tcPr>
            <w:tcW w:w="1085" w:type="pct"/>
            <w:tcBorders>
              <w:top w:val="single" w:sz="6" w:space="0" w:color="000000"/>
              <w:left w:val="nil"/>
              <w:bottom w:val="single" w:sz="6" w:space="0" w:color="000000"/>
              <w:right w:val="nil"/>
            </w:tcBorders>
            <w:shd w:val="clear" w:color="auto" w:fill="auto"/>
            <w:vAlign w:val="center"/>
          </w:tcPr>
          <w:p w14:paraId="6A2B69F5" w14:textId="77777777" w:rsidR="006C32F1" w:rsidRPr="002D2A9B" w:rsidRDefault="006C32F1" w:rsidP="00106D18">
            <w:pPr>
              <w:spacing w:line="240" w:lineRule="auto"/>
              <w:jc w:val="center"/>
              <w:textAlignment w:val="baseline"/>
              <w:rPr>
                <w:rFonts w:eastAsia="Times New Roman" w:cs="Calibri Light"/>
                <w:lang w:eastAsia="en-AU"/>
              </w:rPr>
            </w:pPr>
          </w:p>
        </w:tc>
        <w:tc>
          <w:tcPr>
            <w:tcW w:w="1085" w:type="pct"/>
            <w:tcBorders>
              <w:top w:val="single" w:sz="6" w:space="0" w:color="000000"/>
              <w:left w:val="nil"/>
              <w:bottom w:val="single" w:sz="6" w:space="0" w:color="000000"/>
              <w:right w:val="nil"/>
            </w:tcBorders>
            <w:shd w:val="clear" w:color="auto" w:fill="auto"/>
            <w:vAlign w:val="center"/>
          </w:tcPr>
          <w:p w14:paraId="1E8CC26F" w14:textId="4EA903CA" w:rsidR="006C32F1" w:rsidRPr="004B4E25" w:rsidRDefault="004B4E25" w:rsidP="00106D18">
            <w:pPr>
              <w:spacing w:line="240" w:lineRule="auto"/>
              <w:jc w:val="center"/>
              <w:textAlignment w:val="baseline"/>
              <w:rPr>
                <w:rFonts w:eastAsia="Times New Roman" w:cs="Calibri Light"/>
                <w:b/>
                <w:bCs/>
                <w:highlight w:val="yellow"/>
                <w:lang w:eastAsia="en-AU"/>
              </w:rPr>
            </w:pPr>
            <w:r w:rsidRPr="004B4E25">
              <w:rPr>
                <w:rFonts w:eastAsia="Times New Roman" w:cs="Calibri Light"/>
                <w:b/>
                <w:bCs/>
                <w:lang w:eastAsia="en-AU"/>
              </w:rPr>
              <w:t>2.5</w:t>
            </w:r>
          </w:p>
        </w:tc>
      </w:tr>
    </w:tbl>
    <w:p w14:paraId="52B3A5B9" w14:textId="29685023" w:rsidR="006C32F1" w:rsidRPr="004B4E25" w:rsidRDefault="00C77847" w:rsidP="00911CE1">
      <w:pPr>
        <w:pStyle w:val="Heading4"/>
        <w:spacing w:before="120"/>
      </w:pPr>
      <w:bookmarkStart w:id="90" w:name="_Ref172818138"/>
      <w:r>
        <w:t>Reference</w:t>
      </w:r>
      <w:r w:rsidRPr="004B4E25">
        <w:t xml:space="preserve"> </w:t>
      </w:r>
      <w:r w:rsidR="006C32F1" w:rsidRPr="004B4E25">
        <w:t>Case</w:t>
      </w:r>
      <w:bookmarkEnd w:id="90"/>
      <w:r w:rsidR="006C32F1" w:rsidRPr="004B4E25">
        <w:t xml:space="preserve"> </w:t>
      </w:r>
    </w:p>
    <w:p w14:paraId="5ED19627" w14:textId="64CFC482" w:rsidR="00AE7FDB" w:rsidRDefault="00C91779" w:rsidP="00AE7FDB">
      <w:r>
        <w:t xml:space="preserve">Under the </w:t>
      </w:r>
      <w:r w:rsidR="008E4A71">
        <w:t xml:space="preserve">Reference </w:t>
      </w:r>
      <w:r w:rsidR="007B3801">
        <w:t>C</w:t>
      </w:r>
      <w:r>
        <w:t xml:space="preserve">ase, the </w:t>
      </w:r>
      <w:r w:rsidR="00B7211E">
        <w:t>R</w:t>
      </w:r>
      <w:r>
        <w:t xml:space="preserve">egulations </w:t>
      </w:r>
      <w:r w:rsidR="009A5114">
        <w:t xml:space="preserve">would sunset without being remade. </w:t>
      </w:r>
      <w:r w:rsidR="00C314BD">
        <w:t>The Act</w:t>
      </w:r>
      <w:r w:rsidR="00C61BFF">
        <w:t xml:space="preserve"> does</w:t>
      </w:r>
      <w:r w:rsidR="00C314BD">
        <w:t xml:space="preserve"> list</w:t>
      </w:r>
      <w:r w:rsidR="00C61BFF">
        <w:t xml:space="preserve"> a small range of </w:t>
      </w:r>
      <w:r w:rsidR="00C314BD">
        <w:t>documents to support an application</w:t>
      </w:r>
      <w:r w:rsidR="00270554">
        <w:t xml:space="preserve">, </w:t>
      </w:r>
      <w:r w:rsidR="000B2E3E">
        <w:t xml:space="preserve">such as </w:t>
      </w:r>
      <w:r w:rsidR="00C27FB3">
        <w:t>the requirement to provide fingerprints</w:t>
      </w:r>
      <w:r w:rsidR="00F06393">
        <w:t>.</w:t>
      </w:r>
      <w:r w:rsidR="00E259CC">
        <w:t xml:space="preserve"> As described in section </w:t>
      </w:r>
      <w:r w:rsidR="008564A3">
        <w:fldChar w:fldCharType="begin"/>
      </w:r>
      <w:r w:rsidR="008564A3">
        <w:instrText xml:space="preserve"> REF _Ref173161152 \n \h </w:instrText>
      </w:r>
      <w:r w:rsidR="008564A3">
        <w:fldChar w:fldCharType="separate"/>
      </w:r>
      <w:r w:rsidR="009D133E">
        <w:t>4.1.1</w:t>
      </w:r>
      <w:r w:rsidR="008564A3">
        <w:fldChar w:fldCharType="end"/>
      </w:r>
      <w:r w:rsidR="00F1709D">
        <w:t xml:space="preserve">, the </w:t>
      </w:r>
      <w:r w:rsidR="007E2D0C" w:rsidRPr="00D61DAF">
        <w:t>Act</w:t>
      </w:r>
      <w:r w:rsidR="007E2D0C" w:rsidRPr="004B6209">
        <w:rPr>
          <w:i/>
          <w:iCs/>
        </w:rPr>
        <w:t xml:space="preserve"> </w:t>
      </w:r>
      <w:r w:rsidR="00F1709D">
        <w:t xml:space="preserve">also lists the </w:t>
      </w:r>
      <w:r w:rsidR="00703ADC">
        <w:t xml:space="preserve">probity and competency </w:t>
      </w:r>
      <w:r w:rsidR="00F1709D">
        <w:t>requirements that must be met before the Chief Commissioner can issue a licence</w:t>
      </w:r>
      <w:r w:rsidR="00137A29">
        <w:t xml:space="preserve"> to the individual or business applicant</w:t>
      </w:r>
      <w:r w:rsidR="00F1709D">
        <w:t xml:space="preserve">. </w:t>
      </w:r>
      <w:r w:rsidR="00D7324F">
        <w:t>However</w:t>
      </w:r>
      <w:r w:rsidR="00F1275B">
        <w:t xml:space="preserve">, since the Regulations would no longer exist, </w:t>
      </w:r>
      <w:r w:rsidR="00685535">
        <w:t xml:space="preserve">there would be no prescribed particulars and prescribed documents for applicants to provide. </w:t>
      </w:r>
      <w:r w:rsidR="00C42E5A">
        <w:t>Applicants would only be required to meet the eligibility requirements as stated in the Act</w:t>
      </w:r>
      <w:r w:rsidR="00EE1DAC">
        <w:t xml:space="preserve">. These include </w:t>
      </w:r>
      <w:r w:rsidR="000C7849">
        <w:t>proving their probity and competency, disclosing any offences and convictions</w:t>
      </w:r>
      <w:r w:rsidR="00BF3811">
        <w:t>, and ensuring financial suitability</w:t>
      </w:r>
      <w:r w:rsidR="00EE1DAC">
        <w:t xml:space="preserve"> of the business</w:t>
      </w:r>
      <w:r w:rsidR="00C42E5A">
        <w:t>.</w:t>
      </w:r>
      <w:r w:rsidR="007A729C">
        <w:t xml:space="preserve"> </w:t>
      </w:r>
      <w:r w:rsidR="00EE1DAC">
        <w:t xml:space="preserve">The absence of Regulations prescribing </w:t>
      </w:r>
      <w:r w:rsidR="00F24778">
        <w:t>particulars and documents to accompany an application</w:t>
      </w:r>
      <w:r w:rsidR="003B4BEE">
        <w:t xml:space="preserve"> </w:t>
      </w:r>
      <w:r w:rsidR="002B6A20">
        <w:t>could</w:t>
      </w:r>
      <w:r w:rsidR="003B4BEE">
        <w:t xml:space="preserve"> potentially create ambiguity for applicants as they would </w:t>
      </w:r>
      <w:r w:rsidR="00F24778">
        <w:t xml:space="preserve">be unaware of the exact information and documents to be provided. </w:t>
      </w:r>
    </w:p>
    <w:p w14:paraId="39699A61" w14:textId="6A3D0310" w:rsidR="00484046" w:rsidRDefault="00C57F46" w:rsidP="006C32F1">
      <w:r>
        <w:t xml:space="preserve">The </w:t>
      </w:r>
      <w:r w:rsidR="008E4A71">
        <w:t xml:space="preserve">Reference </w:t>
      </w:r>
      <w:r w:rsidR="007B3801">
        <w:t>C</w:t>
      </w:r>
      <w:r>
        <w:t xml:space="preserve">ase is included as a point of comparison for Option 1 and is therefore awarded a score of 0. </w:t>
      </w:r>
    </w:p>
    <w:p w14:paraId="228240B4" w14:textId="7E546CEB" w:rsidR="006C32F1" w:rsidRPr="006C32F1" w:rsidRDefault="006C32F1" w:rsidP="007C4DF0">
      <w:pPr>
        <w:pStyle w:val="Heading4"/>
      </w:pPr>
      <w:r>
        <w:t>Option 1</w:t>
      </w:r>
      <w:r w:rsidR="00FC772A">
        <w:t xml:space="preserve">: Remaking the Private Security Regulations with a single tier licensing system </w:t>
      </w:r>
    </w:p>
    <w:p w14:paraId="06C66437" w14:textId="6C9A5C3A" w:rsidR="008C1F5F" w:rsidRDefault="00214EB8" w:rsidP="00214EB8">
      <w:r w:rsidRPr="00B637A0">
        <w:rPr>
          <w:b/>
        </w:rPr>
        <w:t xml:space="preserve">Option 1 receives a score of </w:t>
      </w:r>
      <w:r w:rsidR="00F44603" w:rsidRPr="00B637A0">
        <w:rPr>
          <w:b/>
        </w:rPr>
        <w:t>5</w:t>
      </w:r>
      <w:r w:rsidRPr="00B637A0">
        <w:rPr>
          <w:b/>
        </w:rPr>
        <w:t xml:space="preserve"> for this criterion because it provides greater confidence of the competency and probity of the private security industry compared to the </w:t>
      </w:r>
      <w:r w:rsidR="008E4A71">
        <w:rPr>
          <w:b/>
        </w:rPr>
        <w:t>Reference</w:t>
      </w:r>
      <w:r w:rsidR="008E4A71" w:rsidRPr="00B637A0">
        <w:rPr>
          <w:b/>
        </w:rPr>
        <w:t xml:space="preserve"> </w:t>
      </w:r>
      <w:r w:rsidR="007B3801">
        <w:rPr>
          <w:b/>
        </w:rPr>
        <w:t>C</w:t>
      </w:r>
      <w:r w:rsidRPr="00B637A0">
        <w:rPr>
          <w:b/>
        </w:rPr>
        <w:t>ase.</w:t>
      </w:r>
      <w:r w:rsidR="00C15931">
        <w:t xml:space="preserve"> As discussed above, under the </w:t>
      </w:r>
      <w:r w:rsidR="008E4A71">
        <w:t xml:space="preserve">Reference </w:t>
      </w:r>
      <w:r w:rsidR="007B3801">
        <w:t>Case</w:t>
      </w:r>
      <w:r w:rsidR="00C15931">
        <w:t xml:space="preserve">, applicants </w:t>
      </w:r>
      <w:r w:rsidR="0082330C">
        <w:t>st</w:t>
      </w:r>
      <w:r w:rsidR="00C15931">
        <w:t>ill need to satisfy Victoria Police that</w:t>
      </w:r>
      <w:r w:rsidR="00F41E4C">
        <w:t xml:space="preserve"> they meet the probity and competency requirements for holding a private security licence</w:t>
      </w:r>
      <w:r w:rsidR="008F1BEC">
        <w:t>, however, there is no explicit guidance on the particulars and documents required to do so.</w:t>
      </w:r>
      <w:r w:rsidR="00F41E4C">
        <w:t xml:space="preserve"> </w:t>
      </w:r>
    </w:p>
    <w:p w14:paraId="3C1B8618" w14:textId="212B19C0" w:rsidR="004676FC" w:rsidRDefault="00214EB8" w:rsidP="00214EB8">
      <w:r w:rsidRPr="001A6BE7">
        <w:t xml:space="preserve">The Regulations </w:t>
      </w:r>
      <w:r w:rsidR="00E07799">
        <w:t xml:space="preserve">set the requirements that </w:t>
      </w:r>
      <w:r w:rsidRPr="001A6BE7">
        <w:t xml:space="preserve">provide Victoria Police with </w:t>
      </w:r>
      <w:r w:rsidR="003C43D7">
        <w:t xml:space="preserve">information to assess competency and probity of </w:t>
      </w:r>
      <w:r w:rsidR="004676FC">
        <w:t>industry applicants.</w:t>
      </w:r>
      <w:r w:rsidR="00BA5382">
        <w:t xml:space="preserve"> This includes:</w:t>
      </w:r>
    </w:p>
    <w:p w14:paraId="7E9B9B66" w14:textId="577A77F1" w:rsidR="00BA5382" w:rsidRDefault="00092A21" w:rsidP="00202AB3">
      <w:pPr>
        <w:pStyle w:val="ListParagraph"/>
        <w:numPr>
          <w:ilvl w:val="0"/>
          <w:numId w:val="49"/>
        </w:numPr>
        <w:ind w:left="357" w:hanging="357"/>
        <w:contextualSpacing w:val="0"/>
      </w:pPr>
      <w:r>
        <w:t>C</w:t>
      </w:r>
      <w:r w:rsidR="00E07799" w:rsidRPr="00BA5382">
        <w:t>onsistent</w:t>
      </w:r>
      <w:r w:rsidR="00E07799">
        <w:t xml:space="preserve"> </w:t>
      </w:r>
      <w:r w:rsidR="00214EB8" w:rsidRPr="001A6BE7">
        <w:t>details of the relevant private security training each applicant has completed</w:t>
      </w:r>
      <w:r w:rsidR="00D15E0F">
        <w:t>, which</w:t>
      </w:r>
      <w:r w:rsidR="00214EB8" w:rsidRPr="001A6BE7">
        <w:t xml:space="preserve"> is re</w:t>
      </w:r>
      <w:r w:rsidR="00D15E0F">
        <w:t>quired for those</w:t>
      </w:r>
      <w:r w:rsidR="00214EB8" w:rsidRPr="001A6BE7">
        <w:t xml:space="preserve"> activities they seek to have authorised under the licence. </w:t>
      </w:r>
      <w:r w:rsidR="005F560F">
        <w:t>While adherence to training requirements i</w:t>
      </w:r>
      <w:r w:rsidR="00A10293">
        <w:t>s</w:t>
      </w:r>
      <w:r w:rsidR="005F560F">
        <w:t xml:space="preserve"> prescribed in the Act, </w:t>
      </w:r>
      <w:r w:rsidR="008A78D3">
        <w:t xml:space="preserve">the Regulations specify </w:t>
      </w:r>
      <w:r w:rsidR="006D3F4E">
        <w:t>the requirement for a certified</w:t>
      </w:r>
      <w:r w:rsidR="008A78D3">
        <w:t xml:space="preserve"> copy of the evidence</w:t>
      </w:r>
      <w:r w:rsidR="006D3F4E">
        <w:t xml:space="preserve"> of training</w:t>
      </w:r>
      <w:r w:rsidR="00A10293">
        <w:t xml:space="preserve"> to be provided as part of the application</w:t>
      </w:r>
      <w:r w:rsidR="006D3F4E">
        <w:t xml:space="preserve">. </w:t>
      </w:r>
      <w:r w:rsidR="004F71D1">
        <w:t xml:space="preserve">This provides greater assurance of the </w:t>
      </w:r>
      <w:r w:rsidR="00AC13D3">
        <w:t>legitimacy of the applicant’s training record and competency.</w:t>
      </w:r>
    </w:p>
    <w:p w14:paraId="5EF60905" w14:textId="23C2AA4B" w:rsidR="00BA5382" w:rsidRDefault="00092A21" w:rsidP="00202AB3">
      <w:pPr>
        <w:pStyle w:val="ListParagraph"/>
        <w:numPr>
          <w:ilvl w:val="0"/>
          <w:numId w:val="49"/>
        </w:numPr>
        <w:ind w:left="357" w:hanging="357"/>
        <w:contextualSpacing w:val="0"/>
      </w:pPr>
      <w:r>
        <w:t>D</w:t>
      </w:r>
      <w:r w:rsidR="00214EB8">
        <w:t>isclos</w:t>
      </w:r>
      <w:r w:rsidR="00BA5382">
        <w:t>ure of</w:t>
      </w:r>
      <w:r w:rsidR="00214EB8">
        <w:t xml:space="preserve"> criminal activities or adverse financial circumstances </w:t>
      </w:r>
      <w:r w:rsidR="00747E9A">
        <w:t xml:space="preserve">are prescribed in the Regulations. </w:t>
      </w:r>
    </w:p>
    <w:p w14:paraId="48DC79D0" w14:textId="5D434CDB" w:rsidR="00214EB8" w:rsidRDefault="00092A21" w:rsidP="00202AB3">
      <w:pPr>
        <w:pStyle w:val="ListParagraph"/>
        <w:numPr>
          <w:ilvl w:val="0"/>
          <w:numId w:val="49"/>
        </w:numPr>
        <w:ind w:left="357" w:hanging="357"/>
        <w:contextualSpacing w:val="0"/>
      </w:pPr>
      <w:r>
        <w:t>N</w:t>
      </w:r>
      <w:r w:rsidR="00BA5382">
        <w:t>otification to</w:t>
      </w:r>
      <w:r w:rsidR="00B70B85">
        <w:t xml:space="preserve"> the Chief Commissioner of Victoria Police </w:t>
      </w:r>
      <w:r w:rsidR="00BA5382">
        <w:t>when</w:t>
      </w:r>
      <w:r w:rsidR="00B70B85">
        <w:t xml:space="preserve"> changes </w:t>
      </w:r>
      <w:r w:rsidR="00BA5382">
        <w:t>are made</w:t>
      </w:r>
      <w:r w:rsidR="00B70B85">
        <w:t xml:space="preserve"> to close associates of private security business licence holders </w:t>
      </w:r>
      <w:r w:rsidR="00BA5382">
        <w:t>or</w:t>
      </w:r>
      <w:r w:rsidR="00B70B85">
        <w:t xml:space="preserve"> chan</w:t>
      </w:r>
      <w:r w:rsidR="00A53D5C">
        <w:t>g</w:t>
      </w:r>
      <w:r w:rsidR="00B70B85">
        <w:t>es to officers in a private security licence</w:t>
      </w:r>
      <w:r w:rsidR="00B42896">
        <w:t>-</w:t>
      </w:r>
      <w:r w:rsidR="00B70B85">
        <w:t>holding body corporate</w:t>
      </w:r>
      <w:r w:rsidR="00B42896">
        <w:t>,</w:t>
      </w:r>
      <w:r w:rsidR="00B70B85">
        <w:t xml:space="preserve"> including proof of identity and providing details of any indictable offences, bankruptcies</w:t>
      </w:r>
      <w:r w:rsidR="00911605">
        <w:t xml:space="preserve"> or</w:t>
      </w:r>
      <w:r w:rsidR="00B70B85">
        <w:t xml:space="preserve"> insolvencies. </w:t>
      </w:r>
    </w:p>
    <w:p w14:paraId="69AF8145" w14:textId="00ADCD7C" w:rsidR="00E7730B" w:rsidRDefault="00554F1E" w:rsidP="00214EB8">
      <w:r>
        <w:t>While the</w:t>
      </w:r>
      <w:r w:rsidR="000359EE">
        <w:t xml:space="preserve"> Act requires the Chief Commissioner to maintain a register of </w:t>
      </w:r>
      <w:r w:rsidR="006616CD">
        <w:t>private security registration, licence and permit</w:t>
      </w:r>
      <w:r w:rsidR="00BC29F4">
        <w:t xml:space="preserve"> holders</w:t>
      </w:r>
      <w:r>
        <w:t>,</w:t>
      </w:r>
      <w:r w:rsidR="00BC29F4">
        <w:t xml:space="preserve"> </w:t>
      </w:r>
      <w:r>
        <w:t>t</w:t>
      </w:r>
      <w:r w:rsidR="00BC29F4">
        <w:t xml:space="preserve">he Regulations prescribe the particulars that must be </w:t>
      </w:r>
      <w:r w:rsidR="003343D7">
        <w:t>included about the registration/licence holders</w:t>
      </w:r>
      <w:r>
        <w:t>. This includes</w:t>
      </w:r>
      <w:r w:rsidR="00C33F8F">
        <w:t xml:space="preserve"> </w:t>
      </w:r>
      <w:r w:rsidR="003343D7">
        <w:t>the names,</w:t>
      </w:r>
      <w:r w:rsidR="00C33F8F">
        <w:t xml:space="preserve"> business address,</w:t>
      </w:r>
      <w:r w:rsidR="003343D7">
        <w:t xml:space="preserve"> </w:t>
      </w:r>
      <w:r w:rsidR="00C33F8F">
        <w:t xml:space="preserve">authorised security activities, any conditions </w:t>
      </w:r>
      <w:r w:rsidR="00E032C8">
        <w:t>imposed,</w:t>
      </w:r>
      <w:r w:rsidR="00C33F8F">
        <w:t xml:space="preserve"> and the expiry date of the licence/registration/permit held. Th</w:t>
      </w:r>
      <w:r w:rsidR="001D142C">
        <w:t>e additional details that are captured through these requirements</w:t>
      </w:r>
      <w:r w:rsidR="00C33F8F">
        <w:t xml:space="preserve"> provides </w:t>
      </w:r>
      <w:r w:rsidR="00E032C8">
        <w:t>the Victorian community with additional confirmation of the probity and competenc</w:t>
      </w:r>
      <w:r w:rsidR="001D142C">
        <w:t>y</w:t>
      </w:r>
      <w:r w:rsidR="00E032C8">
        <w:t xml:space="preserve"> of registration and licence holders</w:t>
      </w:r>
      <w:r w:rsidR="00AD00C7">
        <w:t xml:space="preserve"> and creates consistency in how information is managed on the register</w:t>
      </w:r>
      <w:r w:rsidR="00E032C8">
        <w:t xml:space="preserve">. </w:t>
      </w:r>
    </w:p>
    <w:p w14:paraId="0B7DFAD0" w14:textId="77777777" w:rsidR="00DC16DC" w:rsidRDefault="00DC16DC">
      <w:pPr>
        <w:spacing w:after="0"/>
        <w:rPr>
          <w:rFonts w:eastAsiaTheme="majorEastAsia" w:cstheme="majorBidi"/>
          <w:b/>
          <w:bCs/>
        </w:rPr>
      </w:pPr>
      <w:r>
        <w:br w:type="page"/>
      </w:r>
    </w:p>
    <w:p w14:paraId="3F5D727C" w14:textId="32A1FD44" w:rsidR="00214EB8" w:rsidRDefault="00C36F0B" w:rsidP="007C4DF0">
      <w:pPr>
        <w:pStyle w:val="Heading3"/>
      </w:pPr>
      <w:r>
        <w:lastRenderedPageBreak/>
        <w:t xml:space="preserve">Criterion 2: </w:t>
      </w:r>
      <w:r w:rsidR="0086227C">
        <w:t>Costs to industry</w:t>
      </w:r>
    </w:p>
    <w:p w14:paraId="179BCB4A" w14:textId="3A025583" w:rsidR="003935AF" w:rsidRDefault="003935AF" w:rsidP="003935AF">
      <w:pPr>
        <w:pStyle w:val="Caption"/>
      </w:pPr>
      <w:r>
        <w:t xml:space="preserve">Table </w:t>
      </w:r>
      <w:r w:rsidR="00414520">
        <w:fldChar w:fldCharType="begin"/>
      </w:r>
      <w:r w:rsidR="00414520">
        <w:instrText xml:space="preserve"> STYLEREF 1 \s </w:instrText>
      </w:r>
      <w:r w:rsidR="00414520">
        <w:fldChar w:fldCharType="separate"/>
      </w:r>
      <w:r w:rsidR="009D133E">
        <w:rPr>
          <w:noProof/>
        </w:rPr>
        <w:t>4</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3</w:t>
      </w:r>
      <w:r w:rsidR="00414520">
        <w:fldChar w:fldCharType="end"/>
      </w:r>
      <w:r>
        <w:t>: Summary of scores for Criterion 2</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2092"/>
        <w:gridCol w:w="2092"/>
        <w:gridCol w:w="2091"/>
      </w:tblGrid>
      <w:tr w:rsidR="003935AF" w:rsidRPr="00535D1A" w14:paraId="0DB949B2" w14:textId="77777777" w:rsidTr="008C6142">
        <w:trPr>
          <w:trHeight w:val="315"/>
          <w:tblHeader/>
        </w:trPr>
        <w:tc>
          <w:tcPr>
            <w:tcW w:w="1744" w:type="pct"/>
            <w:tcBorders>
              <w:top w:val="single" w:sz="24" w:space="0" w:color="62B5E5"/>
              <w:left w:val="nil"/>
              <w:bottom w:val="single" w:sz="6" w:space="0" w:color="000000"/>
              <w:right w:val="nil"/>
            </w:tcBorders>
            <w:shd w:val="clear" w:color="auto" w:fill="auto"/>
            <w:hideMark/>
          </w:tcPr>
          <w:p w14:paraId="0508924C" w14:textId="77777777" w:rsidR="003935AF" w:rsidRPr="002D2A9B" w:rsidRDefault="003935AF" w:rsidP="003935AF">
            <w:pPr>
              <w:spacing w:line="240" w:lineRule="auto"/>
              <w:textAlignment w:val="baseline"/>
              <w:rPr>
                <w:rFonts w:eastAsia="Times New Roman" w:cs="Calibri Light"/>
                <w:lang w:eastAsia="en-AU"/>
              </w:rPr>
            </w:pPr>
            <w:r w:rsidRPr="002D2A9B">
              <w:rPr>
                <w:rFonts w:eastAsia="Times New Roman" w:cs="Calibri Light"/>
                <w:b/>
                <w:color w:val="000000"/>
                <w:lang w:val="en-GB" w:eastAsia="en-AU"/>
              </w:rPr>
              <w:t>Criterion</w:t>
            </w:r>
            <w:r w:rsidRPr="002D2A9B">
              <w:rPr>
                <w:rFonts w:eastAsia="Times New Roman" w:cs="Calibri Light"/>
                <w:color w:val="000000"/>
                <w:lang w:eastAsia="en-AU"/>
              </w:rPr>
              <w:t> </w:t>
            </w:r>
          </w:p>
        </w:tc>
        <w:tc>
          <w:tcPr>
            <w:tcW w:w="1085" w:type="pct"/>
            <w:tcBorders>
              <w:top w:val="single" w:sz="24" w:space="0" w:color="62B5E5"/>
              <w:left w:val="nil"/>
              <w:bottom w:val="single" w:sz="6" w:space="0" w:color="000000"/>
              <w:right w:val="nil"/>
            </w:tcBorders>
          </w:tcPr>
          <w:p w14:paraId="34E1128D" w14:textId="77777777" w:rsidR="003935AF" w:rsidRPr="002D2A9B" w:rsidRDefault="003935AF" w:rsidP="003935AF">
            <w:pPr>
              <w:spacing w:line="240" w:lineRule="auto"/>
              <w:jc w:val="center"/>
              <w:textAlignment w:val="baseline"/>
              <w:rPr>
                <w:rFonts w:eastAsia="Times New Roman" w:cs="Calibri Light"/>
                <w:b/>
                <w:color w:val="000000"/>
                <w:lang w:val="en-GB" w:eastAsia="en-AU"/>
              </w:rPr>
            </w:pPr>
            <w:r w:rsidRPr="002D2A9B">
              <w:rPr>
                <w:rFonts w:eastAsia="Times New Roman" w:cs="Calibri Light"/>
                <w:b/>
                <w:color w:val="000000"/>
                <w:lang w:val="en-GB" w:eastAsia="en-AU"/>
              </w:rPr>
              <w:t>Weighting</w:t>
            </w:r>
          </w:p>
        </w:tc>
        <w:tc>
          <w:tcPr>
            <w:tcW w:w="1085" w:type="pct"/>
            <w:tcBorders>
              <w:top w:val="single" w:sz="24" w:space="0" w:color="62B5E5"/>
              <w:left w:val="nil"/>
              <w:bottom w:val="single" w:sz="6" w:space="0" w:color="000000"/>
              <w:right w:val="nil"/>
            </w:tcBorders>
            <w:shd w:val="clear" w:color="auto" w:fill="auto"/>
            <w:hideMark/>
          </w:tcPr>
          <w:p w14:paraId="399173C1" w14:textId="276443F8" w:rsidR="003935AF" w:rsidRPr="002D2A9B" w:rsidRDefault="008E4A71" w:rsidP="003935AF">
            <w:pPr>
              <w:spacing w:line="240" w:lineRule="auto"/>
              <w:jc w:val="center"/>
              <w:textAlignment w:val="baseline"/>
              <w:rPr>
                <w:rFonts w:eastAsia="Times New Roman" w:cs="Calibri Light"/>
                <w:lang w:eastAsia="en-AU"/>
              </w:rPr>
            </w:pPr>
            <w:r>
              <w:rPr>
                <w:rFonts w:eastAsia="Times New Roman" w:cs="Calibri Light"/>
                <w:b/>
                <w:color w:val="000000"/>
                <w:lang w:val="en-GB" w:eastAsia="en-AU"/>
              </w:rPr>
              <w:t xml:space="preserve">Reference </w:t>
            </w:r>
            <w:r w:rsidR="003935AF" w:rsidRPr="002D2A9B">
              <w:rPr>
                <w:rFonts w:eastAsia="Times New Roman" w:cs="Calibri Light"/>
                <w:b/>
                <w:color w:val="000000"/>
                <w:lang w:val="en-GB" w:eastAsia="en-AU"/>
              </w:rPr>
              <w:t>Case</w:t>
            </w:r>
          </w:p>
        </w:tc>
        <w:tc>
          <w:tcPr>
            <w:tcW w:w="1085" w:type="pct"/>
            <w:tcBorders>
              <w:top w:val="single" w:sz="24" w:space="0" w:color="62B5E5"/>
              <w:left w:val="nil"/>
              <w:bottom w:val="single" w:sz="6" w:space="0" w:color="000000"/>
              <w:right w:val="nil"/>
            </w:tcBorders>
            <w:shd w:val="clear" w:color="auto" w:fill="auto"/>
            <w:hideMark/>
          </w:tcPr>
          <w:p w14:paraId="1C12865C" w14:textId="4C903937" w:rsidR="003935AF" w:rsidRPr="002D2A9B" w:rsidRDefault="003935AF" w:rsidP="003935AF">
            <w:pPr>
              <w:spacing w:line="240" w:lineRule="auto"/>
              <w:jc w:val="center"/>
              <w:textAlignment w:val="baseline"/>
              <w:rPr>
                <w:rFonts w:eastAsia="Times New Roman" w:cs="Calibri Light"/>
                <w:b/>
                <w:color w:val="000000"/>
                <w:lang w:val="en-GB" w:eastAsia="en-AU"/>
              </w:rPr>
            </w:pPr>
            <w:r w:rsidRPr="002D2A9B">
              <w:rPr>
                <w:rFonts w:eastAsia="Times New Roman" w:cs="Calibri Light"/>
                <w:b/>
                <w:color w:val="000000"/>
                <w:lang w:val="en-GB" w:eastAsia="en-AU"/>
              </w:rPr>
              <w:t>Option 1 – Impact of Status Quo</w:t>
            </w:r>
            <w:r w:rsidRPr="002D2A9B">
              <w:rPr>
                <w:rFonts w:eastAsia="Times New Roman" w:cs="Calibri Light"/>
                <w:color w:val="000000"/>
                <w:lang w:eastAsia="en-AU"/>
              </w:rPr>
              <w:t xml:space="preserve"> relative to the </w:t>
            </w:r>
            <w:r w:rsidR="008E4A71">
              <w:t xml:space="preserve">Reference </w:t>
            </w:r>
            <w:r w:rsidR="007B3801">
              <w:t>Case</w:t>
            </w:r>
          </w:p>
        </w:tc>
      </w:tr>
      <w:tr w:rsidR="003935AF" w:rsidRPr="006C072E" w14:paraId="134E1AB3" w14:textId="77777777" w:rsidTr="00717838">
        <w:trPr>
          <w:trHeight w:val="420"/>
        </w:trPr>
        <w:tc>
          <w:tcPr>
            <w:tcW w:w="1744" w:type="pct"/>
            <w:tcBorders>
              <w:top w:val="single" w:sz="6" w:space="0" w:color="000000"/>
              <w:left w:val="nil"/>
              <w:bottom w:val="single" w:sz="6" w:space="0" w:color="000000"/>
              <w:right w:val="nil"/>
            </w:tcBorders>
            <w:shd w:val="clear" w:color="auto" w:fill="auto"/>
            <w:vAlign w:val="center"/>
            <w:hideMark/>
          </w:tcPr>
          <w:p w14:paraId="21919831" w14:textId="31D942BB" w:rsidR="003935AF" w:rsidRPr="002D2A9B" w:rsidRDefault="0086227C">
            <w:pPr>
              <w:spacing w:line="240" w:lineRule="auto"/>
              <w:textAlignment w:val="baseline"/>
              <w:rPr>
                <w:rFonts w:eastAsia="Times New Roman" w:cs="Calibri Light"/>
                <w:lang w:eastAsia="en-AU"/>
              </w:rPr>
            </w:pPr>
            <w:r>
              <w:t>Costs to industry</w:t>
            </w:r>
          </w:p>
        </w:tc>
        <w:tc>
          <w:tcPr>
            <w:tcW w:w="1085" w:type="pct"/>
            <w:tcBorders>
              <w:top w:val="single" w:sz="6" w:space="0" w:color="000000"/>
              <w:left w:val="nil"/>
              <w:bottom w:val="single" w:sz="6" w:space="0" w:color="000000"/>
              <w:right w:val="nil"/>
            </w:tcBorders>
            <w:vAlign w:val="center"/>
          </w:tcPr>
          <w:p w14:paraId="69884BAB" w14:textId="6A5F5FED" w:rsidR="003935AF" w:rsidRPr="002D2A9B" w:rsidRDefault="003935AF">
            <w:pPr>
              <w:spacing w:line="240" w:lineRule="auto"/>
              <w:jc w:val="center"/>
              <w:textAlignment w:val="baseline"/>
              <w:rPr>
                <w:rFonts w:eastAsia="Times New Roman" w:cs="Calibri Light"/>
                <w:lang w:eastAsia="en-AU"/>
              </w:rPr>
            </w:pPr>
            <w:r>
              <w:rPr>
                <w:rFonts w:eastAsia="Times New Roman" w:cs="Calibri Light"/>
                <w:lang w:eastAsia="en-AU"/>
              </w:rPr>
              <w:t>25</w:t>
            </w:r>
            <w:r w:rsidRPr="002D2A9B">
              <w:rPr>
                <w:rFonts w:eastAsia="Times New Roman" w:cs="Calibri Light"/>
                <w:lang w:eastAsia="en-AU"/>
              </w:rPr>
              <w:t>%</w:t>
            </w:r>
          </w:p>
        </w:tc>
        <w:tc>
          <w:tcPr>
            <w:tcW w:w="1085" w:type="pct"/>
            <w:tcBorders>
              <w:top w:val="single" w:sz="6" w:space="0" w:color="000000"/>
              <w:left w:val="nil"/>
              <w:bottom w:val="single" w:sz="6" w:space="0" w:color="000000"/>
              <w:right w:val="nil"/>
            </w:tcBorders>
            <w:shd w:val="clear" w:color="auto" w:fill="auto"/>
            <w:vAlign w:val="center"/>
            <w:hideMark/>
          </w:tcPr>
          <w:p w14:paraId="2CCBBDFB" w14:textId="77777777" w:rsidR="003935AF" w:rsidRPr="002D2A9B" w:rsidRDefault="003935AF">
            <w:pPr>
              <w:spacing w:line="240" w:lineRule="auto"/>
              <w:jc w:val="center"/>
              <w:textAlignment w:val="baseline"/>
              <w:rPr>
                <w:rFonts w:eastAsia="Times New Roman" w:cs="Calibri Light"/>
                <w:lang w:eastAsia="en-AU"/>
              </w:rPr>
            </w:pPr>
            <w:r w:rsidRPr="002D2A9B">
              <w:rPr>
                <w:rFonts w:eastAsia="Times New Roman" w:cs="Calibri Light"/>
                <w:lang w:eastAsia="en-AU"/>
              </w:rPr>
              <w:t>0</w:t>
            </w:r>
          </w:p>
        </w:tc>
        <w:tc>
          <w:tcPr>
            <w:tcW w:w="1085" w:type="pct"/>
            <w:tcBorders>
              <w:top w:val="single" w:sz="6" w:space="0" w:color="000000"/>
              <w:left w:val="nil"/>
              <w:bottom w:val="single" w:sz="6" w:space="0" w:color="000000"/>
              <w:right w:val="nil"/>
            </w:tcBorders>
            <w:shd w:val="clear" w:color="auto" w:fill="auto"/>
            <w:vAlign w:val="center"/>
          </w:tcPr>
          <w:p w14:paraId="1F441E60" w14:textId="5DBFAC47" w:rsidR="003935AF" w:rsidRPr="002D2A9B" w:rsidRDefault="004B4E25">
            <w:pPr>
              <w:spacing w:line="240" w:lineRule="auto"/>
              <w:jc w:val="center"/>
              <w:textAlignment w:val="baseline"/>
              <w:rPr>
                <w:rFonts w:eastAsia="Times New Roman" w:cs="Calibri Light"/>
                <w:lang w:eastAsia="en-AU"/>
              </w:rPr>
            </w:pPr>
            <w:r>
              <w:rPr>
                <w:rFonts w:eastAsia="Times New Roman" w:cs="Calibri Light"/>
                <w:lang w:eastAsia="en-AU"/>
              </w:rPr>
              <w:t>-2</w:t>
            </w:r>
          </w:p>
        </w:tc>
      </w:tr>
      <w:tr w:rsidR="003935AF" w:rsidRPr="006C072E" w14:paraId="6AD4856E" w14:textId="77777777" w:rsidTr="00717838">
        <w:trPr>
          <w:trHeight w:val="420"/>
        </w:trPr>
        <w:tc>
          <w:tcPr>
            <w:tcW w:w="1744" w:type="pct"/>
            <w:tcBorders>
              <w:top w:val="single" w:sz="6" w:space="0" w:color="000000"/>
              <w:left w:val="nil"/>
              <w:bottom w:val="single" w:sz="6" w:space="0" w:color="000000"/>
              <w:right w:val="nil"/>
            </w:tcBorders>
            <w:shd w:val="clear" w:color="auto" w:fill="auto"/>
            <w:vAlign w:val="center"/>
          </w:tcPr>
          <w:p w14:paraId="366305FE" w14:textId="77777777" w:rsidR="003935AF" w:rsidRPr="006C32F1" w:rsidRDefault="003935AF">
            <w:pPr>
              <w:spacing w:line="240" w:lineRule="auto"/>
              <w:textAlignment w:val="baseline"/>
              <w:rPr>
                <w:b/>
                <w:bCs/>
              </w:rPr>
            </w:pPr>
            <w:r w:rsidRPr="006C32F1">
              <w:rPr>
                <w:b/>
                <w:bCs/>
              </w:rPr>
              <w:t>Weighted score</w:t>
            </w:r>
          </w:p>
        </w:tc>
        <w:tc>
          <w:tcPr>
            <w:tcW w:w="1085" w:type="pct"/>
            <w:tcBorders>
              <w:top w:val="single" w:sz="6" w:space="0" w:color="000000"/>
              <w:left w:val="nil"/>
              <w:bottom w:val="single" w:sz="6" w:space="0" w:color="000000"/>
              <w:right w:val="nil"/>
            </w:tcBorders>
            <w:vAlign w:val="center"/>
          </w:tcPr>
          <w:p w14:paraId="0FE9A742" w14:textId="77777777" w:rsidR="003935AF" w:rsidRPr="002D2A9B" w:rsidRDefault="003935AF">
            <w:pPr>
              <w:spacing w:line="240" w:lineRule="auto"/>
              <w:jc w:val="center"/>
              <w:textAlignment w:val="baseline"/>
              <w:rPr>
                <w:rFonts w:eastAsia="Times New Roman" w:cs="Calibri Light"/>
                <w:lang w:eastAsia="en-AU"/>
              </w:rPr>
            </w:pPr>
          </w:p>
        </w:tc>
        <w:tc>
          <w:tcPr>
            <w:tcW w:w="1085" w:type="pct"/>
            <w:tcBorders>
              <w:top w:val="single" w:sz="6" w:space="0" w:color="000000"/>
              <w:left w:val="nil"/>
              <w:bottom w:val="single" w:sz="6" w:space="0" w:color="000000"/>
              <w:right w:val="nil"/>
            </w:tcBorders>
            <w:shd w:val="clear" w:color="auto" w:fill="auto"/>
            <w:vAlign w:val="center"/>
          </w:tcPr>
          <w:p w14:paraId="11C25B7B" w14:textId="77777777" w:rsidR="003935AF" w:rsidRPr="002D2A9B" w:rsidRDefault="003935AF">
            <w:pPr>
              <w:spacing w:line="240" w:lineRule="auto"/>
              <w:jc w:val="center"/>
              <w:textAlignment w:val="baseline"/>
              <w:rPr>
                <w:rFonts w:eastAsia="Times New Roman" w:cs="Calibri Light"/>
                <w:lang w:eastAsia="en-AU"/>
              </w:rPr>
            </w:pPr>
          </w:p>
        </w:tc>
        <w:tc>
          <w:tcPr>
            <w:tcW w:w="1085" w:type="pct"/>
            <w:tcBorders>
              <w:top w:val="single" w:sz="6" w:space="0" w:color="000000"/>
              <w:left w:val="nil"/>
              <w:bottom w:val="single" w:sz="6" w:space="0" w:color="000000"/>
              <w:right w:val="nil"/>
            </w:tcBorders>
            <w:shd w:val="clear" w:color="auto" w:fill="auto"/>
            <w:vAlign w:val="center"/>
          </w:tcPr>
          <w:p w14:paraId="683C429E" w14:textId="4AC91DD2" w:rsidR="003935AF" w:rsidRPr="00EF2800" w:rsidRDefault="004B4E25">
            <w:pPr>
              <w:spacing w:line="240" w:lineRule="auto"/>
              <w:jc w:val="center"/>
              <w:textAlignment w:val="baseline"/>
              <w:rPr>
                <w:rFonts w:eastAsia="Times New Roman" w:cs="Calibri Light"/>
                <w:b/>
                <w:bCs/>
                <w:highlight w:val="yellow"/>
                <w:lang w:eastAsia="en-AU"/>
              </w:rPr>
            </w:pPr>
            <w:r w:rsidRPr="004B4E25">
              <w:rPr>
                <w:rFonts w:eastAsia="Times New Roman" w:cs="Calibri Light"/>
                <w:b/>
                <w:bCs/>
                <w:lang w:eastAsia="en-AU"/>
              </w:rPr>
              <w:t>-0.50</w:t>
            </w:r>
          </w:p>
        </w:tc>
      </w:tr>
    </w:tbl>
    <w:p w14:paraId="766B2B12" w14:textId="76E1BF05" w:rsidR="007C4DF0" w:rsidRPr="008C088B" w:rsidRDefault="005F0D37" w:rsidP="00911CE1">
      <w:pPr>
        <w:pStyle w:val="Heading4"/>
        <w:spacing w:before="120"/>
      </w:pPr>
      <w:bookmarkStart w:id="91" w:name="_Ref173419332"/>
      <w:r>
        <w:t>Reference</w:t>
      </w:r>
      <w:r w:rsidRPr="008C088B">
        <w:t xml:space="preserve"> </w:t>
      </w:r>
      <w:r w:rsidR="003935AF" w:rsidRPr="008C088B">
        <w:t>Case</w:t>
      </w:r>
      <w:bookmarkEnd w:id="91"/>
      <w:r w:rsidR="003935AF" w:rsidRPr="008C088B">
        <w:t xml:space="preserve"> </w:t>
      </w:r>
    </w:p>
    <w:p w14:paraId="658D2F47" w14:textId="43DAFD4B" w:rsidR="00D434F0" w:rsidRDefault="009E6B9F" w:rsidP="000943E5">
      <w:r w:rsidRPr="008C088B">
        <w:t>Under the</w:t>
      </w:r>
      <w:r w:rsidR="005F0D37">
        <w:t xml:space="preserve"> Reference</w:t>
      </w:r>
      <w:r w:rsidR="007B3801">
        <w:t xml:space="preserve"> Case</w:t>
      </w:r>
      <w:r w:rsidRPr="008C088B">
        <w:t xml:space="preserve">, </w:t>
      </w:r>
      <w:r w:rsidR="000943E5" w:rsidRPr="008C088B">
        <w:t xml:space="preserve">applicants </w:t>
      </w:r>
      <w:r w:rsidR="007C2B9C">
        <w:t>would face</w:t>
      </w:r>
      <w:r w:rsidR="003212FF">
        <w:t xml:space="preserve"> </w:t>
      </w:r>
      <w:r w:rsidR="000943E5" w:rsidRPr="008C088B">
        <w:t xml:space="preserve">ambiguity </w:t>
      </w:r>
      <w:r w:rsidR="009C471C">
        <w:t>in</w:t>
      </w:r>
      <w:r w:rsidR="007D7581">
        <w:t xml:space="preserve"> </w:t>
      </w:r>
      <w:r w:rsidR="003212FF">
        <w:t xml:space="preserve">understanding what </w:t>
      </w:r>
      <w:r w:rsidR="000943E5" w:rsidRPr="008C088B">
        <w:t xml:space="preserve">documentation </w:t>
      </w:r>
      <w:r w:rsidR="003212FF">
        <w:t>is required for a</w:t>
      </w:r>
      <w:r w:rsidR="00B536CE">
        <w:t xml:space="preserve"> licence or registration</w:t>
      </w:r>
      <w:r w:rsidR="003212FF">
        <w:t xml:space="preserve"> application</w:t>
      </w:r>
      <w:r w:rsidR="00CA131D">
        <w:t>. This</w:t>
      </w:r>
      <w:r w:rsidR="000943E5" w:rsidRPr="008C088B">
        <w:t xml:space="preserve"> could result </w:t>
      </w:r>
      <w:r w:rsidR="00CA131D">
        <w:t xml:space="preserve">in an application requiring multiple points of interaction with Victoria Police to meet the requirements under the Act or, at worst, rejection of the application itself. </w:t>
      </w:r>
      <w:r w:rsidR="000943E5" w:rsidRPr="008C088B">
        <w:t xml:space="preserve">Alternatively, applicants would need to </w:t>
      </w:r>
      <w:r w:rsidR="00D81CF0">
        <w:t xml:space="preserve">seek </w:t>
      </w:r>
      <w:r w:rsidR="000943E5" w:rsidRPr="008C088B">
        <w:t xml:space="preserve">information from </w:t>
      </w:r>
      <w:r w:rsidR="00033FA9">
        <w:t>Victoria Police</w:t>
      </w:r>
      <w:r w:rsidR="000943E5" w:rsidRPr="008C088B">
        <w:t xml:space="preserve"> </w:t>
      </w:r>
      <w:r w:rsidR="000B63F0">
        <w:t>to ensure they comply with the legislative requirements</w:t>
      </w:r>
      <w:r w:rsidR="000943E5" w:rsidRPr="008C088B">
        <w:t>.</w:t>
      </w:r>
      <w:r w:rsidR="0007143B" w:rsidRPr="0007143B">
        <w:t xml:space="preserve"> </w:t>
      </w:r>
      <w:r w:rsidR="0007143B">
        <w:t>Additionally, w</w:t>
      </w:r>
      <w:r w:rsidR="0007143B" w:rsidRPr="0007143B">
        <w:t xml:space="preserve">hile the Act specifies a list of requirements to be met for granting a new licence, it does not describe similar requirements for renewing licences. Since the Regulations are not remade in the </w:t>
      </w:r>
      <w:r w:rsidR="00751887">
        <w:t xml:space="preserve">Reference </w:t>
      </w:r>
      <w:r w:rsidR="007B3801">
        <w:t>Case</w:t>
      </w:r>
      <w:r w:rsidR="0007143B" w:rsidRPr="0007143B">
        <w:t>, there will be no prescribed particulars and documents to be provided for renewal applications.</w:t>
      </w:r>
      <w:r w:rsidR="0007143B">
        <w:t xml:space="preserve"> </w:t>
      </w:r>
    </w:p>
    <w:p w14:paraId="008A1A33" w14:textId="6166A3B3" w:rsidR="0052448E" w:rsidRDefault="00C647D8" w:rsidP="003935AF">
      <w:r>
        <w:t>Furthermore</w:t>
      </w:r>
      <w:r w:rsidR="00416F12">
        <w:t>, t</w:t>
      </w:r>
      <w:r w:rsidR="004E591E">
        <w:t>he Regulations prescribe</w:t>
      </w:r>
      <w:r w:rsidR="00ED2D87">
        <w:t xml:space="preserve"> </w:t>
      </w:r>
      <w:r w:rsidR="00416F12">
        <w:t>additional</w:t>
      </w:r>
      <w:r w:rsidR="00ED2D87">
        <w:t xml:space="preserve"> classes of persons </w:t>
      </w:r>
      <w:r w:rsidR="00E0097A">
        <w:t>to which</w:t>
      </w:r>
      <w:r w:rsidR="00ED2D87">
        <w:t xml:space="preserve"> the Act does not apply</w:t>
      </w:r>
      <w:r w:rsidR="001E2AF6">
        <w:t xml:space="preserve"> and, </w:t>
      </w:r>
      <w:r w:rsidR="004952D1">
        <w:t xml:space="preserve">under the Reference Case, </w:t>
      </w:r>
      <w:r w:rsidR="004952D1" w:rsidRPr="004952D1">
        <w:t>these categories of professionals would still be subject to the Act</w:t>
      </w:r>
      <w:r w:rsidR="00E0097A">
        <w:t>,</w:t>
      </w:r>
      <w:r w:rsidR="00ED2D87">
        <w:t xml:space="preserve"> including</w:t>
      </w:r>
      <w:r w:rsidR="0052448E">
        <w:t>:</w:t>
      </w:r>
    </w:p>
    <w:p w14:paraId="49954813" w14:textId="1111AE81" w:rsidR="00475503" w:rsidRDefault="00ED2D87" w:rsidP="00202AB3">
      <w:pPr>
        <w:pStyle w:val="ListParagraph"/>
        <w:numPr>
          <w:ilvl w:val="0"/>
          <w:numId w:val="32"/>
        </w:numPr>
      </w:pPr>
      <w:r>
        <w:t>apprentices</w:t>
      </w:r>
      <w:r w:rsidR="00807FCB">
        <w:t xml:space="preserve"> that through the course of their training or work experience, install security equipment </w:t>
      </w:r>
      <w:r w:rsidR="0052448E">
        <w:t xml:space="preserve">under supervision from an appropriately </w:t>
      </w:r>
      <w:r w:rsidR="007D73D0">
        <w:t xml:space="preserve">licenced </w:t>
      </w:r>
      <w:r w:rsidR="0052448E">
        <w:t xml:space="preserve">private security </w:t>
      </w:r>
      <w:r w:rsidR="007D73D0">
        <w:t>provider</w:t>
      </w:r>
    </w:p>
    <w:p w14:paraId="672AB5CF" w14:textId="11598687" w:rsidR="0052448E" w:rsidRDefault="00B038B8" w:rsidP="00202AB3">
      <w:pPr>
        <w:pStyle w:val="ListParagraph"/>
        <w:numPr>
          <w:ilvl w:val="0"/>
          <w:numId w:val="32"/>
        </w:numPr>
      </w:pPr>
      <w:r>
        <w:t>people employed as investigators by a public entity, special body or a Council</w:t>
      </w:r>
    </w:p>
    <w:p w14:paraId="0E18C429" w14:textId="78822D0C" w:rsidR="00B038B8" w:rsidRDefault="00CA3448" w:rsidP="00202AB3">
      <w:pPr>
        <w:pStyle w:val="ListParagraph"/>
        <w:numPr>
          <w:ilvl w:val="0"/>
          <w:numId w:val="32"/>
        </w:numPr>
      </w:pPr>
      <w:r>
        <w:t>persons investigating matters relating to food hygiene or trade or professional standards under a contract with a public entity</w:t>
      </w:r>
      <w:r w:rsidR="0047002B">
        <w:t xml:space="preserve">, a special body or Council </w:t>
      </w:r>
    </w:p>
    <w:p w14:paraId="0468BBFB" w14:textId="7D6C9F77" w:rsidR="00AF26AF" w:rsidRDefault="0047002B" w:rsidP="00202AB3">
      <w:pPr>
        <w:pStyle w:val="ListParagraph"/>
        <w:numPr>
          <w:ilvl w:val="0"/>
          <w:numId w:val="32"/>
        </w:numPr>
      </w:pPr>
      <w:r>
        <w:t>employees</w:t>
      </w:r>
      <w:r w:rsidR="00951863">
        <w:t xml:space="preserve"> that provide advice to customers relating to security equipment sold by them</w:t>
      </w:r>
      <w:r w:rsidR="00AF26AF">
        <w:t xml:space="preserve"> but are employed by a business t</w:t>
      </w:r>
      <w:r w:rsidR="002A48E1">
        <w:t xml:space="preserve">hat does not require a private security </w:t>
      </w:r>
      <w:r w:rsidR="007D73D0">
        <w:t>licence</w:t>
      </w:r>
      <w:r w:rsidR="00AF26AF">
        <w:t xml:space="preserve">. </w:t>
      </w:r>
    </w:p>
    <w:p w14:paraId="1DEE82A4" w14:textId="21665EF5" w:rsidR="007D51BA" w:rsidRDefault="0036598D" w:rsidP="00AF26AF">
      <w:r>
        <w:t xml:space="preserve"> </w:t>
      </w:r>
      <w:r w:rsidR="007D51BA">
        <w:t xml:space="preserve">The </w:t>
      </w:r>
      <w:r w:rsidR="005F0D37">
        <w:t xml:space="preserve">Reference </w:t>
      </w:r>
      <w:r w:rsidR="007B3801">
        <w:t xml:space="preserve">Case </w:t>
      </w:r>
      <w:r w:rsidR="007D51BA">
        <w:t>is used as a counter-fact</w:t>
      </w:r>
      <w:r w:rsidR="00EB73A1">
        <w:t xml:space="preserve">ual against which Option 1 will be compared and therefore </w:t>
      </w:r>
      <w:r w:rsidR="009E28EC">
        <w:t xml:space="preserve">is awarded as score of 0. </w:t>
      </w:r>
    </w:p>
    <w:p w14:paraId="5D1C7789" w14:textId="7D27BD14" w:rsidR="003935AF" w:rsidRPr="006C32F1" w:rsidRDefault="003935AF" w:rsidP="003935AF">
      <w:pPr>
        <w:pStyle w:val="Heading4"/>
      </w:pPr>
      <w:r>
        <w:t>Option 1</w:t>
      </w:r>
      <w:r w:rsidR="0048674B">
        <w:t>:</w:t>
      </w:r>
      <w:r>
        <w:t xml:space="preserve"> Remaking the Private Security Regulations with a single tier licensing system </w:t>
      </w:r>
    </w:p>
    <w:p w14:paraId="033BC2AE" w14:textId="74CADBC6" w:rsidR="00183787" w:rsidRDefault="003935AF" w:rsidP="003935AF">
      <w:r w:rsidRPr="00094B42">
        <w:rPr>
          <w:b/>
        </w:rPr>
        <w:t xml:space="preserve">Option 1 receives a score of </w:t>
      </w:r>
      <w:r w:rsidR="00623A38" w:rsidRPr="00094B42">
        <w:rPr>
          <w:b/>
        </w:rPr>
        <w:t>-2</w:t>
      </w:r>
      <w:r w:rsidRPr="00094B42">
        <w:rPr>
          <w:b/>
        </w:rPr>
        <w:t xml:space="preserve"> for this criterion because it imposes a marginally greater compliance cost for regulated parties.</w:t>
      </w:r>
      <w:r w:rsidR="000A5F54" w:rsidRPr="00094B42">
        <w:rPr>
          <w:b/>
        </w:rPr>
        <w:t xml:space="preserve"> </w:t>
      </w:r>
      <w:r w:rsidR="004B0771">
        <w:t xml:space="preserve">As discussed in </w:t>
      </w:r>
      <w:r w:rsidR="004B0771" w:rsidRPr="007B350C">
        <w:t>section</w:t>
      </w:r>
      <w:r w:rsidR="004B0771">
        <w:t xml:space="preserve"> </w:t>
      </w:r>
      <w:r w:rsidR="0048674B">
        <w:fldChar w:fldCharType="begin"/>
      </w:r>
      <w:r w:rsidR="0048674B">
        <w:instrText xml:space="preserve"> REF _Ref173161152 \n \h </w:instrText>
      </w:r>
      <w:r w:rsidR="0048674B">
        <w:fldChar w:fldCharType="separate"/>
      </w:r>
      <w:r w:rsidR="009D133E">
        <w:t>4.1.1</w:t>
      </w:r>
      <w:r w:rsidR="0048674B">
        <w:fldChar w:fldCharType="end"/>
      </w:r>
      <w:r w:rsidR="004B0771" w:rsidRPr="007B350C">
        <w:t xml:space="preserve">, </w:t>
      </w:r>
      <w:r w:rsidR="00614046" w:rsidRPr="007B350C">
        <w:t>the</w:t>
      </w:r>
      <w:r w:rsidR="00614046">
        <w:t xml:space="preserve"> requirements to be met by private security licence applicants are mostly prescribed in the Act. The Regulations only impose </w:t>
      </w:r>
      <w:r w:rsidR="00433595">
        <w:t>additional</w:t>
      </w:r>
      <w:r w:rsidR="00614046">
        <w:t xml:space="preserve"> </w:t>
      </w:r>
      <w:r w:rsidR="0001549D">
        <w:t>requirements for particulars and documents to be provided. For individuals</w:t>
      </w:r>
      <w:r w:rsidR="00371C92">
        <w:t xml:space="preserve">, </w:t>
      </w:r>
      <w:r w:rsidR="00D241B7">
        <w:t xml:space="preserve">this includes the </w:t>
      </w:r>
      <w:r w:rsidR="00346418">
        <w:t xml:space="preserve">requirement to provide a photograph and certified </w:t>
      </w:r>
      <w:r w:rsidR="00E31802">
        <w:t>copies of documents verifying qualifications</w:t>
      </w:r>
      <w:r w:rsidR="00CE5CFF">
        <w:t xml:space="preserve"> or tra</w:t>
      </w:r>
      <w:r w:rsidR="00216802">
        <w:t xml:space="preserve">ining for new applications. </w:t>
      </w:r>
    </w:p>
    <w:p w14:paraId="0AE59487" w14:textId="030573E5" w:rsidR="008E64DD" w:rsidRDefault="009863D4" w:rsidP="003935AF">
      <w:r>
        <w:t>Additional requirements for new business licences under the Regulations include</w:t>
      </w:r>
      <w:r w:rsidR="008E64DD">
        <w:t xml:space="preserve"> the </w:t>
      </w:r>
      <w:r w:rsidR="00A57A7A">
        <w:t>following</w:t>
      </w:r>
      <w:r>
        <w:t>:</w:t>
      </w:r>
    </w:p>
    <w:p w14:paraId="6AAA1B5B" w14:textId="443DA281" w:rsidR="004B0771" w:rsidRDefault="005901F0" w:rsidP="00202AB3">
      <w:pPr>
        <w:pStyle w:val="ListParagraph"/>
        <w:numPr>
          <w:ilvl w:val="0"/>
          <w:numId w:val="39"/>
        </w:numPr>
      </w:pPr>
      <w:r>
        <w:t>a</w:t>
      </w:r>
      <w:r w:rsidR="008E64DD">
        <w:t xml:space="preserve"> passport-sized </w:t>
      </w:r>
      <w:r w:rsidR="00D34C9F">
        <w:t xml:space="preserve">photo of </w:t>
      </w:r>
      <w:r>
        <w:t xml:space="preserve">the applicant (for a natural person) or the nominated person (for a body corporate) </w:t>
      </w:r>
    </w:p>
    <w:p w14:paraId="30BB899E" w14:textId="057755B1" w:rsidR="002463BF" w:rsidRDefault="00DF06AE" w:rsidP="00202AB3">
      <w:pPr>
        <w:pStyle w:val="ListParagraph"/>
        <w:numPr>
          <w:ilvl w:val="0"/>
          <w:numId w:val="39"/>
        </w:numPr>
      </w:pPr>
      <w:r>
        <w:t xml:space="preserve">the Australian Company Number of a body corporate (if registered under the </w:t>
      </w:r>
      <w:r w:rsidRPr="00AF4847">
        <w:rPr>
          <w:i/>
          <w:iCs/>
        </w:rPr>
        <w:t>Corporations Act 2001</w:t>
      </w:r>
      <w:r w:rsidR="00911605">
        <w:t xml:space="preserve"> (Cth)</w:t>
      </w:r>
      <w:r w:rsidR="00AF4847">
        <w:t>)</w:t>
      </w:r>
    </w:p>
    <w:p w14:paraId="522F4ED8" w14:textId="475FBF1D" w:rsidR="00923C9E" w:rsidRDefault="00923C9E" w:rsidP="00202AB3">
      <w:pPr>
        <w:pStyle w:val="ListParagraph"/>
        <w:numPr>
          <w:ilvl w:val="0"/>
          <w:numId w:val="39"/>
        </w:numPr>
      </w:pPr>
      <w:r>
        <w:t>any additional names under which the body corporate intends to carry on the business</w:t>
      </w:r>
    </w:p>
    <w:p w14:paraId="7F9BBB78" w14:textId="06435FC4" w:rsidR="00B60B23" w:rsidRDefault="00B60B23" w:rsidP="00202AB3">
      <w:pPr>
        <w:pStyle w:val="ListParagraph"/>
        <w:numPr>
          <w:ilvl w:val="0"/>
          <w:numId w:val="39"/>
        </w:numPr>
      </w:pPr>
      <w:r>
        <w:t xml:space="preserve">the Australian Business Number (if any) </w:t>
      </w:r>
    </w:p>
    <w:p w14:paraId="3B5B0612" w14:textId="163D0BE9" w:rsidR="005901F0" w:rsidRDefault="00FB2ADB" w:rsidP="00202AB3">
      <w:pPr>
        <w:pStyle w:val="ListParagraph"/>
        <w:numPr>
          <w:ilvl w:val="0"/>
          <w:numId w:val="39"/>
        </w:numPr>
      </w:pPr>
      <w:r>
        <w:t xml:space="preserve">if the applicant is a natural person and carries on the business under a business name, the certified copy of the registration of the business name under the </w:t>
      </w:r>
      <w:r w:rsidRPr="00FB2ADB">
        <w:rPr>
          <w:i/>
          <w:iCs/>
        </w:rPr>
        <w:t>Business Names Registration Act 2011</w:t>
      </w:r>
      <w:r>
        <w:t xml:space="preserve"> of the Commonwealth </w:t>
      </w:r>
    </w:p>
    <w:p w14:paraId="1990A051" w14:textId="77777777" w:rsidR="00C32998" w:rsidRDefault="003D1605" w:rsidP="00202AB3">
      <w:pPr>
        <w:pStyle w:val="ListParagraph"/>
        <w:numPr>
          <w:ilvl w:val="0"/>
          <w:numId w:val="39"/>
        </w:numPr>
      </w:pPr>
      <w:r>
        <w:t>if the applicant is a body corporate</w:t>
      </w:r>
      <w:r w:rsidR="00C32998">
        <w:t>:</w:t>
      </w:r>
    </w:p>
    <w:p w14:paraId="51124D14" w14:textId="6F55A934" w:rsidR="00C32998" w:rsidRDefault="003D1605" w:rsidP="00202AB3">
      <w:pPr>
        <w:pStyle w:val="ListParagraph"/>
        <w:numPr>
          <w:ilvl w:val="1"/>
          <w:numId w:val="39"/>
        </w:numPr>
      </w:pPr>
      <w:r>
        <w:t xml:space="preserve">a certified copy of a certificate of registration under the </w:t>
      </w:r>
      <w:r w:rsidRPr="00C67E7F">
        <w:rPr>
          <w:i/>
          <w:iCs/>
        </w:rPr>
        <w:t>Corporations Act 2001</w:t>
      </w:r>
      <w:r>
        <w:t xml:space="preserve"> (Cth)</w:t>
      </w:r>
      <w:r w:rsidR="0036598D">
        <w:t xml:space="preserve"> </w:t>
      </w:r>
    </w:p>
    <w:p w14:paraId="69AFEB6A" w14:textId="0AF8ECE0" w:rsidR="00C32998" w:rsidRDefault="001F36A8" w:rsidP="00202AB3">
      <w:pPr>
        <w:pStyle w:val="ListParagraph"/>
        <w:numPr>
          <w:ilvl w:val="1"/>
          <w:numId w:val="39"/>
        </w:numPr>
      </w:pPr>
      <w:r>
        <w:t xml:space="preserve">a certified copy of registration of business name under the </w:t>
      </w:r>
      <w:r w:rsidRPr="00DD5B07">
        <w:rPr>
          <w:i/>
        </w:rPr>
        <w:t>Business Names Registration Act 2011</w:t>
      </w:r>
      <w:r>
        <w:t xml:space="preserve"> </w:t>
      </w:r>
      <w:r w:rsidR="004C2664">
        <w:t xml:space="preserve">if the body corporate trades under a name other than that on its certificate of registration, and </w:t>
      </w:r>
      <w:r w:rsidR="008A47CC">
        <w:t xml:space="preserve">if registered under the </w:t>
      </w:r>
      <w:r w:rsidR="008A47CC" w:rsidRPr="00C67E7F">
        <w:rPr>
          <w:i/>
          <w:iCs/>
        </w:rPr>
        <w:t>Corporations Act 2001</w:t>
      </w:r>
      <w:r w:rsidR="00911605">
        <w:rPr>
          <w:i/>
          <w:iCs/>
        </w:rPr>
        <w:t xml:space="preserve"> (Cth)</w:t>
      </w:r>
    </w:p>
    <w:p w14:paraId="36DFF2BE" w14:textId="4623E25D" w:rsidR="004C4B81" w:rsidRDefault="004C2664" w:rsidP="00202AB3">
      <w:pPr>
        <w:pStyle w:val="ListParagraph"/>
        <w:numPr>
          <w:ilvl w:val="1"/>
          <w:numId w:val="39"/>
        </w:numPr>
      </w:pPr>
      <w:r>
        <w:t xml:space="preserve">a certified copy </w:t>
      </w:r>
      <w:r w:rsidR="008D1F6B">
        <w:t xml:space="preserve">of a document verifying the appointment of the officers of the body corporate </w:t>
      </w:r>
      <w:r w:rsidR="008A47CC">
        <w:t>from Australian Securities and Investments Commission</w:t>
      </w:r>
      <w:r w:rsidR="00AF5287">
        <w:t xml:space="preserve"> (ASIC)</w:t>
      </w:r>
      <w:r w:rsidR="008A47CC">
        <w:t xml:space="preserve">. </w:t>
      </w:r>
    </w:p>
    <w:p w14:paraId="79032C1C" w14:textId="3714C2D8" w:rsidR="00F829C3" w:rsidRDefault="007C60EA" w:rsidP="00C67E7F">
      <w:r>
        <w:t xml:space="preserve">These details would </w:t>
      </w:r>
      <w:r w:rsidR="00B858A4">
        <w:t>likely</w:t>
      </w:r>
      <w:r>
        <w:t xml:space="preserve"> be easily available to the applicants</w:t>
      </w:r>
      <w:r w:rsidR="000732DD">
        <w:t xml:space="preserve"> and</w:t>
      </w:r>
      <w:r w:rsidR="00E46D37">
        <w:t>, consequently,</w:t>
      </w:r>
      <w:r w:rsidR="000732DD">
        <w:t xml:space="preserve"> it is expected that</w:t>
      </w:r>
      <w:r>
        <w:t xml:space="preserve"> the Regulations </w:t>
      </w:r>
      <w:r w:rsidR="00E46D37">
        <w:t>pose only minor</w:t>
      </w:r>
      <w:r w:rsidR="009842ED">
        <w:t xml:space="preserve"> additional </w:t>
      </w:r>
      <w:r w:rsidR="00E46D37">
        <w:t>regulatory burden</w:t>
      </w:r>
      <w:r w:rsidR="00737D9D">
        <w:t xml:space="preserve">. </w:t>
      </w:r>
      <w:r w:rsidR="003F3313" w:rsidRPr="003F3313">
        <w:t xml:space="preserve">The </w:t>
      </w:r>
      <w:r w:rsidR="003F3313">
        <w:t>primary</w:t>
      </w:r>
      <w:r w:rsidR="003F3313" w:rsidRPr="003F3313">
        <w:t xml:space="preserve"> </w:t>
      </w:r>
      <w:r w:rsidR="003F3313">
        <w:t xml:space="preserve">additional compliance </w:t>
      </w:r>
      <w:r w:rsidR="003F3313" w:rsidRPr="003F3313">
        <w:t xml:space="preserve">cost </w:t>
      </w:r>
      <w:r w:rsidR="003F3313">
        <w:t xml:space="preserve">imposed by </w:t>
      </w:r>
      <w:r w:rsidR="003F3313" w:rsidRPr="003F3313">
        <w:t xml:space="preserve">the </w:t>
      </w:r>
      <w:r w:rsidR="003F3313">
        <w:t>R</w:t>
      </w:r>
      <w:r w:rsidR="003F3313" w:rsidRPr="003F3313">
        <w:t>egulations (</w:t>
      </w:r>
      <w:r w:rsidR="003F3313">
        <w:t xml:space="preserve">not including </w:t>
      </w:r>
      <w:r w:rsidR="003F3313" w:rsidRPr="003F3313">
        <w:t xml:space="preserve">fees) are the time costs </w:t>
      </w:r>
      <w:r w:rsidR="003F3313">
        <w:t>associated with</w:t>
      </w:r>
      <w:r w:rsidR="003F3313" w:rsidRPr="003F3313">
        <w:t xml:space="preserve"> certifying documents. </w:t>
      </w:r>
      <w:r w:rsidR="00F829C3">
        <w:t>All other costs associated with applications (e.g. undertaking required trainings and preparing documents/forms)</w:t>
      </w:r>
      <w:r w:rsidR="003F3313" w:rsidRPr="003F3313">
        <w:t xml:space="preserve"> are driven by the Act</w:t>
      </w:r>
      <w:r w:rsidR="00F829C3">
        <w:t xml:space="preserve"> itself</w:t>
      </w:r>
      <w:r w:rsidR="003F3313" w:rsidRPr="003F3313">
        <w:t xml:space="preserve"> or are </w:t>
      </w:r>
      <w:r w:rsidR="00F829C3">
        <w:t>otherwise minor requirements that are not expected to impose a burden</w:t>
      </w:r>
      <w:r w:rsidR="003F3313" w:rsidRPr="003F3313">
        <w:t xml:space="preserve"> on applicants time. </w:t>
      </w:r>
      <w:r w:rsidR="00F829C3">
        <w:t>In assessing compliance costs, it should be noted, that t</w:t>
      </w:r>
      <w:r w:rsidR="003F3313" w:rsidRPr="003F3313">
        <w:t xml:space="preserve">he Act has less </w:t>
      </w:r>
      <w:r w:rsidR="00F829C3">
        <w:t xml:space="preserve">explicit and </w:t>
      </w:r>
      <w:r w:rsidR="003F3313" w:rsidRPr="003F3313">
        <w:t xml:space="preserve">prescriptive </w:t>
      </w:r>
      <w:r w:rsidR="003F3313" w:rsidRPr="003F3313">
        <w:lastRenderedPageBreak/>
        <w:t>requirements for renewal</w:t>
      </w:r>
      <w:r w:rsidR="00F829C3">
        <w:t xml:space="preserve"> applications</w:t>
      </w:r>
      <w:r w:rsidR="00691553">
        <w:t>. These requirements are included in the Regulations,</w:t>
      </w:r>
      <w:r w:rsidR="003F3313" w:rsidRPr="003F3313">
        <w:t xml:space="preserve"> which </w:t>
      </w:r>
      <w:r w:rsidR="005C7C30">
        <w:t xml:space="preserve">results in </w:t>
      </w:r>
      <w:r w:rsidR="00691553">
        <w:t xml:space="preserve">relatively </w:t>
      </w:r>
      <w:r w:rsidR="005C7C30">
        <w:t xml:space="preserve">larger compliance costs </w:t>
      </w:r>
      <w:r w:rsidR="00691553">
        <w:t xml:space="preserve">for renewals compared to new applications. </w:t>
      </w:r>
    </w:p>
    <w:p w14:paraId="6244EA13" w14:textId="45374C5E" w:rsidR="00900817" w:rsidRDefault="00737D9D" w:rsidP="00C67E7F">
      <w:r w:rsidRPr="007D71CD">
        <w:t xml:space="preserve">The </w:t>
      </w:r>
      <w:r w:rsidR="00161A96" w:rsidRPr="007D71CD">
        <w:t xml:space="preserve">primary </w:t>
      </w:r>
      <w:r w:rsidR="00533929" w:rsidRPr="007D71CD">
        <w:t>incremental cost</w:t>
      </w:r>
      <w:r w:rsidRPr="007D71CD">
        <w:t xml:space="preserve"> comes from the requirement to provide certified copies </w:t>
      </w:r>
      <w:r w:rsidR="00161A96" w:rsidRPr="007D71CD">
        <w:t xml:space="preserve">of documentation when </w:t>
      </w:r>
      <w:r w:rsidR="00197366" w:rsidRPr="007D71CD">
        <w:t>applying</w:t>
      </w:r>
      <w:r w:rsidR="00A12B1E" w:rsidRPr="007D71CD">
        <w:t xml:space="preserve"> – which is the only </w:t>
      </w:r>
      <w:r w:rsidR="005C7FEE" w:rsidRPr="007D71CD">
        <w:t>additional compliance cost quantified as part of this RIS</w:t>
      </w:r>
      <w:r w:rsidR="005C7FEE">
        <w:rPr>
          <w:sz w:val="20"/>
          <w:szCs w:val="20"/>
        </w:rPr>
        <w:t xml:space="preserve"> -</w:t>
      </w:r>
      <w:r w:rsidR="00265C38">
        <w:t xml:space="preserve"> which</w:t>
      </w:r>
      <w:r w:rsidR="005C7FEE">
        <w:t xml:space="preserve"> </w:t>
      </w:r>
      <w:r w:rsidR="00265C38">
        <w:t xml:space="preserve">is estimated to </w:t>
      </w:r>
      <w:r w:rsidR="00A41AF9">
        <w:t>result in an annual average total cost of $378,041 (undiscounted) for individuals and an average annual cost of $8,258 (undiscounted) for businesses, leading to a total industry cost of $386,299.</w:t>
      </w:r>
      <w:r w:rsidR="00132F06">
        <w:t xml:space="preserve"> </w:t>
      </w:r>
      <w:r w:rsidR="00C04199">
        <w:t xml:space="preserve">This is equivalent to an </w:t>
      </w:r>
      <w:r w:rsidR="00C763DE">
        <w:t>additional</w:t>
      </w:r>
      <w:r w:rsidR="00C04199">
        <w:t xml:space="preserve"> cost</w:t>
      </w:r>
      <w:r w:rsidR="007F4B9B">
        <w:t xml:space="preserve"> of</w:t>
      </w:r>
      <w:r w:rsidR="00C04199">
        <w:t xml:space="preserve"> </w:t>
      </w:r>
      <w:r w:rsidR="00C763DE">
        <w:t>$</w:t>
      </w:r>
      <w:r w:rsidR="000F1D1C">
        <w:t>24</w:t>
      </w:r>
      <w:r w:rsidR="00D07644">
        <w:t xml:space="preserve"> </w:t>
      </w:r>
      <w:r w:rsidR="007F4B9B">
        <w:t xml:space="preserve">per individual applicant </w:t>
      </w:r>
      <w:r w:rsidR="007D1309">
        <w:t>and</w:t>
      </w:r>
      <w:r w:rsidR="00C763DE">
        <w:t xml:space="preserve"> </w:t>
      </w:r>
      <w:r w:rsidR="00917C0C">
        <w:t>$</w:t>
      </w:r>
      <w:r w:rsidR="003B6C4D">
        <w:t>50</w:t>
      </w:r>
      <w:r w:rsidR="00917C0C">
        <w:t xml:space="preserve"> </w:t>
      </w:r>
      <w:r w:rsidR="009E27D0">
        <w:t>per business applicant.</w:t>
      </w:r>
      <w:r w:rsidR="00A41AF9">
        <w:t xml:space="preserve"> The present value of industry costs for new applications was estimated to be $3.13 million.</w:t>
      </w:r>
      <w:r w:rsidR="00A316AE">
        <w:rPr>
          <w:rStyle w:val="FootnoteReference"/>
        </w:rPr>
        <w:footnoteReference w:id="20"/>
      </w:r>
    </w:p>
    <w:p w14:paraId="67C9C321" w14:textId="08194A14" w:rsidR="00210C11" w:rsidRDefault="00F47B4C" w:rsidP="00B76C4C">
      <w:pPr>
        <w:spacing w:line="240" w:lineRule="auto"/>
        <w:textAlignment w:val="baseline"/>
      </w:pPr>
      <w:r>
        <w:t>Renewal</w:t>
      </w:r>
      <w:r w:rsidR="00B76C4C">
        <w:t>s</w:t>
      </w:r>
      <w:r>
        <w:t xml:space="preserve"> of applications</w:t>
      </w:r>
      <w:r w:rsidR="00E4151C">
        <w:t xml:space="preserve"> and variations</w:t>
      </w:r>
      <w:r w:rsidR="00B76C4C">
        <w:t xml:space="preserve"> to licences and registrations</w:t>
      </w:r>
      <w:r>
        <w:t xml:space="preserve"> also impose an i</w:t>
      </w:r>
      <w:r w:rsidR="004C75D6">
        <w:t xml:space="preserve">ncremental cost to the industry compared to the </w:t>
      </w:r>
      <w:r w:rsidR="005F0D37">
        <w:t xml:space="preserve">Reference </w:t>
      </w:r>
      <w:r w:rsidR="007B3801">
        <w:t>Case</w:t>
      </w:r>
      <w:r w:rsidR="004C75D6">
        <w:t xml:space="preserve">. Under the </w:t>
      </w:r>
      <w:r w:rsidR="005F0D37">
        <w:t xml:space="preserve">Reference </w:t>
      </w:r>
      <w:r w:rsidR="007B3801">
        <w:t>Case</w:t>
      </w:r>
      <w:r w:rsidR="004C75D6">
        <w:t xml:space="preserve">, as there would be no </w:t>
      </w:r>
      <w:r w:rsidR="004B667B">
        <w:t>R</w:t>
      </w:r>
      <w:r w:rsidR="004C75D6">
        <w:t xml:space="preserve">egulations to prescribe </w:t>
      </w:r>
      <w:r w:rsidR="00394796">
        <w:t xml:space="preserve">particulars and documents required, applicants would not need to provide any information. Under Option 1, the Regulations retain the prescription of </w:t>
      </w:r>
      <w:r w:rsidR="00E32618">
        <w:t>particulars and documents for renewal</w:t>
      </w:r>
      <w:r w:rsidR="00A41AF9">
        <w:t>s</w:t>
      </w:r>
      <w:r w:rsidR="00E4151C">
        <w:t xml:space="preserve"> and variation</w:t>
      </w:r>
      <w:r w:rsidR="00A41AF9">
        <w:t>s</w:t>
      </w:r>
      <w:r w:rsidR="00462782">
        <w:t>, h</w:t>
      </w:r>
      <w:r w:rsidR="00E32618">
        <w:t xml:space="preserve">owever, this is only likely to pose limited additional costs. </w:t>
      </w:r>
      <w:r w:rsidR="00C74BB0">
        <w:t xml:space="preserve">The Regulations prescribe the same </w:t>
      </w:r>
      <w:r w:rsidR="004453E1">
        <w:t xml:space="preserve">particulars to be provided for renewals as for new </w:t>
      </w:r>
      <w:r w:rsidR="00AD3C31">
        <w:t>applications</w:t>
      </w:r>
      <w:r w:rsidR="00B5024C">
        <w:t xml:space="preserve"> but a </w:t>
      </w:r>
      <w:r w:rsidR="00462782">
        <w:t>reduced</w:t>
      </w:r>
      <w:r w:rsidR="00B5024C">
        <w:t xml:space="preserve"> number of </w:t>
      </w:r>
      <w:r w:rsidR="00462782">
        <w:t xml:space="preserve">certified </w:t>
      </w:r>
      <w:r w:rsidR="00B5024C">
        <w:t xml:space="preserve">documents </w:t>
      </w:r>
      <w:r w:rsidR="00462782">
        <w:t>are</w:t>
      </w:r>
      <w:r w:rsidR="00B5024C">
        <w:t xml:space="preserve"> required.</w:t>
      </w:r>
      <w:r w:rsidR="006E03AF">
        <w:t xml:space="preserve"> </w:t>
      </w:r>
      <w:r w:rsidR="00F80B58">
        <w:t xml:space="preserve">Applicants are only </w:t>
      </w:r>
      <w:r w:rsidR="006D24C3">
        <w:t>required</w:t>
      </w:r>
      <w:r w:rsidR="00F80B58">
        <w:t xml:space="preserve"> to provide </w:t>
      </w:r>
      <w:r w:rsidR="006D24C3">
        <w:t>new details</w:t>
      </w:r>
      <w:r w:rsidR="00F80B58">
        <w:t xml:space="preserve"> in </w:t>
      </w:r>
      <w:r w:rsidR="006D24C3">
        <w:t>situations where</w:t>
      </w:r>
      <w:r w:rsidR="00F80B58">
        <w:t xml:space="preserve"> they have change</w:t>
      </w:r>
      <w:r w:rsidR="006D24C3">
        <w:t>d</w:t>
      </w:r>
      <w:r w:rsidR="00F80B58">
        <w:t xml:space="preserve"> since the </w:t>
      </w:r>
      <w:r w:rsidR="001639A3">
        <w:t>previous application.</w:t>
      </w:r>
      <w:r w:rsidR="006E03AF">
        <w:t xml:space="preserve"> </w:t>
      </w:r>
    </w:p>
    <w:p w14:paraId="2920406C" w14:textId="274F444C" w:rsidR="0070703A" w:rsidRDefault="00B5024C" w:rsidP="003E71FC">
      <w:pPr>
        <w:spacing w:line="240" w:lineRule="auto"/>
        <w:textAlignment w:val="baseline"/>
      </w:pPr>
      <w:r>
        <w:t>Applications for renewals</w:t>
      </w:r>
      <w:r w:rsidR="003D5300">
        <w:t xml:space="preserve"> by individuals</w:t>
      </w:r>
      <w:r>
        <w:t xml:space="preserve"> must be </w:t>
      </w:r>
      <w:r w:rsidR="00F84FE9">
        <w:t xml:space="preserve">accompanied by </w:t>
      </w:r>
      <w:r w:rsidR="005A3A6B">
        <w:t>certified copies of documents verifying their training</w:t>
      </w:r>
      <w:r w:rsidR="00E00ACE">
        <w:t xml:space="preserve">, qualification, </w:t>
      </w:r>
      <w:r w:rsidR="00AD3C31">
        <w:t>knowledge,</w:t>
      </w:r>
      <w:r w:rsidR="00E00ACE">
        <w:t xml:space="preserve"> or experience.</w:t>
      </w:r>
      <w:r w:rsidR="00362C24">
        <w:t xml:space="preserve"> Variation applica</w:t>
      </w:r>
      <w:r w:rsidR="00AE17F1">
        <w:t>tions for individuals and businesses</w:t>
      </w:r>
      <w:r w:rsidR="00362C24">
        <w:t xml:space="preserve"> must be supported by certified documents </w:t>
      </w:r>
      <w:r w:rsidR="00AE17F1">
        <w:t xml:space="preserve">proving the applicant meets the required training requirements. </w:t>
      </w:r>
      <w:r w:rsidR="005D4A0C">
        <w:t>A range of industry</w:t>
      </w:r>
      <w:r w:rsidR="00FA5404">
        <w:t xml:space="preserve"> stakeholders consulted </w:t>
      </w:r>
      <w:r w:rsidR="005D4A0C">
        <w:t>indicat</w:t>
      </w:r>
      <w:r w:rsidR="00731C62">
        <w:t>ed</w:t>
      </w:r>
      <w:r w:rsidR="00FA5404">
        <w:t xml:space="preserve"> that business renewals take minimal effort for them</w:t>
      </w:r>
      <w:r w:rsidR="000A183C">
        <w:t xml:space="preserve"> to complete</w:t>
      </w:r>
      <w:r w:rsidR="00FA5404">
        <w:t xml:space="preserve"> (see </w:t>
      </w:r>
      <w:r w:rsidR="003F2AB8">
        <w:fldChar w:fldCharType="begin"/>
      </w:r>
      <w:r w:rsidR="003F2AB8">
        <w:instrText xml:space="preserve"> REF _Ref174529586 \n \h </w:instrText>
      </w:r>
      <w:r w:rsidR="003F2AB8">
        <w:fldChar w:fldCharType="separate"/>
      </w:r>
      <w:r w:rsidR="009D133E">
        <w:t>0</w:t>
      </w:r>
      <w:r w:rsidR="003F2AB8">
        <w:fldChar w:fldCharType="end"/>
      </w:r>
      <w:r w:rsidR="00FA5404">
        <w:t xml:space="preserve">). </w:t>
      </w:r>
      <w:r w:rsidR="003F2AB8">
        <w:t>However, they</w:t>
      </w:r>
      <w:r w:rsidR="00FA5404">
        <w:t xml:space="preserve"> acknowledge that it could take some applicants, such as those from a non-English speaking background, </w:t>
      </w:r>
      <w:r w:rsidR="00A45F50">
        <w:t>more</w:t>
      </w:r>
      <w:r w:rsidR="00FA5404">
        <w:t xml:space="preserve"> time to comp</w:t>
      </w:r>
      <w:r w:rsidR="00F507B1">
        <w:t>l</w:t>
      </w:r>
      <w:r w:rsidR="00FA5404">
        <w:t>ete</w:t>
      </w:r>
      <w:r w:rsidR="00A45F50">
        <w:t xml:space="preserve"> than other</w:t>
      </w:r>
      <w:r w:rsidR="00840B13">
        <w:t>s</w:t>
      </w:r>
      <w:r w:rsidR="00FA5404">
        <w:t xml:space="preserve">. </w:t>
      </w:r>
    </w:p>
    <w:p w14:paraId="3FE690C8" w14:textId="4D3BA719" w:rsidR="0070703A" w:rsidRDefault="0070703A" w:rsidP="003E71FC">
      <w:pPr>
        <w:spacing w:line="240" w:lineRule="auto"/>
        <w:textAlignment w:val="baseline"/>
      </w:pPr>
      <w:r>
        <w:t>It is estimated that individuals would incur an average annual cost of $1.06 million between 2025-26 and 2034-35 (undiscounted) and businesses would incur annual average costs of $145,062 over this period (undiscounted) to renew licences.</w:t>
      </w:r>
      <w:r w:rsidR="00A316AE">
        <w:rPr>
          <w:rStyle w:val="FootnoteReference"/>
        </w:rPr>
        <w:footnoteReference w:id="21"/>
      </w:r>
      <w:r w:rsidR="006C30A9">
        <w:t xml:space="preserve"> </w:t>
      </w:r>
      <w:r w:rsidR="006C30A9" w:rsidRPr="006C30A9">
        <w:t>This is equivalent to an additional cost of $</w:t>
      </w:r>
      <w:r w:rsidR="008F12BD">
        <w:t>96</w:t>
      </w:r>
      <w:r w:rsidR="006C30A9" w:rsidRPr="006C30A9">
        <w:t xml:space="preserve"> per individual applicant and $</w:t>
      </w:r>
      <w:r w:rsidR="005D5FDD">
        <w:t>188</w:t>
      </w:r>
      <w:r w:rsidR="006C30A9" w:rsidRPr="006C30A9">
        <w:t xml:space="preserve"> per business applicant</w:t>
      </w:r>
      <w:r w:rsidR="00EB1500">
        <w:t>.</w:t>
      </w:r>
      <w:r>
        <w:t xml:space="preserve"> The present value of total costs to industry for renewals over the 10-year life of the proposed Regulations is estimated to be $10 million.</w:t>
      </w:r>
      <w:r w:rsidR="00A316AE">
        <w:rPr>
          <w:rStyle w:val="FootnoteReference"/>
        </w:rPr>
        <w:footnoteReference w:id="22"/>
      </w:r>
      <w:r>
        <w:t xml:space="preserve"> The annual average cost to</w:t>
      </w:r>
      <w:r w:rsidR="00EB1500">
        <w:t xml:space="preserve"> all</w:t>
      </w:r>
      <w:r>
        <w:t xml:space="preserve"> individuals from variations are estimated to be $12,511 (undiscounted) and $204 (undiscounted) for businesses.</w:t>
      </w:r>
      <w:r w:rsidR="009A38BD">
        <w:t xml:space="preserve"> </w:t>
      </w:r>
      <w:r>
        <w:t>The total variation costs are significantly lower than renewal costs due to the low volumes of variation applications received each year.</w:t>
      </w:r>
    </w:p>
    <w:p w14:paraId="3E761BFB" w14:textId="04864F04" w:rsidR="00726F3F" w:rsidRDefault="00726F3F" w:rsidP="00726F3F">
      <w:r>
        <w:t>There is also an incremental compliance cost associated with the record keeping requirements for licence and registration holders</w:t>
      </w:r>
      <w:r w:rsidR="00201D8A">
        <w:t xml:space="preserve">, and for crowd controllers to record </w:t>
      </w:r>
      <w:r w:rsidR="00863111">
        <w:t xml:space="preserve">and sign off on </w:t>
      </w:r>
      <w:r w:rsidR="00201D8A">
        <w:t>their start and finish times</w:t>
      </w:r>
      <w:r>
        <w:t xml:space="preserve">. However, these records would likely be kept by private security providers in </w:t>
      </w:r>
      <w:r w:rsidR="007376B2">
        <w:t xml:space="preserve">a </w:t>
      </w:r>
      <w:r w:rsidR="005F0D37">
        <w:t xml:space="preserve">Reference </w:t>
      </w:r>
      <w:r w:rsidR="007B3801">
        <w:t xml:space="preserve">Case </w:t>
      </w:r>
      <w:r w:rsidR="007376B2">
        <w:t>scenario</w:t>
      </w:r>
      <w:r>
        <w:t xml:space="preserve"> for business purposes </w:t>
      </w:r>
      <w:r w:rsidR="007376B2">
        <w:t>such as</w:t>
      </w:r>
      <w:r w:rsidR="00FA21E6">
        <w:t xml:space="preserve"> payroll,</w:t>
      </w:r>
      <w:r>
        <w:t xml:space="preserve"> resourcing the security services requested and invoicing</w:t>
      </w:r>
      <w:r w:rsidR="00B00414">
        <w:t xml:space="preserve">, and </w:t>
      </w:r>
      <w:r>
        <w:t>so they do not represent a significant incremental compliance cost.</w:t>
      </w:r>
    </w:p>
    <w:p w14:paraId="598C459B" w14:textId="2F91F344" w:rsidR="00DB29A4" w:rsidRDefault="00DB29A4" w:rsidP="00DB29A4">
      <w:r>
        <w:t xml:space="preserve">In considering all additional requirements posed by the Regulations, the total annual average cost to industry from the </w:t>
      </w:r>
      <w:r w:rsidR="00841AA4">
        <w:t>licencing requirements of the</w:t>
      </w:r>
      <w:r>
        <w:t xml:space="preserve"> Regulations </w:t>
      </w:r>
      <w:r w:rsidR="000534A6">
        <w:t xml:space="preserve">is </w:t>
      </w:r>
      <w:r>
        <w:t>estimated to be $1.6 million</w:t>
      </w:r>
      <w:r w:rsidR="00114CFD">
        <w:t xml:space="preserve"> per year</w:t>
      </w:r>
      <w:r>
        <w:t xml:space="preserve"> (undiscounted), with the total net present value </w:t>
      </w:r>
      <w:r w:rsidR="00DD381C">
        <w:t xml:space="preserve">(NPV) </w:t>
      </w:r>
      <w:r>
        <w:t xml:space="preserve">of $13.27 million over ten years. </w:t>
      </w:r>
    </w:p>
    <w:p w14:paraId="119B3BBE" w14:textId="2D34CA95" w:rsidR="00B2778D" w:rsidRDefault="00717E83" w:rsidP="00B2778D">
      <w:r w:rsidRPr="00717E83">
        <w:t>These costs are</w:t>
      </w:r>
      <w:r w:rsidR="00B2778D" w:rsidRPr="00717E83">
        <w:t xml:space="preserve"> partially offset by the greater certainty of information and documents required to </w:t>
      </w:r>
      <w:r w:rsidR="007D71CD" w:rsidRPr="00717E83">
        <w:t>apply</w:t>
      </w:r>
      <w:r w:rsidR="00B2778D" w:rsidRPr="00717E83">
        <w:t>, which would help reduce the volume of applications with incomplete or unnecessary information</w:t>
      </w:r>
      <w:r w:rsidR="00ED275B">
        <w:t>.</w:t>
      </w:r>
      <w:r w:rsidR="00AC3B50" w:rsidRPr="00717E83">
        <w:t xml:space="preserve"> </w:t>
      </w:r>
      <w:r w:rsidR="00B2778D" w:rsidRPr="00717E83">
        <w:t xml:space="preserve">This would reduce the compliance cost for regulated parties as they would be less likely to need to alter or re-submit their applications. </w:t>
      </w:r>
      <w:r w:rsidR="00AC3B50" w:rsidRPr="00717E83">
        <w:t>Furthermore, the classes of persons prescribed as exempt in Regulations from the requirements of the Act would not need to apply for a private security licence, further reducing compliance costs for the industry.</w:t>
      </w:r>
      <w:r w:rsidR="00AC3B50">
        <w:t xml:space="preserve"> </w:t>
      </w:r>
    </w:p>
    <w:p w14:paraId="74D263DD" w14:textId="457F4D38" w:rsidR="003935AF" w:rsidRDefault="006F344E" w:rsidP="003935AF">
      <w:pPr>
        <w:pStyle w:val="Heading3"/>
      </w:pPr>
      <w:r>
        <w:lastRenderedPageBreak/>
        <w:t xml:space="preserve">Criterion 3: </w:t>
      </w:r>
      <w:r w:rsidR="0086227C">
        <w:t>Costs to government</w:t>
      </w:r>
    </w:p>
    <w:p w14:paraId="59CA832A" w14:textId="0E8BA909" w:rsidR="005F6F90" w:rsidRDefault="005F6F90" w:rsidP="005F6F90">
      <w:pPr>
        <w:pStyle w:val="Caption"/>
      </w:pPr>
      <w:r>
        <w:t xml:space="preserve">Table </w:t>
      </w:r>
      <w:r w:rsidR="00414520">
        <w:fldChar w:fldCharType="begin"/>
      </w:r>
      <w:r w:rsidR="00414520">
        <w:instrText xml:space="preserve"> STYLEREF 1 \s </w:instrText>
      </w:r>
      <w:r w:rsidR="00414520">
        <w:fldChar w:fldCharType="separate"/>
      </w:r>
      <w:r w:rsidR="009D133E">
        <w:rPr>
          <w:noProof/>
        </w:rPr>
        <w:t>4</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4</w:t>
      </w:r>
      <w:r w:rsidR="00414520">
        <w:fldChar w:fldCharType="end"/>
      </w:r>
      <w:r>
        <w:t xml:space="preserve">: Summary of scores for Criterion 3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2092"/>
        <w:gridCol w:w="2092"/>
        <w:gridCol w:w="2091"/>
      </w:tblGrid>
      <w:tr w:rsidR="005F6F90" w:rsidRPr="00535D1A" w14:paraId="1DBB3B07" w14:textId="77777777" w:rsidTr="00717838">
        <w:trPr>
          <w:trHeight w:val="315"/>
        </w:trPr>
        <w:tc>
          <w:tcPr>
            <w:tcW w:w="1744" w:type="pct"/>
            <w:tcBorders>
              <w:top w:val="single" w:sz="24" w:space="0" w:color="62B5E5"/>
              <w:left w:val="nil"/>
              <w:bottom w:val="single" w:sz="6" w:space="0" w:color="000000"/>
              <w:right w:val="nil"/>
            </w:tcBorders>
            <w:shd w:val="clear" w:color="auto" w:fill="auto"/>
            <w:hideMark/>
          </w:tcPr>
          <w:p w14:paraId="5F31F1D4" w14:textId="77777777" w:rsidR="005F6F90" w:rsidRPr="002D2A9B" w:rsidRDefault="005F6F90" w:rsidP="005F6F90">
            <w:pPr>
              <w:spacing w:line="240" w:lineRule="auto"/>
              <w:textAlignment w:val="baseline"/>
              <w:rPr>
                <w:rFonts w:eastAsia="Times New Roman" w:cs="Calibri Light"/>
                <w:lang w:eastAsia="en-AU"/>
              </w:rPr>
            </w:pPr>
            <w:r w:rsidRPr="002D2A9B">
              <w:rPr>
                <w:rFonts w:eastAsia="Times New Roman" w:cs="Calibri Light"/>
                <w:b/>
                <w:color w:val="000000"/>
                <w:lang w:val="en-GB" w:eastAsia="en-AU"/>
              </w:rPr>
              <w:t>Criterion</w:t>
            </w:r>
            <w:r w:rsidRPr="002D2A9B">
              <w:rPr>
                <w:rFonts w:eastAsia="Times New Roman" w:cs="Calibri Light"/>
                <w:color w:val="000000"/>
                <w:lang w:eastAsia="en-AU"/>
              </w:rPr>
              <w:t> </w:t>
            </w:r>
          </w:p>
        </w:tc>
        <w:tc>
          <w:tcPr>
            <w:tcW w:w="1085" w:type="pct"/>
            <w:tcBorders>
              <w:top w:val="single" w:sz="24" w:space="0" w:color="62B5E5"/>
              <w:left w:val="nil"/>
              <w:bottom w:val="single" w:sz="6" w:space="0" w:color="000000"/>
              <w:right w:val="nil"/>
            </w:tcBorders>
          </w:tcPr>
          <w:p w14:paraId="1A172A6F" w14:textId="77777777" w:rsidR="005F6F90" w:rsidRPr="002D2A9B" w:rsidRDefault="005F6F90" w:rsidP="00CA289E">
            <w:pPr>
              <w:spacing w:line="240" w:lineRule="auto"/>
              <w:jc w:val="center"/>
              <w:textAlignment w:val="baseline"/>
              <w:rPr>
                <w:rFonts w:eastAsia="Times New Roman" w:cs="Calibri Light"/>
                <w:b/>
                <w:color w:val="000000"/>
                <w:lang w:val="en-GB" w:eastAsia="en-AU"/>
              </w:rPr>
            </w:pPr>
            <w:r w:rsidRPr="002D2A9B">
              <w:rPr>
                <w:rFonts w:eastAsia="Times New Roman" w:cs="Calibri Light"/>
                <w:b/>
                <w:color w:val="000000"/>
                <w:lang w:val="en-GB" w:eastAsia="en-AU"/>
              </w:rPr>
              <w:t>Weighting</w:t>
            </w:r>
          </w:p>
        </w:tc>
        <w:tc>
          <w:tcPr>
            <w:tcW w:w="1085" w:type="pct"/>
            <w:tcBorders>
              <w:top w:val="single" w:sz="24" w:space="0" w:color="62B5E5"/>
              <w:left w:val="nil"/>
              <w:bottom w:val="single" w:sz="6" w:space="0" w:color="000000"/>
              <w:right w:val="nil"/>
            </w:tcBorders>
            <w:shd w:val="clear" w:color="auto" w:fill="auto"/>
            <w:hideMark/>
          </w:tcPr>
          <w:p w14:paraId="05C3A4B1" w14:textId="4EF98C62" w:rsidR="005F6F90" w:rsidRPr="002D2A9B" w:rsidRDefault="005F0D37" w:rsidP="00CA289E">
            <w:pPr>
              <w:spacing w:line="240" w:lineRule="auto"/>
              <w:jc w:val="center"/>
              <w:textAlignment w:val="baseline"/>
              <w:rPr>
                <w:rFonts w:eastAsia="Times New Roman" w:cs="Calibri Light"/>
                <w:lang w:eastAsia="en-AU"/>
              </w:rPr>
            </w:pPr>
            <w:r>
              <w:rPr>
                <w:rFonts w:eastAsia="Times New Roman" w:cs="Calibri Light"/>
                <w:b/>
                <w:color w:val="000000"/>
                <w:lang w:val="en-GB" w:eastAsia="en-AU"/>
              </w:rPr>
              <w:t xml:space="preserve">Reference </w:t>
            </w:r>
            <w:r w:rsidR="005F6F90" w:rsidRPr="002D2A9B">
              <w:rPr>
                <w:rFonts w:eastAsia="Times New Roman" w:cs="Calibri Light"/>
                <w:b/>
                <w:color w:val="000000"/>
                <w:lang w:val="en-GB" w:eastAsia="en-AU"/>
              </w:rPr>
              <w:t>Case</w:t>
            </w:r>
          </w:p>
        </w:tc>
        <w:tc>
          <w:tcPr>
            <w:tcW w:w="1085" w:type="pct"/>
            <w:tcBorders>
              <w:top w:val="single" w:sz="24" w:space="0" w:color="62B5E5"/>
              <w:left w:val="nil"/>
              <w:bottom w:val="single" w:sz="6" w:space="0" w:color="000000"/>
              <w:right w:val="nil"/>
            </w:tcBorders>
            <w:shd w:val="clear" w:color="auto" w:fill="auto"/>
            <w:hideMark/>
          </w:tcPr>
          <w:p w14:paraId="3D91CEE7" w14:textId="568B75EC" w:rsidR="005F6F90" w:rsidRPr="002D2A9B" w:rsidRDefault="005F6F90" w:rsidP="00CA289E">
            <w:pPr>
              <w:spacing w:line="240" w:lineRule="auto"/>
              <w:jc w:val="center"/>
              <w:textAlignment w:val="baseline"/>
              <w:rPr>
                <w:rFonts w:eastAsia="Times New Roman" w:cs="Calibri Light"/>
                <w:b/>
                <w:color w:val="000000"/>
                <w:lang w:val="en-GB" w:eastAsia="en-AU"/>
              </w:rPr>
            </w:pPr>
            <w:r w:rsidRPr="002D2A9B">
              <w:rPr>
                <w:rFonts w:eastAsia="Times New Roman" w:cs="Calibri Light"/>
                <w:b/>
                <w:color w:val="000000"/>
                <w:lang w:val="en-GB" w:eastAsia="en-AU"/>
              </w:rPr>
              <w:t>Option 1 – Impact of Status Quo</w:t>
            </w:r>
            <w:r w:rsidRPr="002D2A9B">
              <w:rPr>
                <w:rFonts w:eastAsia="Times New Roman" w:cs="Calibri Light"/>
                <w:color w:val="000000"/>
                <w:lang w:eastAsia="en-AU"/>
              </w:rPr>
              <w:t xml:space="preserve"> relative to the </w:t>
            </w:r>
            <w:r w:rsidR="005F0D37">
              <w:t xml:space="preserve">Reference </w:t>
            </w:r>
            <w:r w:rsidR="007B3801">
              <w:t>Case</w:t>
            </w:r>
          </w:p>
        </w:tc>
      </w:tr>
      <w:tr w:rsidR="005F6F90" w:rsidRPr="006C072E" w14:paraId="6A5069DF" w14:textId="77777777" w:rsidTr="00717838">
        <w:trPr>
          <w:trHeight w:val="420"/>
        </w:trPr>
        <w:tc>
          <w:tcPr>
            <w:tcW w:w="1744" w:type="pct"/>
            <w:tcBorders>
              <w:top w:val="single" w:sz="6" w:space="0" w:color="000000"/>
              <w:left w:val="nil"/>
              <w:bottom w:val="single" w:sz="6" w:space="0" w:color="000000"/>
              <w:right w:val="nil"/>
            </w:tcBorders>
            <w:shd w:val="clear" w:color="auto" w:fill="auto"/>
            <w:vAlign w:val="center"/>
            <w:hideMark/>
          </w:tcPr>
          <w:p w14:paraId="0DD19994" w14:textId="3F37D545" w:rsidR="005F6F90" w:rsidRPr="002D2A9B" w:rsidRDefault="0086227C">
            <w:pPr>
              <w:spacing w:line="240" w:lineRule="auto"/>
              <w:textAlignment w:val="baseline"/>
              <w:rPr>
                <w:rFonts w:eastAsia="Times New Roman" w:cs="Calibri Light"/>
                <w:lang w:eastAsia="en-AU"/>
              </w:rPr>
            </w:pPr>
            <w:r>
              <w:t>Costs to government</w:t>
            </w:r>
          </w:p>
        </w:tc>
        <w:tc>
          <w:tcPr>
            <w:tcW w:w="1085" w:type="pct"/>
            <w:tcBorders>
              <w:top w:val="single" w:sz="6" w:space="0" w:color="000000"/>
              <w:left w:val="nil"/>
              <w:bottom w:val="single" w:sz="6" w:space="0" w:color="000000"/>
              <w:right w:val="nil"/>
            </w:tcBorders>
            <w:vAlign w:val="center"/>
          </w:tcPr>
          <w:p w14:paraId="3CFD8D8B" w14:textId="77777777" w:rsidR="005F6F90" w:rsidRPr="002D2A9B" w:rsidRDefault="005F6F90" w:rsidP="00CA289E">
            <w:pPr>
              <w:spacing w:line="240" w:lineRule="auto"/>
              <w:jc w:val="center"/>
              <w:textAlignment w:val="baseline"/>
              <w:rPr>
                <w:rFonts w:eastAsia="Times New Roman" w:cs="Calibri Light"/>
                <w:lang w:eastAsia="en-AU"/>
              </w:rPr>
            </w:pPr>
            <w:r>
              <w:rPr>
                <w:rFonts w:eastAsia="Times New Roman" w:cs="Calibri Light"/>
                <w:lang w:eastAsia="en-AU"/>
              </w:rPr>
              <w:t>25</w:t>
            </w:r>
            <w:r w:rsidRPr="002D2A9B">
              <w:rPr>
                <w:rFonts w:eastAsia="Times New Roman" w:cs="Calibri Light"/>
                <w:lang w:eastAsia="en-AU"/>
              </w:rPr>
              <w:t>%</w:t>
            </w:r>
          </w:p>
        </w:tc>
        <w:tc>
          <w:tcPr>
            <w:tcW w:w="1085" w:type="pct"/>
            <w:tcBorders>
              <w:top w:val="single" w:sz="6" w:space="0" w:color="000000"/>
              <w:left w:val="nil"/>
              <w:bottom w:val="single" w:sz="6" w:space="0" w:color="000000"/>
              <w:right w:val="nil"/>
            </w:tcBorders>
            <w:shd w:val="clear" w:color="auto" w:fill="auto"/>
            <w:vAlign w:val="center"/>
            <w:hideMark/>
          </w:tcPr>
          <w:p w14:paraId="662BF1F9" w14:textId="77777777" w:rsidR="005F6F90" w:rsidRPr="002D2A9B" w:rsidRDefault="005F6F90" w:rsidP="00CA289E">
            <w:pPr>
              <w:spacing w:line="240" w:lineRule="auto"/>
              <w:jc w:val="center"/>
              <w:textAlignment w:val="baseline"/>
              <w:rPr>
                <w:rFonts w:eastAsia="Times New Roman" w:cs="Calibri Light"/>
                <w:lang w:eastAsia="en-AU"/>
              </w:rPr>
            </w:pPr>
            <w:r w:rsidRPr="002D2A9B">
              <w:rPr>
                <w:rFonts w:eastAsia="Times New Roman" w:cs="Calibri Light"/>
                <w:lang w:eastAsia="en-AU"/>
              </w:rPr>
              <w:t>0</w:t>
            </w:r>
          </w:p>
        </w:tc>
        <w:tc>
          <w:tcPr>
            <w:tcW w:w="1085" w:type="pct"/>
            <w:tcBorders>
              <w:top w:val="single" w:sz="6" w:space="0" w:color="000000"/>
              <w:left w:val="nil"/>
              <w:bottom w:val="single" w:sz="6" w:space="0" w:color="000000"/>
              <w:right w:val="nil"/>
            </w:tcBorders>
            <w:shd w:val="clear" w:color="auto" w:fill="auto"/>
            <w:vAlign w:val="center"/>
          </w:tcPr>
          <w:p w14:paraId="3EEECD8D" w14:textId="35B0B64D" w:rsidR="005F6F90" w:rsidRPr="002D2A9B" w:rsidRDefault="00557917" w:rsidP="00CA289E">
            <w:pPr>
              <w:spacing w:line="240" w:lineRule="auto"/>
              <w:jc w:val="center"/>
              <w:textAlignment w:val="baseline"/>
              <w:rPr>
                <w:rFonts w:eastAsia="Times New Roman" w:cs="Calibri Light"/>
                <w:lang w:eastAsia="en-AU"/>
              </w:rPr>
            </w:pPr>
            <w:r>
              <w:rPr>
                <w:rFonts w:eastAsia="Times New Roman" w:cs="Calibri Light"/>
                <w:lang w:eastAsia="en-AU"/>
              </w:rPr>
              <w:t>-1</w:t>
            </w:r>
          </w:p>
        </w:tc>
      </w:tr>
      <w:tr w:rsidR="005F6F90" w:rsidRPr="006C072E" w14:paraId="5B9F9C9D" w14:textId="77777777" w:rsidTr="00717838">
        <w:trPr>
          <w:trHeight w:val="420"/>
        </w:trPr>
        <w:tc>
          <w:tcPr>
            <w:tcW w:w="1744" w:type="pct"/>
            <w:tcBorders>
              <w:top w:val="single" w:sz="6" w:space="0" w:color="000000"/>
              <w:left w:val="nil"/>
              <w:bottom w:val="single" w:sz="6" w:space="0" w:color="000000"/>
              <w:right w:val="nil"/>
            </w:tcBorders>
            <w:shd w:val="clear" w:color="auto" w:fill="auto"/>
            <w:vAlign w:val="center"/>
          </w:tcPr>
          <w:p w14:paraId="29FA6D13" w14:textId="77777777" w:rsidR="005F6F90" w:rsidRPr="006C32F1" w:rsidRDefault="005F6F90">
            <w:pPr>
              <w:spacing w:line="240" w:lineRule="auto"/>
              <w:textAlignment w:val="baseline"/>
              <w:rPr>
                <w:b/>
                <w:bCs/>
              </w:rPr>
            </w:pPr>
            <w:r w:rsidRPr="006C32F1">
              <w:rPr>
                <w:b/>
                <w:bCs/>
              </w:rPr>
              <w:t>Weighted score</w:t>
            </w:r>
          </w:p>
        </w:tc>
        <w:tc>
          <w:tcPr>
            <w:tcW w:w="1085" w:type="pct"/>
            <w:tcBorders>
              <w:top w:val="single" w:sz="6" w:space="0" w:color="000000"/>
              <w:left w:val="nil"/>
              <w:bottom w:val="single" w:sz="6" w:space="0" w:color="000000"/>
              <w:right w:val="nil"/>
            </w:tcBorders>
            <w:vAlign w:val="center"/>
          </w:tcPr>
          <w:p w14:paraId="07373C4F" w14:textId="77777777" w:rsidR="005F6F90" w:rsidRPr="002D2A9B" w:rsidRDefault="005F6F90" w:rsidP="00CA289E">
            <w:pPr>
              <w:spacing w:line="240" w:lineRule="auto"/>
              <w:jc w:val="center"/>
              <w:textAlignment w:val="baseline"/>
              <w:rPr>
                <w:rFonts w:eastAsia="Times New Roman" w:cs="Calibri Light"/>
                <w:lang w:eastAsia="en-AU"/>
              </w:rPr>
            </w:pPr>
          </w:p>
        </w:tc>
        <w:tc>
          <w:tcPr>
            <w:tcW w:w="1085" w:type="pct"/>
            <w:tcBorders>
              <w:top w:val="single" w:sz="6" w:space="0" w:color="000000"/>
              <w:left w:val="nil"/>
              <w:bottom w:val="single" w:sz="6" w:space="0" w:color="000000"/>
              <w:right w:val="nil"/>
            </w:tcBorders>
            <w:shd w:val="clear" w:color="auto" w:fill="auto"/>
            <w:vAlign w:val="center"/>
          </w:tcPr>
          <w:p w14:paraId="6D116455" w14:textId="77777777" w:rsidR="005F6F90" w:rsidRPr="002D2A9B" w:rsidRDefault="005F6F90" w:rsidP="00CA289E">
            <w:pPr>
              <w:spacing w:line="240" w:lineRule="auto"/>
              <w:jc w:val="center"/>
              <w:textAlignment w:val="baseline"/>
              <w:rPr>
                <w:rFonts w:eastAsia="Times New Roman" w:cs="Calibri Light"/>
                <w:lang w:eastAsia="en-AU"/>
              </w:rPr>
            </w:pPr>
          </w:p>
        </w:tc>
        <w:tc>
          <w:tcPr>
            <w:tcW w:w="1085" w:type="pct"/>
            <w:tcBorders>
              <w:top w:val="single" w:sz="6" w:space="0" w:color="000000"/>
              <w:left w:val="nil"/>
              <w:bottom w:val="single" w:sz="6" w:space="0" w:color="000000"/>
              <w:right w:val="nil"/>
            </w:tcBorders>
            <w:shd w:val="clear" w:color="auto" w:fill="auto"/>
            <w:vAlign w:val="center"/>
          </w:tcPr>
          <w:p w14:paraId="4F431594" w14:textId="14568F92" w:rsidR="005F6F90" w:rsidRPr="00EF2800" w:rsidRDefault="00EF2800" w:rsidP="00CA289E">
            <w:pPr>
              <w:spacing w:line="240" w:lineRule="auto"/>
              <w:jc w:val="center"/>
              <w:textAlignment w:val="baseline"/>
              <w:rPr>
                <w:rFonts w:eastAsia="Times New Roman" w:cs="Calibri Light"/>
                <w:b/>
                <w:bCs/>
                <w:highlight w:val="yellow"/>
                <w:lang w:eastAsia="en-AU"/>
              </w:rPr>
            </w:pPr>
            <w:r w:rsidRPr="00EF2800">
              <w:rPr>
                <w:rFonts w:eastAsia="Times New Roman" w:cs="Calibri Light"/>
                <w:b/>
                <w:bCs/>
                <w:lang w:eastAsia="en-AU"/>
              </w:rPr>
              <w:t>-0.</w:t>
            </w:r>
            <w:r>
              <w:rPr>
                <w:rFonts w:eastAsia="Times New Roman" w:cs="Calibri Light"/>
                <w:b/>
                <w:bCs/>
                <w:lang w:eastAsia="en-AU"/>
              </w:rPr>
              <w:t>25</w:t>
            </w:r>
          </w:p>
        </w:tc>
      </w:tr>
    </w:tbl>
    <w:p w14:paraId="409D49FC" w14:textId="5BFD9F8A" w:rsidR="005F6F90" w:rsidRPr="00EF2800" w:rsidRDefault="004952D1" w:rsidP="00B419B0">
      <w:pPr>
        <w:pStyle w:val="Heading4"/>
        <w:spacing w:before="240"/>
      </w:pPr>
      <w:r>
        <w:t xml:space="preserve">Reference </w:t>
      </w:r>
      <w:r w:rsidR="005F6F90" w:rsidRPr="00EF2800">
        <w:t xml:space="preserve">Case </w:t>
      </w:r>
    </w:p>
    <w:p w14:paraId="272468FD" w14:textId="281BA389" w:rsidR="005F6F90" w:rsidRDefault="005902CA" w:rsidP="005F6F90">
      <w:r>
        <w:t>U</w:t>
      </w:r>
      <w:r w:rsidR="006C1157">
        <w:t xml:space="preserve">nder the </w:t>
      </w:r>
      <w:r w:rsidR="004952D1">
        <w:t xml:space="preserve">Reference </w:t>
      </w:r>
      <w:r w:rsidR="007B3801">
        <w:t>Case</w:t>
      </w:r>
      <w:r w:rsidR="006C1157">
        <w:t xml:space="preserve">, applicants would only </w:t>
      </w:r>
      <w:r w:rsidR="002A4D30">
        <w:t xml:space="preserve">be </w:t>
      </w:r>
      <w:r w:rsidR="006C1157">
        <w:t>require</w:t>
      </w:r>
      <w:r w:rsidR="002A4D30">
        <w:t>d</w:t>
      </w:r>
      <w:r w:rsidR="006C1157">
        <w:t xml:space="preserve"> to</w:t>
      </w:r>
      <w:r w:rsidR="002A4D30">
        <w:t xml:space="preserve"> meet the requirements listed in the Act </w:t>
      </w:r>
      <w:r w:rsidR="00BB6F52">
        <w:t>regarding licence applications,</w:t>
      </w:r>
      <w:r w:rsidR="00115B33">
        <w:t xml:space="preserve"> record keeping and details of close associates and officers of licen</w:t>
      </w:r>
      <w:r w:rsidR="00AD0A43">
        <w:t>s</w:t>
      </w:r>
      <w:r w:rsidR="00115B33">
        <w:t>ed body corporates.</w:t>
      </w:r>
      <w:r w:rsidR="0054740E">
        <w:t xml:space="preserve"> </w:t>
      </w:r>
      <w:r w:rsidR="00674F2C">
        <w:t>T</w:t>
      </w:r>
      <w:r w:rsidR="0054740E">
        <w:t xml:space="preserve">he documents and requirements listed in the Act are less </w:t>
      </w:r>
      <w:r w:rsidR="000E373F">
        <w:t xml:space="preserve">prescriptive </w:t>
      </w:r>
      <w:r w:rsidR="0054740E">
        <w:t>tha</w:t>
      </w:r>
      <w:r w:rsidR="00AD0A43">
        <w:t>n</w:t>
      </w:r>
      <w:r w:rsidR="0054740E">
        <w:t xml:space="preserve"> those prescribed in the Regulations</w:t>
      </w:r>
      <w:r w:rsidR="004933F9">
        <w:t>, creating ambiguity for applicants and administration</w:t>
      </w:r>
      <w:r w:rsidR="000E373F">
        <w:t xml:space="preserve">. </w:t>
      </w:r>
      <w:r w:rsidR="004933F9">
        <w:t>The lack of</w:t>
      </w:r>
      <w:r w:rsidR="00DB7EC8">
        <w:t xml:space="preserve"> clarity for applicants over the particulars and documents to be provided</w:t>
      </w:r>
      <w:r w:rsidR="00273136">
        <w:t xml:space="preserve"> is expected to result in multiple interactions with Victoria Police to complete applications successfully. </w:t>
      </w:r>
    </w:p>
    <w:p w14:paraId="208DF9DB" w14:textId="475D8281" w:rsidR="00532DFC" w:rsidRDefault="00532DFC" w:rsidP="005F6F90">
      <w:r>
        <w:t xml:space="preserve">The </w:t>
      </w:r>
      <w:r w:rsidR="005F0D37">
        <w:t xml:space="preserve">Reference </w:t>
      </w:r>
      <w:r w:rsidR="007B3801">
        <w:t xml:space="preserve">Case </w:t>
      </w:r>
      <w:r>
        <w:t xml:space="preserve">is </w:t>
      </w:r>
      <w:r w:rsidR="00DB1D3D">
        <w:t xml:space="preserve">included as a point of comparison for Option 1 and therefore receives a score of 0. </w:t>
      </w:r>
    </w:p>
    <w:p w14:paraId="35CE05C2" w14:textId="3902BE77" w:rsidR="005F6F90" w:rsidRPr="005F6F90" w:rsidRDefault="005F6F90" w:rsidP="005F6F90">
      <w:pPr>
        <w:pStyle w:val="Heading4"/>
      </w:pPr>
      <w:r>
        <w:t>Option 1</w:t>
      </w:r>
      <w:r w:rsidR="003D663E">
        <w:t xml:space="preserve"> - Remaking the Private Security Regulations with a single tier licensing system</w:t>
      </w:r>
    </w:p>
    <w:p w14:paraId="54A02AA3" w14:textId="4D3C859D" w:rsidR="002220DA" w:rsidRDefault="003D663E" w:rsidP="003D663E">
      <w:r w:rsidRPr="0027387A">
        <w:rPr>
          <w:b/>
          <w:bCs/>
        </w:rPr>
        <w:t>Option 1 receives a score of</w:t>
      </w:r>
      <w:r w:rsidR="00562747" w:rsidRPr="0027387A">
        <w:rPr>
          <w:b/>
          <w:bCs/>
        </w:rPr>
        <w:t xml:space="preserve"> -1</w:t>
      </w:r>
      <w:r w:rsidRPr="0027387A">
        <w:rPr>
          <w:b/>
          <w:bCs/>
        </w:rPr>
        <w:t xml:space="preserve"> for this criterion because it imposes a marginally greater </w:t>
      </w:r>
      <w:r w:rsidR="00CA4647" w:rsidRPr="0027387A">
        <w:rPr>
          <w:b/>
          <w:bCs/>
        </w:rPr>
        <w:t>administration</w:t>
      </w:r>
      <w:r w:rsidRPr="0027387A">
        <w:rPr>
          <w:b/>
          <w:bCs/>
        </w:rPr>
        <w:t xml:space="preserve"> cost for </w:t>
      </w:r>
      <w:r w:rsidR="00CA4647" w:rsidRPr="0027387A">
        <w:rPr>
          <w:b/>
          <w:bCs/>
        </w:rPr>
        <w:t>government</w:t>
      </w:r>
      <w:r w:rsidR="001E5471" w:rsidRPr="0027387A">
        <w:rPr>
          <w:b/>
          <w:bCs/>
        </w:rPr>
        <w:t xml:space="preserve"> than under the </w:t>
      </w:r>
      <w:r w:rsidR="005F0D37">
        <w:t xml:space="preserve">Reference </w:t>
      </w:r>
      <w:r w:rsidR="007B3801">
        <w:t>Case</w:t>
      </w:r>
      <w:r w:rsidRPr="0027387A">
        <w:rPr>
          <w:b/>
          <w:bCs/>
        </w:rPr>
        <w:t>.</w:t>
      </w:r>
      <w:r w:rsidR="0027387A">
        <w:rPr>
          <w:b/>
          <w:bCs/>
        </w:rPr>
        <w:t xml:space="preserve"> </w:t>
      </w:r>
      <w:r>
        <w:t xml:space="preserve">There is an incremental administration cost associated with ensuring regulated parties comply with providing all the relevant </w:t>
      </w:r>
      <w:r w:rsidR="00562747">
        <w:t xml:space="preserve">prescribed </w:t>
      </w:r>
      <w:r>
        <w:t xml:space="preserve">particulars and documentation in their applications compared to the </w:t>
      </w:r>
      <w:r w:rsidR="005F0D37">
        <w:t xml:space="preserve">Reference </w:t>
      </w:r>
      <w:r w:rsidR="007B3801">
        <w:t>Case</w:t>
      </w:r>
      <w:r w:rsidRPr="00EB5494">
        <w:t xml:space="preserve">. </w:t>
      </w:r>
      <w:r w:rsidR="002220DA">
        <w:t>These costs are driven by a need to ver</w:t>
      </w:r>
      <w:r w:rsidR="005F5E56">
        <w:t>if</w:t>
      </w:r>
      <w:r w:rsidR="002220DA">
        <w:t xml:space="preserve">y that specific details have been provided on an application (as prescribed in the Regulations) and for </w:t>
      </w:r>
      <w:r w:rsidR="00E83FF1">
        <w:t xml:space="preserve">the review and management of certified documents – with those applications </w:t>
      </w:r>
      <w:r w:rsidR="00C166D7">
        <w:t xml:space="preserve">with multiple activities listed (and a greater number of certified documents) creating </w:t>
      </w:r>
      <w:r w:rsidR="00E86952">
        <w:t xml:space="preserve">the </w:t>
      </w:r>
      <w:r w:rsidR="000F412E">
        <w:t xml:space="preserve">largest </w:t>
      </w:r>
      <w:r w:rsidR="001C2EB0">
        <w:t>costs for administration.</w:t>
      </w:r>
    </w:p>
    <w:p w14:paraId="2463DEB9" w14:textId="7F6B98B6" w:rsidR="00DB1D3D" w:rsidRDefault="001C2EB0" w:rsidP="003D663E">
      <w:r>
        <w:t xml:space="preserve">The costs to Government </w:t>
      </w:r>
      <w:r w:rsidR="00554FA5">
        <w:t xml:space="preserve">to </w:t>
      </w:r>
      <w:r>
        <w:t>review</w:t>
      </w:r>
      <w:r w:rsidDel="00554FA5">
        <w:t xml:space="preserve"> </w:t>
      </w:r>
      <w:r>
        <w:t>the additional details and documentation</w:t>
      </w:r>
      <w:r w:rsidR="00562747" w:rsidRPr="00562747">
        <w:t xml:space="preserve"> </w:t>
      </w:r>
      <w:r>
        <w:t>is</w:t>
      </w:r>
      <w:r w:rsidR="00562747" w:rsidRPr="00562747">
        <w:t xml:space="preserve"> partially offset by the greater certainty of information and documents required to </w:t>
      </w:r>
      <w:r w:rsidR="00A01F43" w:rsidRPr="00562747">
        <w:t>apply</w:t>
      </w:r>
      <w:r w:rsidR="00562747" w:rsidRPr="00562747">
        <w:t xml:space="preserve">, which would help </w:t>
      </w:r>
      <w:r w:rsidR="009B71EA">
        <w:t>manage</w:t>
      </w:r>
      <w:r w:rsidR="00562747" w:rsidRPr="00562747">
        <w:t xml:space="preserve"> the administration cost for government associated with requiring applicants to alter or re-submit their applications.</w:t>
      </w:r>
      <w:r w:rsidR="00562747">
        <w:t xml:space="preserve"> </w:t>
      </w:r>
      <w:r w:rsidR="00A01F43">
        <w:t>Costs could</w:t>
      </w:r>
      <w:r w:rsidR="00587B02" w:rsidRPr="00EB5494">
        <w:t xml:space="preserve"> </w:t>
      </w:r>
      <w:r w:rsidR="00562747">
        <w:t xml:space="preserve">also </w:t>
      </w:r>
      <w:r w:rsidR="00A01F43">
        <w:t>be offset</w:t>
      </w:r>
      <w:r w:rsidR="00562747">
        <w:t xml:space="preserve"> further </w:t>
      </w:r>
      <w:r w:rsidR="00587B02" w:rsidRPr="00EB5494">
        <w:t xml:space="preserve">by </w:t>
      </w:r>
      <w:r w:rsidR="001E5471">
        <w:t xml:space="preserve">reduced </w:t>
      </w:r>
      <w:r w:rsidR="00C2034A">
        <w:t>application volume</w:t>
      </w:r>
      <w:r w:rsidR="007C1322">
        <w:t>s,</w:t>
      </w:r>
      <w:r w:rsidR="00C2034A">
        <w:t xml:space="preserve"> as there </w:t>
      </w:r>
      <w:r w:rsidR="00A275C9">
        <w:t>would be</w:t>
      </w:r>
      <w:r w:rsidR="00C2034A">
        <w:t xml:space="preserve"> greater clarity over the classes </w:t>
      </w:r>
      <w:r w:rsidR="00A54D7A">
        <w:t xml:space="preserve">of persons to whom the Act </w:t>
      </w:r>
      <w:r w:rsidR="00A275C9">
        <w:t>would</w:t>
      </w:r>
      <w:r w:rsidR="00A54D7A">
        <w:t xml:space="preserve"> not apply</w:t>
      </w:r>
      <w:r w:rsidR="00A04F9F">
        <w:t xml:space="preserve"> </w:t>
      </w:r>
      <w:r w:rsidR="00E25D3D">
        <w:t>and therefore applications by exempt classes would not be required</w:t>
      </w:r>
      <w:r w:rsidR="00A54D7A">
        <w:t xml:space="preserve">. </w:t>
      </w:r>
    </w:p>
    <w:p w14:paraId="4AB7F3C6" w14:textId="77777777" w:rsidR="006E0C64" w:rsidRPr="006E0C64" w:rsidRDefault="006E0C64" w:rsidP="006E0C64"/>
    <w:p w14:paraId="4F4DE45A" w14:textId="6A4C7C34" w:rsidR="009D7F58" w:rsidRDefault="003A3296" w:rsidP="00165901">
      <w:pPr>
        <w:pStyle w:val="Heading1"/>
      </w:pPr>
      <w:bookmarkStart w:id="92" w:name="_Toc189832258"/>
      <w:r>
        <w:lastRenderedPageBreak/>
        <w:t>Options for remaking the f</w:t>
      </w:r>
      <w:r w:rsidR="009534F2">
        <w:t xml:space="preserve">ee </w:t>
      </w:r>
      <w:r>
        <w:t>requirements</w:t>
      </w:r>
      <w:bookmarkEnd w:id="92"/>
    </w:p>
    <w:p w14:paraId="60E4C9A7" w14:textId="3A71A8DE" w:rsidR="00BC75BF" w:rsidRDefault="00096C4C" w:rsidP="00BC75BF">
      <w:pPr>
        <w:pStyle w:val="Sectionintro"/>
      </w:pPr>
      <w:r>
        <w:t xml:space="preserve">This </w:t>
      </w:r>
      <w:r w:rsidR="008C4EE3">
        <w:t xml:space="preserve">chapter </w:t>
      </w:r>
      <w:r w:rsidR="0030749A">
        <w:t xml:space="preserve">introduces </w:t>
      </w:r>
      <w:r w:rsidR="00C372DD">
        <w:t>and analyses</w:t>
      </w:r>
      <w:r w:rsidR="0030749A">
        <w:t xml:space="preserve"> the options for remaking the fee s</w:t>
      </w:r>
      <w:r w:rsidR="009534F2">
        <w:t>ettings</w:t>
      </w:r>
      <w:r w:rsidR="0030749A">
        <w:t xml:space="preserve"> within the Private </w:t>
      </w:r>
      <w:r w:rsidR="0031090F">
        <w:t>Security</w:t>
      </w:r>
      <w:r w:rsidR="0030749A">
        <w:t xml:space="preserve"> </w:t>
      </w:r>
      <w:r w:rsidR="0031090F">
        <w:t>Regulations</w:t>
      </w:r>
      <w:r w:rsidR="00C372DD">
        <w:t>.</w:t>
      </w:r>
      <w:r w:rsidR="0031090F">
        <w:t xml:space="preserve"> </w:t>
      </w:r>
    </w:p>
    <w:p w14:paraId="553D1E21" w14:textId="4F4EC0B9" w:rsidR="009E2097" w:rsidRPr="00B845C8" w:rsidRDefault="000508A0" w:rsidP="00B12491">
      <w:pPr>
        <w:pStyle w:val="Heading2"/>
      </w:pPr>
      <w:bookmarkStart w:id="93" w:name="_Toc189832259"/>
      <w:r w:rsidRPr="00B845C8">
        <w:t>Development of fee options</w:t>
      </w:r>
      <w:bookmarkEnd w:id="93"/>
    </w:p>
    <w:p w14:paraId="6E0E777B" w14:textId="271FB972" w:rsidR="008718E3" w:rsidRDefault="0027013A" w:rsidP="0027013A">
      <w:r w:rsidRPr="0027013A">
        <w:t>Ana</w:t>
      </w:r>
      <w:r>
        <w:t xml:space="preserve">lysis of the current fee </w:t>
      </w:r>
      <w:r w:rsidR="009534F2">
        <w:t>settings</w:t>
      </w:r>
      <w:r>
        <w:t xml:space="preserve"> was conducted using data provided </w:t>
      </w:r>
      <w:r w:rsidR="009B6AAE">
        <w:t xml:space="preserve">by Victoria Police on volume of applications and the cost </w:t>
      </w:r>
      <w:r w:rsidR="000138B8">
        <w:t xml:space="preserve">incurred by Victoria Police in </w:t>
      </w:r>
      <w:r w:rsidR="002530CA">
        <w:t xml:space="preserve">undertaking </w:t>
      </w:r>
      <w:r w:rsidR="002B69DC">
        <w:t>regulatory</w:t>
      </w:r>
      <w:r w:rsidR="002530CA">
        <w:t xml:space="preserve"> activities</w:t>
      </w:r>
      <w:r w:rsidR="002B69DC">
        <w:t xml:space="preserve"> relevant to</w:t>
      </w:r>
      <w:r w:rsidR="00947FB7">
        <w:t xml:space="preserve"> </w:t>
      </w:r>
      <w:r w:rsidR="00FC448E">
        <w:t xml:space="preserve">the </w:t>
      </w:r>
      <w:r w:rsidR="002B69DC">
        <w:t xml:space="preserve">private security industry. </w:t>
      </w:r>
      <w:r w:rsidR="005E79A4">
        <w:t xml:space="preserve">Consultations with Victoria Police identified that the major driver of effort in regulation of the private security industry is based </w:t>
      </w:r>
      <w:r w:rsidR="00C7775A">
        <w:t xml:space="preserve">on </w:t>
      </w:r>
      <w:r w:rsidR="005E79A4">
        <w:t xml:space="preserve">variability in the licence or registration application itself. Specifically, the more activities that are included on a licence to be approved for, the greater the administrative effort required of Victoria Police. This variability in effort has directly informed one of the fee structure options to be assessed in the analysis. </w:t>
      </w:r>
    </w:p>
    <w:p w14:paraId="450215C7" w14:textId="25CB834A" w:rsidR="004B7792" w:rsidRDefault="008450CF" w:rsidP="0027013A">
      <w:r>
        <w:t>The replacement of the current two-tier system of licen</w:t>
      </w:r>
      <w:r w:rsidR="007431C5">
        <w:t>s</w:t>
      </w:r>
      <w:r>
        <w:t xml:space="preserve">ing and registration with a single tier </w:t>
      </w:r>
      <w:r w:rsidR="00E71C0D">
        <w:t xml:space="preserve">licensing system (see section </w:t>
      </w:r>
      <w:r w:rsidR="007431C5">
        <w:fldChar w:fldCharType="begin"/>
      </w:r>
      <w:r w:rsidR="007431C5">
        <w:instrText xml:space="preserve"> REF _Ref168563840 \n \h </w:instrText>
      </w:r>
      <w:r w:rsidR="007431C5">
        <w:fldChar w:fldCharType="separate"/>
      </w:r>
      <w:r w:rsidR="009D133E">
        <w:t>1.2.1.1</w:t>
      </w:r>
      <w:r w:rsidR="007431C5">
        <w:fldChar w:fldCharType="end"/>
      </w:r>
      <w:r w:rsidR="00E71C0D">
        <w:t xml:space="preserve">) </w:t>
      </w:r>
      <w:r w:rsidR="001345B9">
        <w:t xml:space="preserve">necessitates a reconsideration of the </w:t>
      </w:r>
      <w:r w:rsidR="0002545D">
        <w:t>current fee structure</w:t>
      </w:r>
      <w:r w:rsidR="0074039B">
        <w:t xml:space="preserve">. </w:t>
      </w:r>
      <w:r w:rsidR="008028FE">
        <w:t xml:space="preserve">The options considered </w:t>
      </w:r>
      <w:r w:rsidR="008462CA">
        <w:t xml:space="preserve">for analysis are </w:t>
      </w:r>
      <w:r w:rsidR="000952E8">
        <w:t xml:space="preserve">focused on alternative fee structures rather than alternative </w:t>
      </w:r>
      <w:r w:rsidR="008462CA">
        <w:t>fee value</w:t>
      </w:r>
      <w:r w:rsidR="001A5B4D">
        <w:t>s</w:t>
      </w:r>
      <w:r w:rsidR="00CE43E9">
        <w:t>.</w:t>
      </w:r>
      <w:r w:rsidR="0036598D">
        <w:t xml:space="preserve"> </w:t>
      </w:r>
      <w:r w:rsidR="00E44603">
        <w:t>T</w:t>
      </w:r>
      <w:r w:rsidR="00C87517">
        <w:t>his is because t</w:t>
      </w:r>
      <w:r w:rsidR="00C87517" w:rsidRPr="00C87517">
        <w:t>he primary policy objective for fee-settings within the Regulations is to recover the costs of efficiently administering the Act and the proposed Regulations through cost-reflective and equitable fees. Therefore, full cost recovery is an implicit criterion that applies across all options</w:t>
      </w:r>
      <w:r w:rsidR="000E1F6A">
        <w:t xml:space="preserve">, based on the intent that costs be fully recovered under any option, and so there is </w:t>
      </w:r>
      <w:r w:rsidR="00E44603">
        <w:t>no criterion for the efficiency of cost recovery</w:t>
      </w:r>
      <w:r w:rsidR="000E1F6A">
        <w:t>.</w:t>
      </w:r>
      <w:r w:rsidR="0036598D">
        <w:t xml:space="preserve"> </w:t>
      </w:r>
      <w:r w:rsidR="000E1F6A">
        <w:t>Instead the</w:t>
      </w:r>
      <w:r w:rsidR="00E44603">
        <w:t xml:space="preserve"> analysis criteria </w:t>
      </w:r>
      <w:r w:rsidR="004C2580">
        <w:t>are</w:t>
      </w:r>
      <w:r w:rsidR="00E44603">
        <w:t xml:space="preserve"> focused on the effectiveness, equity and simplicity of the fee structure itself (as outlined in further detail in section 5.3)</w:t>
      </w:r>
      <w:r w:rsidR="004C2580">
        <w:t>.</w:t>
      </w:r>
    </w:p>
    <w:p w14:paraId="763942C0" w14:textId="514269D6" w:rsidR="00983D36" w:rsidRDefault="00F037CA" w:rsidP="00983D36">
      <w:r>
        <w:t>Current and project</w:t>
      </w:r>
      <w:r w:rsidR="00C55772">
        <w:t>ed levels of cost-recovery have been assessed using the current fee values</w:t>
      </w:r>
      <w:r w:rsidR="0067407D">
        <w:t xml:space="preserve">, </w:t>
      </w:r>
      <w:r w:rsidR="001924B0">
        <w:t xml:space="preserve">as detailed in section 2.2.3. </w:t>
      </w:r>
      <w:r w:rsidR="00983D36">
        <w:t>Using the assumptions</w:t>
      </w:r>
      <w:r w:rsidR="0067407D">
        <w:t xml:space="preserve"> outlined</w:t>
      </w:r>
      <w:r w:rsidR="00983D36">
        <w:t xml:space="preserve">, the estimated average annual revenue </w:t>
      </w:r>
      <w:r w:rsidR="0067407D">
        <w:t xml:space="preserve">from private security fees </w:t>
      </w:r>
      <w:r w:rsidR="00983D36">
        <w:t>is $13.86 million</w:t>
      </w:r>
      <w:r w:rsidR="002E4E38">
        <w:t xml:space="preserve"> and the </w:t>
      </w:r>
      <w:r w:rsidR="00983D36">
        <w:t xml:space="preserve">average annual cost of regulating the private security industry is $15.12 million. This results in an average annual cost-recovery position of 92%. While this percentage is slightly below full cost-recovery, due to the uncertainty </w:t>
      </w:r>
      <w:r w:rsidR="00B73EFA">
        <w:t>of</w:t>
      </w:r>
      <w:r w:rsidR="0036598D">
        <w:t xml:space="preserve"> </w:t>
      </w:r>
      <w:r w:rsidR="00983D36">
        <w:t>future costs – which could be higher or lower based on implementation of the new legislative requirements under the amending Act and implementation of a new registry management system – DJCS prefers to keep fee units at their current level. DJCS plans to undertake further review of the on-going cost base within three years after implementation of the new legislation.</w:t>
      </w:r>
      <w:r w:rsidR="0036598D">
        <w:t xml:space="preserve"> </w:t>
      </w:r>
    </w:p>
    <w:p w14:paraId="1F15C6C1" w14:textId="288E864E" w:rsidR="00F22224" w:rsidRDefault="001A5B4D" w:rsidP="0027013A">
      <w:r>
        <w:t>Each option has been</w:t>
      </w:r>
      <w:r w:rsidR="00A3075D">
        <w:t xml:space="preserve"> </w:t>
      </w:r>
      <w:r w:rsidR="00CE43E9">
        <w:t xml:space="preserve">developed such that they align with the Victoria Government’s </w:t>
      </w:r>
      <w:r w:rsidR="0081723C">
        <w:t>pricing principles</w:t>
      </w:r>
      <w:r w:rsidR="00CE43E9">
        <w:t xml:space="preserve"> and objectives identified in section</w:t>
      </w:r>
      <w:r w:rsidR="00390B9D">
        <w:t xml:space="preserve"> </w:t>
      </w:r>
      <w:r w:rsidR="00390B9D">
        <w:fldChar w:fldCharType="begin"/>
      </w:r>
      <w:r w:rsidR="00390B9D">
        <w:instrText xml:space="preserve"> REF _Ref174530150 \n \h </w:instrText>
      </w:r>
      <w:r w:rsidR="00390B9D">
        <w:fldChar w:fldCharType="separate"/>
      </w:r>
      <w:r w:rsidR="009D133E">
        <w:t>2.3</w:t>
      </w:r>
      <w:r w:rsidR="00390B9D">
        <w:fldChar w:fldCharType="end"/>
      </w:r>
      <w:r>
        <w:t>, and are designed</w:t>
      </w:r>
      <w:r w:rsidR="007A2B84">
        <w:t xml:space="preserve"> to assess the relative merits of the fee structure itself, rather than </w:t>
      </w:r>
      <w:r w:rsidR="001F46BB">
        <w:t xml:space="preserve">specific fee units or levels of cost recovery. </w:t>
      </w:r>
      <w:r w:rsidR="00476CDF" w:rsidRPr="00573CC0">
        <w:t xml:space="preserve">The fee options </w:t>
      </w:r>
      <w:r w:rsidR="002A006A" w:rsidRPr="00573CC0">
        <w:t xml:space="preserve">assessed relate to applications for new, renewed or varied licences only, and do not consider any changes to the existing fees for </w:t>
      </w:r>
      <w:r w:rsidR="00920D1F" w:rsidRPr="00573CC0">
        <w:t xml:space="preserve">permits for interstate and international bodyguards working in Victoria temporarily </w:t>
      </w:r>
      <w:r w:rsidR="00311252">
        <w:t>or for the d</w:t>
      </w:r>
      <w:r w:rsidR="00311252" w:rsidRPr="00311252">
        <w:t xml:space="preserve">uplicate licence </w:t>
      </w:r>
      <w:r w:rsidR="00311252">
        <w:t xml:space="preserve">document fee </w:t>
      </w:r>
      <w:r w:rsidR="00920D1F" w:rsidRPr="00573CC0">
        <w:t xml:space="preserve">due to the minor </w:t>
      </w:r>
      <w:r w:rsidR="00E315F6" w:rsidRPr="00573CC0">
        <w:t>volume</w:t>
      </w:r>
      <w:r w:rsidR="00F66D3C" w:rsidRPr="00573CC0">
        <w:t xml:space="preserve"> of applications </w:t>
      </w:r>
      <w:r w:rsidR="00E315F6" w:rsidRPr="00573CC0">
        <w:t xml:space="preserve">of these types </w:t>
      </w:r>
      <w:r w:rsidR="007A115B" w:rsidRPr="00573CC0">
        <w:t xml:space="preserve">(typically </w:t>
      </w:r>
      <w:r w:rsidR="00D74B76" w:rsidRPr="00573CC0">
        <w:t xml:space="preserve">ranging from </w:t>
      </w:r>
      <w:r w:rsidR="00F66D3C" w:rsidRPr="00573CC0">
        <w:t>zero to ten applications per year</w:t>
      </w:r>
      <w:r w:rsidR="00D74B76" w:rsidRPr="00573CC0">
        <w:t>)</w:t>
      </w:r>
      <w:r w:rsidR="00920D1F" w:rsidRPr="00573CC0">
        <w:t>.</w:t>
      </w:r>
      <w:r w:rsidR="00920D1F" w:rsidRPr="00920D1F">
        <w:t xml:space="preserve"> </w:t>
      </w:r>
      <w:r w:rsidR="00B32E0B">
        <w:t>F</w:t>
      </w:r>
      <w:r w:rsidR="00B32E0B" w:rsidRPr="00B32E0B">
        <w:t>ollowing the selection of the preferred option for a fee structure, separate analysis is then undertaken to determine the expected future level of cost recovery and any proposed changes to specific fee values</w:t>
      </w:r>
      <w:r w:rsidR="00B32E0B">
        <w:t>.</w:t>
      </w:r>
    </w:p>
    <w:p w14:paraId="68AD15E7" w14:textId="7B49B1F6" w:rsidR="00BC75BF" w:rsidRDefault="0031090F" w:rsidP="00B12491">
      <w:pPr>
        <w:pStyle w:val="Heading2"/>
      </w:pPr>
      <w:bookmarkStart w:id="94" w:name="_Toc189832260"/>
      <w:r>
        <w:t>Fee structure options</w:t>
      </w:r>
      <w:bookmarkEnd w:id="94"/>
      <w:r>
        <w:t xml:space="preserve"> </w:t>
      </w:r>
    </w:p>
    <w:p w14:paraId="012D4875" w14:textId="16E5C25B" w:rsidR="00D74B84" w:rsidRDefault="00D74B84" w:rsidP="00293424">
      <w:pPr>
        <w:pStyle w:val="Heading3"/>
      </w:pPr>
      <w:r>
        <w:t>Base Case</w:t>
      </w:r>
    </w:p>
    <w:p w14:paraId="303A767D" w14:textId="35FD7407" w:rsidR="0047377A" w:rsidRDefault="0047377A" w:rsidP="0047377A">
      <w:r>
        <w:t xml:space="preserve">If the Regulations are not re-made by the time the amended Act comes into effect, there will be a one-year overlap where the current Regulations and the amended Act are both in force. This overlap period would see the Regulations mis-align with the Act (e.g. by not containing </w:t>
      </w:r>
      <w:r w:rsidR="00426EFE">
        <w:t>fee settings to account for licence applications from current Class B activities</w:t>
      </w:r>
      <w:r>
        <w:t xml:space="preserve"> to reflect consolidation of the single-tier licencing system). Under this Base Case scenario where the Regulations are not re-made, then from June 2026 onwards, the Regulations would sunset while the Act would remain in force.</w:t>
      </w:r>
    </w:p>
    <w:p w14:paraId="4DE074D3" w14:textId="415DA57D" w:rsidR="0047377A" w:rsidRDefault="0047377A" w:rsidP="0047377A">
      <w:r>
        <w:t xml:space="preserve">The one-year overlap period is not a viable scenario and is not considered as part of the options analysis in this RIS. To enable a more effective comparison to a scenario in which the Regulations sunset and are not re-made, a ‘Reference Case’ has been established for the purpose of options analysis. The Reference Case is outlined in section </w:t>
      </w:r>
      <w:r w:rsidR="00231521">
        <w:t>5</w:t>
      </w:r>
      <w:r>
        <w:t>.</w:t>
      </w:r>
      <w:r w:rsidR="00231521">
        <w:t>2</w:t>
      </w:r>
      <w:r>
        <w:t xml:space="preserve">.2 below. </w:t>
      </w:r>
    </w:p>
    <w:p w14:paraId="0CAF31B3" w14:textId="77777777" w:rsidR="00856FF8" w:rsidRDefault="00856FF8" w:rsidP="00B47E46">
      <w:pPr>
        <w:pStyle w:val="NoSpacing"/>
      </w:pPr>
    </w:p>
    <w:p w14:paraId="4DF958F4" w14:textId="536FB9BC" w:rsidR="001E0E39" w:rsidRDefault="00D74B84" w:rsidP="00293424">
      <w:pPr>
        <w:pStyle w:val="Heading3"/>
      </w:pPr>
      <w:r>
        <w:lastRenderedPageBreak/>
        <w:t xml:space="preserve">Reference </w:t>
      </w:r>
      <w:r w:rsidR="001F2539">
        <w:t xml:space="preserve">Case </w:t>
      </w:r>
    </w:p>
    <w:p w14:paraId="41E95674" w14:textId="00355537" w:rsidR="006C58A0" w:rsidRDefault="0004538D" w:rsidP="001F2539">
      <w:r>
        <w:t xml:space="preserve">Under the </w:t>
      </w:r>
      <w:r w:rsidR="00231521">
        <w:t>Reference Case</w:t>
      </w:r>
      <w:r w:rsidDel="007B3801">
        <w:t xml:space="preserve"> </w:t>
      </w:r>
      <w:r>
        <w:t>the Regulations</w:t>
      </w:r>
      <w:r w:rsidR="005D2AA8">
        <w:t>,</w:t>
      </w:r>
      <w:r w:rsidR="004F3606">
        <w:t xml:space="preserve"> including the </w:t>
      </w:r>
      <w:r w:rsidR="005E79A4">
        <w:t xml:space="preserve">current </w:t>
      </w:r>
      <w:r w:rsidR="004F3606">
        <w:t>fee s</w:t>
      </w:r>
      <w:r w:rsidR="005E79A4">
        <w:t>ettings</w:t>
      </w:r>
      <w:r w:rsidR="004F3606">
        <w:t>,</w:t>
      </w:r>
      <w:r>
        <w:t xml:space="preserve"> would sunset </w:t>
      </w:r>
      <w:r w:rsidR="005E79A4">
        <w:t>and expire</w:t>
      </w:r>
      <w:r w:rsidR="004F3606">
        <w:t xml:space="preserve">. In the absence of a prescribed fee schedule, Victoria Police would </w:t>
      </w:r>
      <w:r w:rsidR="005E79A4">
        <w:t xml:space="preserve">be unable to charge fees </w:t>
      </w:r>
      <w:r w:rsidR="00C90D19">
        <w:t>however would still be required</w:t>
      </w:r>
      <w:r w:rsidR="004F3606">
        <w:t xml:space="preserve"> to ensure th</w:t>
      </w:r>
      <w:r w:rsidR="00C90D19">
        <w:t>at</w:t>
      </w:r>
      <w:r w:rsidR="004F3606">
        <w:t xml:space="preserve"> regulatory activities are financially sustainable. This could be achieved through the appropriation of consolidated revenue to cover regulatory costs, or a reduction in regulatory activities (or varying degrees of </w:t>
      </w:r>
      <w:r w:rsidR="00390B9D">
        <w:t>both</w:t>
      </w:r>
      <w:r w:rsidR="004F3606">
        <w:t>). These responses may adversely impact the financial self-sustainability of Victoria Police’s regulatory activities for the private security industry or detract from Victoria Police’s ability to effectively regulate the industry.</w:t>
      </w:r>
    </w:p>
    <w:p w14:paraId="016E3898" w14:textId="641325DA" w:rsidR="00C31BDA" w:rsidRDefault="00C31BDA" w:rsidP="00C31BDA">
      <w:pPr>
        <w:pStyle w:val="Heading3"/>
      </w:pPr>
      <w:r>
        <w:t xml:space="preserve">Option 1: </w:t>
      </w:r>
      <w:r w:rsidR="00C2187A">
        <w:t xml:space="preserve">Single fee for </w:t>
      </w:r>
      <w:r w:rsidR="003A484F">
        <w:t xml:space="preserve">all </w:t>
      </w:r>
      <w:bookmarkStart w:id="95" w:name="_Hlk172207513"/>
      <w:r w:rsidR="00493D8A">
        <w:t>individual licence application and a single fee for all business applications</w:t>
      </w:r>
    </w:p>
    <w:bookmarkEnd w:id="95"/>
    <w:p w14:paraId="3EABD309" w14:textId="743D72FE" w:rsidR="001E515C" w:rsidRDefault="001E515C" w:rsidP="001E515C">
      <w:r>
        <w:t xml:space="preserve">Option 1 would involve consolidating the pre-existing fee settings into a single fee for individual </w:t>
      </w:r>
      <w:r w:rsidR="00AA2D69">
        <w:t>licence applications,</w:t>
      </w:r>
      <w:r>
        <w:t xml:space="preserve"> and</w:t>
      </w:r>
      <w:r w:rsidR="00AA2D69">
        <w:t xml:space="preserve"> a single fee for all</w:t>
      </w:r>
      <w:r>
        <w:t xml:space="preserve"> business licence application types. This option aims to simplify the pricing structure such that it is easier for private security providers to understand, and for Victoria Police to administer.</w:t>
      </w:r>
      <w:r w:rsidR="009D5F86">
        <w:t xml:space="preserve"> </w:t>
      </w:r>
      <w:r w:rsidR="009D5F86">
        <w:fldChar w:fldCharType="begin"/>
      </w:r>
      <w:r w:rsidR="009D5F86">
        <w:instrText xml:space="preserve"> REF _Ref174625650 \h </w:instrText>
      </w:r>
      <w:r w:rsidR="009D5F86">
        <w:fldChar w:fldCharType="separate"/>
      </w:r>
      <w:r w:rsidR="009D133E" w:rsidRPr="00E837D2">
        <w:t xml:space="preserve">Table </w:t>
      </w:r>
      <w:r w:rsidR="009D133E">
        <w:rPr>
          <w:noProof/>
        </w:rPr>
        <w:t>5</w:t>
      </w:r>
      <w:r w:rsidR="009D133E">
        <w:t>.</w:t>
      </w:r>
      <w:r w:rsidR="009D133E">
        <w:rPr>
          <w:noProof/>
        </w:rPr>
        <w:t>1</w:t>
      </w:r>
      <w:r w:rsidR="009D5F86">
        <w:fldChar w:fldCharType="end"/>
      </w:r>
      <w:r w:rsidR="009D5F86">
        <w:t xml:space="preserve"> </w:t>
      </w:r>
      <w:r w:rsidR="0018155A">
        <w:t xml:space="preserve">demonstrates what the fee structure would look like under this option. </w:t>
      </w:r>
      <w:r w:rsidR="006D6766">
        <w:t xml:space="preserve">While fee values </w:t>
      </w:r>
      <w:r w:rsidR="003C1B24">
        <w:t>under different options are not assessed as a point of comparison,</w:t>
      </w:r>
      <w:r w:rsidR="006D6766">
        <w:t xml:space="preserve"> illustrative </w:t>
      </w:r>
      <w:r w:rsidR="007541D1">
        <w:t xml:space="preserve">values have been included in the table </w:t>
      </w:r>
      <w:r w:rsidR="00910469">
        <w:t xml:space="preserve">below </w:t>
      </w:r>
      <w:r w:rsidR="007541D1">
        <w:t xml:space="preserve">to demonstrate what </w:t>
      </w:r>
      <w:r w:rsidR="0043761E">
        <w:t>potential</w:t>
      </w:r>
      <w:r w:rsidR="007541D1">
        <w:t xml:space="preserve"> </w:t>
      </w:r>
      <w:r w:rsidR="0043761E">
        <w:t xml:space="preserve">fee </w:t>
      </w:r>
      <w:r w:rsidR="007541D1">
        <w:t>value</w:t>
      </w:r>
      <w:r w:rsidR="0043761E">
        <w:t>s</w:t>
      </w:r>
      <w:r w:rsidR="007541D1">
        <w:t xml:space="preserve"> </w:t>
      </w:r>
      <w:r w:rsidR="0043761E">
        <w:t>c</w:t>
      </w:r>
      <w:r w:rsidR="007541D1">
        <w:t xml:space="preserve">ould be </w:t>
      </w:r>
      <w:r w:rsidR="0043761E">
        <w:t>under this option.</w:t>
      </w:r>
      <w:r w:rsidR="005D3E17">
        <w:t xml:space="preserve"> </w:t>
      </w:r>
      <w:bookmarkStart w:id="96" w:name="_Hlk189124637"/>
      <w:r w:rsidR="005D3E17">
        <w:t xml:space="preserve">The fee units are based on the current fee units prescribed in the Regulations. </w:t>
      </w:r>
      <w:bookmarkEnd w:id="96"/>
      <w:r w:rsidR="009B2D0E" w:rsidRPr="009B2D0E">
        <w:t>The fees for businesses are higher than those for individuals on the basis that assessing licences for businesses involves substantially more administrative effort than assessing licences for individuals.</w:t>
      </w:r>
    </w:p>
    <w:p w14:paraId="47F57511" w14:textId="40BAED8D" w:rsidR="008E0D2C" w:rsidRDefault="008E0D2C" w:rsidP="008E0D2C">
      <w:pPr>
        <w:pStyle w:val="Caption"/>
      </w:pPr>
      <w:bookmarkStart w:id="97" w:name="_Ref174625650"/>
      <w:bookmarkStart w:id="98" w:name="_Ref174625642"/>
      <w:r w:rsidRPr="00E837D2">
        <w:t xml:space="preserve">Table </w:t>
      </w:r>
      <w:r w:rsidR="00414520">
        <w:fldChar w:fldCharType="begin"/>
      </w:r>
      <w:r w:rsidR="00414520">
        <w:instrText xml:space="preserve"> STYLEREF 1 \s </w:instrText>
      </w:r>
      <w:r w:rsidR="00414520">
        <w:fldChar w:fldCharType="separate"/>
      </w:r>
      <w:r w:rsidR="009D133E">
        <w:rPr>
          <w:noProof/>
        </w:rPr>
        <w:t>5</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1</w:t>
      </w:r>
      <w:r w:rsidR="00414520">
        <w:fldChar w:fldCharType="end"/>
      </w:r>
      <w:bookmarkEnd w:id="97"/>
      <w:r w:rsidRPr="00E837D2">
        <w:t xml:space="preserve">: </w:t>
      </w:r>
      <w:r w:rsidR="00F13B9C" w:rsidRPr="00E837D2">
        <w:t>Indicative fee structure under Option 1</w:t>
      </w:r>
      <w:bookmarkEnd w:id="98"/>
      <w:r w:rsidR="00F13B9C">
        <w:t xml:space="preserve"> </w:t>
      </w:r>
    </w:p>
    <w:tbl>
      <w:tblPr>
        <w:tblStyle w:val="Deloittetable"/>
        <w:tblW w:w="5000" w:type="pct"/>
        <w:tblLook w:val="04A0" w:firstRow="1" w:lastRow="0" w:firstColumn="1" w:lastColumn="0" w:noHBand="0" w:noVBand="1"/>
      </w:tblPr>
      <w:tblGrid>
        <w:gridCol w:w="3214"/>
        <w:gridCol w:w="3213"/>
        <w:gridCol w:w="3211"/>
      </w:tblGrid>
      <w:tr w:rsidR="0043761E" w:rsidRPr="00294696" w14:paraId="75BD197E" w14:textId="2DD5C7DA" w:rsidTr="0043761E">
        <w:trPr>
          <w:cnfStyle w:val="100000000000" w:firstRow="1" w:lastRow="0" w:firstColumn="0" w:lastColumn="0" w:oddVBand="0" w:evenVBand="0" w:oddHBand="0" w:evenHBand="0" w:firstRowFirstColumn="0" w:firstRowLastColumn="0" w:lastRowFirstColumn="0" w:lastRowLastColumn="0"/>
        </w:trPr>
        <w:tc>
          <w:tcPr>
            <w:tcW w:w="1667" w:type="pct"/>
          </w:tcPr>
          <w:p w14:paraId="04C98525" w14:textId="77777777" w:rsidR="0043761E" w:rsidRPr="002F3D61" w:rsidRDefault="0043761E" w:rsidP="008E0D2C">
            <w:pPr>
              <w:pStyle w:val="TabletextLeft"/>
              <w:ind w:left="0"/>
              <w:rPr>
                <w:b/>
                <w:bCs/>
              </w:rPr>
            </w:pPr>
            <w:r w:rsidRPr="002F3D61">
              <w:rPr>
                <w:b/>
                <w:bCs/>
              </w:rPr>
              <w:t>Category</w:t>
            </w:r>
          </w:p>
        </w:tc>
        <w:tc>
          <w:tcPr>
            <w:tcW w:w="1667" w:type="pct"/>
          </w:tcPr>
          <w:p w14:paraId="6A4F5D77" w14:textId="2901BF64" w:rsidR="0043761E" w:rsidRPr="002F3D61" w:rsidRDefault="0043761E" w:rsidP="008E0D2C">
            <w:pPr>
              <w:pStyle w:val="TabletextLeft"/>
              <w:jc w:val="center"/>
              <w:rPr>
                <w:b/>
                <w:bCs/>
              </w:rPr>
            </w:pPr>
            <w:r>
              <w:rPr>
                <w:b/>
                <w:bCs/>
              </w:rPr>
              <w:t>Fee types</w:t>
            </w:r>
          </w:p>
        </w:tc>
        <w:tc>
          <w:tcPr>
            <w:tcW w:w="1666" w:type="pct"/>
          </w:tcPr>
          <w:p w14:paraId="7D60BFB2" w14:textId="157144B0" w:rsidR="0043761E" w:rsidRDefault="0043761E" w:rsidP="008E0D2C">
            <w:pPr>
              <w:pStyle w:val="TabletextLeft"/>
              <w:jc w:val="center"/>
              <w:rPr>
                <w:b/>
                <w:bCs/>
              </w:rPr>
            </w:pPr>
            <w:r>
              <w:rPr>
                <w:b/>
                <w:bCs/>
              </w:rPr>
              <w:t xml:space="preserve">Fee </w:t>
            </w:r>
            <w:r w:rsidR="00722844">
              <w:rPr>
                <w:b/>
                <w:bCs/>
              </w:rPr>
              <w:t>units</w:t>
            </w:r>
          </w:p>
        </w:tc>
      </w:tr>
      <w:tr w:rsidR="008E25B8" w:rsidRPr="00294696" w14:paraId="1ED036FD" w14:textId="00070794" w:rsidTr="0043761E">
        <w:tc>
          <w:tcPr>
            <w:tcW w:w="1667" w:type="pct"/>
            <w:vMerge w:val="restart"/>
          </w:tcPr>
          <w:p w14:paraId="7287FCAB" w14:textId="71A804E5" w:rsidR="008E25B8" w:rsidRPr="00294696" w:rsidRDefault="008E25B8" w:rsidP="008E25B8">
            <w:pPr>
              <w:pStyle w:val="TabletextLeft"/>
            </w:pPr>
            <w:r>
              <w:t>Business licence (natural persons and body corporates)</w:t>
            </w:r>
          </w:p>
        </w:tc>
        <w:tc>
          <w:tcPr>
            <w:tcW w:w="1667" w:type="pct"/>
            <w:shd w:val="clear" w:color="auto" w:fill="auto"/>
          </w:tcPr>
          <w:p w14:paraId="075C58CD" w14:textId="226E59AB" w:rsidR="008E25B8" w:rsidRPr="00E24483" w:rsidRDefault="008E25B8" w:rsidP="008E25B8">
            <w:pPr>
              <w:pStyle w:val="TabletextLeft"/>
              <w:jc w:val="center"/>
              <w:rPr>
                <w:rFonts w:cs="Calibri Light"/>
              </w:rPr>
            </w:pPr>
            <w:r>
              <w:rPr>
                <w:rFonts w:cs="Calibri Light"/>
              </w:rPr>
              <w:t>Application/renewal fee</w:t>
            </w:r>
          </w:p>
        </w:tc>
        <w:tc>
          <w:tcPr>
            <w:tcW w:w="1666" w:type="pct"/>
          </w:tcPr>
          <w:p w14:paraId="28BA5E9B" w14:textId="6A868552" w:rsidR="008E25B8" w:rsidRDefault="008E25B8" w:rsidP="008E25B8">
            <w:pPr>
              <w:pStyle w:val="TabletextLeft"/>
              <w:jc w:val="center"/>
              <w:rPr>
                <w:rFonts w:cs="Calibri Light"/>
              </w:rPr>
            </w:pPr>
            <w:r w:rsidRPr="009F5CE5">
              <w:t>103.43</w:t>
            </w:r>
          </w:p>
        </w:tc>
      </w:tr>
      <w:tr w:rsidR="008E25B8" w:rsidRPr="00294696" w14:paraId="1EE4F59C" w14:textId="0F45EC60" w:rsidTr="0043761E">
        <w:tc>
          <w:tcPr>
            <w:tcW w:w="1667" w:type="pct"/>
            <w:vMerge/>
          </w:tcPr>
          <w:p w14:paraId="77CB2375" w14:textId="77777777" w:rsidR="008E25B8" w:rsidRDefault="008E25B8" w:rsidP="008E25B8">
            <w:pPr>
              <w:pStyle w:val="TabletextLeft"/>
            </w:pPr>
          </w:p>
        </w:tc>
        <w:tc>
          <w:tcPr>
            <w:tcW w:w="1667" w:type="pct"/>
            <w:shd w:val="clear" w:color="auto" w:fill="auto"/>
          </w:tcPr>
          <w:p w14:paraId="471C2C86" w14:textId="2C395CCE" w:rsidR="008E25B8" w:rsidRDefault="008E25B8" w:rsidP="008E25B8">
            <w:pPr>
              <w:pStyle w:val="TabletextLeft"/>
              <w:jc w:val="center"/>
              <w:rPr>
                <w:rFonts w:cs="Calibri Light"/>
              </w:rPr>
            </w:pPr>
            <w:r>
              <w:rPr>
                <w:rFonts w:cs="Calibri Light"/>
              </w:rPr>
              <w:t>Variation fee</w:t>
            </w:r>
          </w:p>
        </w:tc>
        <w:tc>
          <w:tcPr>
            <w:tcW w:w="1666" w:type="pct"/>
          </w:tcPr>
          <w:p w14:paraId="0889CA43" w14:textId="62611B72" w:rsidR="008E25B8" w:rsidRDefault="008E25B8" w:rsidP="008E25B8">
            <w:pPr>
              <w:pStyle w:val="TabletextLeft"/>
              <w:jc w:val="center"/>
              <w:rPr>
                <w:rFonts w:cs="Calibri Light"/>
              </w:rPr>
            </w:pPr>
            <w:r w:rsidRPr="009F5CE5">
              <w:t>24.93</w:t>
            </w:r>
          </w:p>
        </w:tc>
      </w:tr>
      <w:tr w:rsidR="008E25B8" w:rsidRPr="00294696" w14:paraId="2FF8B865" w14:textId="6130D175" w:rsidTr="0043761E">
        <w:tc>
          <w:tcPr>
            <w:tcW w:w="1667" w:type="pct"/>
            <w:vMerge w:val="restart"/>
          </w:tcPr>
          <w:p w14:paraId="3E8C5FC1" w14:textId="59FFA254" w:rsidR="008E25B8" w:rsidRDefault="008E25B8" w:rsidP="008E25B8">
            <w:pPr>
              <w:pStyle w:val="TabletextLeft"/>
            </w:pPr>
            <w:r>
              <w:t>Individual operator licence</w:t>
            </w:r>
          </w:p>
        </w:tc>
        <w:tc>
          <w:tcPr>
            <w:tcW w:w="1667" w:type="pct"/>
            <w:shd w:val="clear" w:color="auto" w:fill="auto"/>
          </w:tcPr>
          <w:p w14:paraId="4B463233" w14:textId="2BDCBC29" w:rsidR="008E25B8" w:rsidRDefault="008E25B8" w:rsidP="008E25B8">
            <w:pPr>
              <w:pStyle w:val="TabletextLeft"/>
              <w:jc w:val="center"/>
              <w:rPr>
                <w:rFonts w:cs="Calibri Light"/>
              </w:rPr>
            </w:pPr>
            <w:r>
              <w:rPr>
                <w:rFonts w:cs="Calibri Light"/>
              </w:rPr>
              <w:t>Application/renewal fee</w:t>
            </w:r>
          </w:p>
        </w:tc>
        <w:tc>
          <w:tcPr>
            <w:tcW w:w="1666" w:type="pct"/>
          </w:tcPr>
          <w:p w14:paraId="28E06453" w14:textId="7BDF86CC" w:rsidR="008E25B8" w:rsidRDefault="008E25B8" w:rsidP="008E25B8">
            <w:pPr>
              <w:pStyle w:val="TabletextLeft"/>
              <w:jc w:val="center"/>
              <w:rPr>
                <w:rFonts w:cs="Calibri Light"/>
              </w:rPr>
            </w:pPr>
            <w:r w:rsidRPr="009F5CE5">
              <w:t>34.80</w:t>
            </w:r>
          </w:p>
        </w:tc>
      </w:tr>
      <w:tr w:rsidR="008E25B8" w:rsidRPr="00294696" w14:paraId="018538BE" w14:textId="018B4119" w:rsidTr="0043761E">
        <w:tc>
          <w:tcPr>
            <w:tcW w:w="1667" w:type="pct"/>
            <w:vMerge/>
          </w:tcPr>
          <w:p w14:paraId="680DF8CD" w14:textId="77777777" w:rsidR="008E25B8" w:rsidRDefault="008E25B8" w:rsidP="008E25B8">
            <w:pPr>
              <w:pStyle w:val="TabletextLeft"/>
            </w:pPr>
          </w:p>
        </w:tc>
        <w:tc>
          <w:tcPr>
            <w:tcW w:w="1667" w:type="pct"/>
            <w:shd w:val="clear" w:color="auto" w:fill="auto"/>
          </w:tcPr>
          <w:p w14:paraId="7B0ECAC1" w14:textId="54E82A0E" w:rsidR="008E25B8" w:rsidRDefault="008E25B8" w:rsidP="008E25B8">
            <w:pPr>
              <w:pStyle w:val="TabletextLeft"/>
              <w:jc w:val="center"/>
              <w:rPr>
                <w:rFonts w:cs="Calibri Light"/>
              </w:rPr>
            </w:pPr>
            <w:r>
              <w:rPr>
                <w:rFonts w:cs="Calibri Light"/>
              </w:rPr>
              <w:t>Variation fee</w:t>
            </w:r>
          </w:p>
        </w:tc>
        <w:tc>
          <w:tcPr>
            <w:tcW w:w="1666" w:type="pct"/>
          </w:tcPr>
          <w:p w14:paraId="564D0CDC" w14:textId="33C7D1A8" w:rsidR="008E25B8" w:rsidRDefault="008E25B8" w:rsidP="008E25B8">
            <w:pPr>
              <w:pStyle w:val="TabletextLeft"/>
              <w:jc w:val="center"/>
              <w:rPr>
                <w:rFonts w:cs="Calibri Light"/>
              </w:rPr>
            </w:pPr>
            <w:r w:rsidRPr="009F5CE5">
              <w:t>8.43</w:t>
            </w:r>
          </w:p>
        </w:tc>
      </w:tr>
    </w:tbl>
    <w:p w14:paraId="77786AC1" w14:textId="0DED817A" w:rsidR="00FE1C61" w:rsidRDefault="00FE1C61" w:rsidP="00FE1C61">
      <w:r>
        <w:t xml:space="preserve">Note: </w:t>
      </w:r>
      <w:r w:rsidR="00D7301C" w:rsidRPr="00D7301C">
        <w:t>illustrative fee values have been calculated based on the average of ‘Total Licence Fees’ for a three-year licence under each category of fees prescribed in the current Regulations.</w:t>
      </w:r>
    </w:p>
    <w:p w14:paraId="443DBD6F" w14:textId="1E0D18AD" w:rsidR="00062D21" w:rsidRPr="00062D21" w:rsidRDefault="00062D21" w:rsidP="00625117">
      <w:pPr>
        <w:pStyle w:val="Heading3"/>
        <w:spacing w:before="120"/>
      </w:pPr>
      <w:r>
        <w:t xml:space="preserve">Option 2: </w:t>
      </w:r>
      <w:r w:rsidR="002D714A">
        <w:t>Variable fee levels based on application complexity</w:t>
      </w:r>
    </w:p>
    <w:p w14:paraId="52964038" w14:textId="060B3A95" w:rsidR="001E515C" w:rsidRDefault="001E515C" w:rsidP="001E515C">
      <w:r>
        <w:t>Option 2 would involve re-structuring fees to incorporate both Class A and Class B activities under the same fee schedule, with variable pricing depending on the number of activities included on each licence application.</w:t>
      </w:r>
      <w:r w:rsidR="00AB16BF">
        <w:t xml:space="preserve"> </w:t>
      </w:r>
      <w:r w:rsidR="0046614A">
        <w:t xml:space="preserve">The indicative fee structure under Option 2 is depicted in </w:t>
      </w:r>
      <w:r w:rsidR="0046614A">
        <w:fldChar w:fldCharType="begin"/>
      </w:r>
      <w:r w:rsidR="0046614A">
        <w:instrText xml:space="preserve"> REF _Ref174625879 \h </w:instrText>
      </w:r>
      <w:r w:rsidR="0046614A">
        <w:fldChar w:fldCharType="separate"/>
      </w:r>
      <w:r w:rsidR="009D133E" w:rsidRPr="00E837D2">
        <w:t xml:space="preserve">Table </w:t>
      </w:r>
      <w:r w:rsidR="009D133E">
        <w:rPr>
          <w:noProof/>
        </w:rPr>
        <w:t>5</w:t>
      </w:r>
      <w:r w:rsidR="009D133E">
        <w:t>.</w:t>
      </w:r>
      <w:r w:rsidR="009D133E">
        <w:rPr>
          <w:noProof/>
        </w:rPr>
        <w:t>2</w:t>
      </w:r>
      <w:r w:rsidR="0046614A">
        <w:fldChar w:fldCharType="end"/>
      </w:r>
      <w:r w:rsidR="0046614A">
        <w:t xml:space="preserve">. </w:t>
      </w:r>
      <w:r w:rsidR="00B6797C" w:rsidRPr="00B6797C">
        <w:t>Fee units have been outlined based on the number of units prescribed in the current Regulations for each fee type. New fee units have been proposed for applications/renewals on licences that require six or seven activities, in line with the average incremental increase for each new activity.</w:t>
      </w:r>
      <w:r w:rsidR="00CA1C18">
        <w:t xml:space="preserve"> </w:t>
      </w:r>
      <w:r w:rsidR="00CA1C18" w:rsidRPr="00CA1C18">
        <w:t>The fee units are based on the current fee units prescribed in the Regulations</w:t>
      </w:r>
      <w:r w:rsidR="00F02F71">
        <w:t xml:space="preserve"> and, </w:t>
      </w:r>
      <w:r w:rsidR="007D71CD">
        <w:t>like</w:t>
      </w:r>
      <w:r w:rsidR="00F02F71">
        <w:t xml:space="preserve"> Option 1, reflect that </w:t>
      </w:r>
      <w:r w:rsidR="00F02F71" w:rsidRPr="00F02F71">
        <w:t>assessing licences for businesses involves substantially more administrative effort than assessing licences for individuals.</w:t>
      </w:r>
      <w:r w:rsidR="003C0863">
        <w:t xml:space="preserve"> Additionally, within the </w:t>
      </w:r>
      <w:r w:rsidR="00BE48A1">
        <w:t>categories of business licences, assessing applications concerning bodies corporates takes comparatively more time relative to natural persons. The indicative fee units in Table 5.2 illustrate the differences in effort with higher or lower fees respectively.</w:t>
      </w:r>
    </w:p>
    <w:p w14:paraId="5F8BDFAD" w14:textId="3589AB8C" w:rsidR="0023263B" w:rsidRDefault="0023263B" w:rsidP="0023263B">
      <w:pPr>
        <w:pStyle w:val="Caption"/>
      </w:pPr>
      <w:bookmarkStart w:id="99" w:name="_Ref174625879"/>
      <w:r w:rsidRPr="00E837D2">
        <w:t xml:space="preserve">Table </w:t>
      </w:r>
      <w:r w:rsidR="00414520">
        <w:fldChar w:fldCharType="begin"/>
      </w:r>
      <w:r w:rsidR="00414520">
        <w:instrText xml:space="preserve"> STYLEREF 1 \s </w:instrText>
      </w:r>
      <w:r w:rsidR="00414520">
        <w:fldChar w:fldCharType="separate"/>
      </w:r>
      <w:r w:rsidR="009D133E">
        <w:rPr>
          <w:noProof/>
        </w:rPr>
        <w:t>5</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2</w:t>
      </w:r>
      <w:r w:rsidR="00414520">
        <w:fldChar w:fldCharType="end"/>
      </w:r>
      <w:bookmarkEnd w:id="99"/>
      <w:r w:rsidRPr="00E837D2">
        <w:t>: Indicative fee structure under Option 2</w:t>
      </w:r>
      <w:r>
        <w:t xml:space="preserve"> </w:t>
      </w:r>
    </w:p>
    <w:tbl>
      <w:tblPr>
        <w:tblStyle w:val="Deloittetable"/>
        <w:tblW w:w="5000" w:type="pct"/>
        <w:tblLook w:val="04A0" w:firstRow="1" w:lastRow="0" w:firstColumn="1" w:lastColumn="0" w:noHBand="0" w:noVBand="1"/>
      </w:tblPr>
      <w:tblGrid>
        <w:gridCol w:w="3214"/>
        <w:gridCol w:w="3213"/>
        <w:gridCol w:w="3211"/>
      </w:tblGrid>
      <w:tr w:rsidR="008E25B8" w:rsidRPr="00294696" w14:paraId="12A142D4" w14:textId="02042B79" w:rsidTr="000F5A31">
        <w:trPr>
          <w:cnfStyle w:val="100000000000" w:firstRow="1" w:lastRow="0" w:firstColumn="0" w:lastColumn="0" w:oddVBand="0" w:evenVBand="0" w:oddHBand="0" w:evenHBand="0" w:firstRowFirstColumn="0" w:firstRowLastColumn="0" w:lastRowFirstColumn="0" w:lastRowLastColumn="0"/>
          <w:tblHeader/>
        </w:trPr>
        <w:tc>
          <w:tcPr>
            <w:tcW w:w="1667" w:type="pct"/>
          </w:tcPr>
          <w:p w14:paraId="49B99577" w14:textId="77777777" w:rsidR="008E25B8" w:rsidRPr="002F3D61" w:rsidRDefault="008E25B8">
            <w:pPr>
              <w:pStyle w:val="TabletextLeft"/>
              <w:ind w:left="0"/>
              <w:rPr>
                <w:b/>
                <w:bCs/>
              </w:rPr>
            </w:pPr>
            <w:r w:rsidRPr="002F3D61">
              <w:rPr>
                <w:b/>
                <w:bCs/>
              </w:rPr>
              <w:t>Category</w:t>
            </w:r>
          </w:p>
        </w:tc>
        <w:tc>
          <w:tcPr>
            <w:tcW w:w="1667" w:type="pct"/>
          </w:tcPr>
          <w:p w14:paraId="6FA7C79A" w14:textId="77777777" w:rsidR="008E25B8" w:rsidRPr="002F3D61" w:rsidRDefault="008E25B8">
            <w:pPr>
              <w:pStyle w:val="TabletextLeft"/>
              <w:jc w:val="center"/>
              <w:rPr>
                <w:b/>
                <w:bCs/>
              </w:rPr>
            </w:pPr>
            <w:r>
              <w:rPr>
                <w:b/>
                <w:bCs/>
              </w:rPr>
              <w:t>Fee types</w:t>
            </w:r>
          </w:p>
        </w:tc>
        <w:tc>
          <w:tcPr>
            <w:tcW w:w="1666" w:type="pct"/>
          </w:tcPr>
          <w:p w14:paraId="750478DA" w14:textId="12BC189C" w:rsidR="008E25B8" w:rsidRDefault="008E25B8">
            <w:pPr>
              <w:pStyle w:val="TabletextLeft"/>
              <w:jc w:val="center"/>
              <w:rPr>
                <w:b/>
                <w:bCs/>
              </w:rPr>
            </w:pPr>
            <w:r>
              <w:rPr>
                <w:b/>
                <w:bCs/>
              </w:rPr>
              <w:t>Fee units</w:t>
            </w:r>
          </w:p>
        </w:tc>
      </w:tr>
      <w:tr w:rsidR="00262EBB" w:rsidRPr="00294696" w14:paraId="0993C497" w14:textId="0BC02E08" w:rsidTr="008E25B8">
        <w:tc>
          <w:tcPr>
            <w:tcW w:w="1667" w:type="pct"/>
            <w:vMerge w:val="restart"/>
          </w:tcPr>
          <w:p w14:paraId="4F8D7770" w14:textId="42EEE493" w:rsidR="00262EBB" w:rsidRPr="00294696" w:rsidRDefault="00262EBB" w:rsidP="00644A43">
            <w:pPr>
              <w:pStyle w:val="TabletextLeft"/>
            </w:pPr>
            <w:r>
              <w:t>Business licence – natural persons</w:t>
            </w:r>
          </w:p>
        </w:tc>
        <w:tc>
          <w:tcPr>
            <w:tcW w:w="1667" w:type="pct"/>
            <w:shd w:val="clear" w:color="auto" w:fill="auto"/>
          </w:tcPr>
          <w:p w14:paraId="012BD4EA" w14:textId="2FAA1EA8" w:rsidR="00262EBB" w:rsidRPr="00E24483" w:rsidRDefault="00262EBB" w:rsidP="00644A43">
            <w:pPr>
              <w:pStyle w:val="TabletextLeft"/>
              <w:jc w:val="center"/>
              <w:rPr>
                <w:rFonts w:cs="Calibri Light"/>
              </w:rPr>
            </w:pPr>
            <w:r>
              <w:rPr>
                <w:rFonts w:cs="Calibri Light"/>
              </w:rPr>
              <w:t>Application/renewal fee – 1 activity</w:t>
            </w:r>
          </w:p>
        </w:tc>
        <w:tc>
          <w:tcPr>
            <w:tcW w:w="1666" w:type="pct"/>
          </w:tcPr>
          <w:p w14:paraId="66B2A5AC" w14:textId="7393F8ED" w:rsidR="00262EBB" w:rsidRDefault="00262EBB" w:rsidP="00644A43">
            <w:pPr>
              <w:pStyle w:val="TabletextLeft"/>
              <w:jc w:val="center"/>
              <w:rPr>
                <w:rFonts w:cs="Calibri Light"/>
              </w:rPr>
            </w:pPr>
            <w:r w:rsidRPr="00A1034C">
              <w:t>65.84</w:t>
            </w:r>
          </w:p>
        </w:tc>
      </w:tr>
      <w:tr w:rsidR="00262EBB" w:rsidRPr="00294696" w14:paraId="276A47CD" w14:textId="7793B2BB" w:rsidTr="008E25B8">
        <w:tc>
          <w:tcPr>
            <w:tcW w:w="1667" w:type="pct"/>
            <w:vMerge/>
          </w:tcPr>
          <w:p w14:paraId="772B0E2C" w14:textId="77777777" w:rsidR="00262EBB" w:rsidRDefault="00262EBB" w:rsidP="00644A43">
            <w:pPr>
              <w:pStyle w:val="TabletextLeft"/>
            </w:pPr>
          </w:p>
        </w:tc>
        <w:tc>
          <w:tcPr>
            <w:tcW w:w="1667" w:type="pct"/>
            <w:shd w:val="clear" w:color="auto" w:fill="auto"/>
          </w:tcPr>
          <w:p w14:paraId="49CBB84D" w14:textId="54D53819" w:rsidR="00262EBB" w:rsidRDefault="00262EBB" w:rsidP="00644A43">
            <w:pPr>
              <w:pStyle w:val="TabletextLeft"/>
              <w:jc w:val="center"/>
              <w:rPr>
                <w:rFonts w:cs="Calibri Light"/>
              </w:rPr>
            </w:pPr>
            <w:r>
              <w:rPr>
                <w:rFonts w:cs="Calibri Light"/>
              </w:rPr>
              <w:t>Application/renewal fee – 2 activities</w:t>
            </w:r>
          </w:p>
        </w:tc>
        <w:tc>
          <w:tcPr>
            <w:tcW w:w="1666" w:type="pct"/>
          </w:tcPr>
          <w:p w14:paraId="783C9A54" w14:textId="0EC190D7" w:rsidR="00262EBB" w:rsidRDefault="00262EBB" w:rsidP="00644A43">
            <w:pPr>
              <w:pStyle w:val="TabletextLeft"/>
              <w:jc w:val="center"/>
              <w:rPr>
                <w:rFonts w:cs="Calibri Light"/>
              </w:rPr>
            </w:pPr>
            <w:r w:rsidRPr="00A1034C">
              <w:t>70.41</w:t>
            </w:r>
          </w:p>
        </w:tc>
      </w:tr>
      <w:tr w:rsidR="00262EBB" w:rsidRPr="00294696" w14:paraId="7D5F8874" w14:textId="2A14B927" w:rsidTr="008E25B8">
        <w:tc>
          <w:tcPr>
            <w:tcW w:w="1667" w:type="pct"/>
            <w:vMerge/>
          </w:tcPr>
          <w:p w14:paraId="48796817" w14:textId="77777777" w:rsidR="00262EBB" w:rsidRDefault="00262EBB" w:rsidP="00644A43">
            <w:pPr>
              <w:pStyle w:val="TabletextLeft"/>
            </w:pPr>
          </w:p>
        </w:tc>
        <w:tc>
          <w:tcPr>
            <w:tcW w:w="1667" w:type="pct"/>
            <w:shd w:val="clear" w:color="auto" w:fill="auto"/>
          </w:tcPr>
          <w:p w14:paraId="749B1AC9" w14:textId="1CC72044" w:rsidR="00262EBB" w:rsidRDefault="00262EBB" w:rsidP="00644A43">
            <w:pPr>
              <w:pStyle w:val="TabletextLeft"/>
              <w:jc w:val="center"/>
              <w:rPr>
                <w:rFonts w:cs="Calibri Light"/>
              </w:rPr>
            </w:pPr>
            <w:r w:rsidRPr="008D34C7">
              <w:rPr>
                <w:rFonts w:cs="Calibri Light"/>
              </w:rPr>
              <w:t xml:space="preserve">Application/renewal fee – </w:t>
            </w:r>
            <w:r>
              <w:rPr>
                <w:rFonts w:cs="Calibri Light"/>
              </w:rPr>
              <w:t>3</w:t>
            </w:r>
            <w:r w:rsidRPr="008D34C7">
              <w:rPr>
                <w:rFonts w:cs="Calibri Light"/>
              </w:rPr>
              <w:t xml:space="preserve"> activities</w:t>
            </w:r>
          </w:p>
        </w:tc>
        <w:tc>
          <w:tcPr>
            <w:tcW w:w="1666" w:type="pct"/>
          </w:tcPr>
          <w:p w14:paraId="780FC9C8" w14:textId="32DE3B95" w:rsidR="00262EBB" w:rsidRPr="008D34C7" w:rsidRDefault="00262EBB" w:rsidP="00644A43">
            <w:pPr>
              <w:pStyle w:val="TabletextLeft"/>
              <w:jc w:val="center"/>
              <w:rPr>
                <w:rFonts w:cs="Calibri Light"/>
              </w:rPr>
            </w:pPr>
            <w:r w:rsidRPr="00A1034C">
              <w:t>78.57</w:t>
            </w:r>
          </w:p>
        </w:tc>
      </w:tr>
      <w:tr w:rsidR="00262EBB" w:rsidRPr="00294696" w14:paraId="7E217613" w14:textId="135A1F90" w:rsidTr="008E25B8">
        <w:tc>
          <w:tcPr>
            <w:tcW w:w="1667" w:type="pct"/>
            <w:vMerge/>
          </w:tcPr>
          <w:p w14:paraId="052B5B63" w14:textId="77777777" w:rsidR="00262EBB" w:rsidRDefault="00262EBB" w:rsidP="00644A43">
            <w:pPr>
              <w:pStyle w:val="TabletextLeft"/>
            </w:pPr>
          </w:p>
        </w:tc>
        <w:tc>
          <w:tcPr>
            <w:tcW w:w="1667" w:type="pct"/>
            <w:shd w:val="clear" w:color="auto" w:fill="auto"/>
          </w:tcPr>
          <w:p w14:paraId="6B5D876E" w14:textId="36D4C991" w:rsidR="00262EBB" w:rsidRDefault="00262EBB" w:rsidP="00644A43">
            <w:pPr>
              <w:pStyle w:val="TabletextLeft"/>
              <w:jc w:val="center"/>
              <w:rPr>
                <w:rFonts w:cs="Calibri Light"/>
              </w:rPr>
            </w:pPr>
            <w:r w:rsidRPr="008D34C7">
              <w:rPr>
                <w:rFonts w:cs="Calibri Light"/>
              </w:rPr>
              <w:t xml:space="preserve">Application/renewal fee – </w:t>
            </w:r>
            <w:r>
              <w:rPr>
                <w:rFonts w:cs="Calibri Light"/>
              </w:rPr>
              <w:t>4</w:t>
            </w:r>
            <w:r w:rsidRPr="008D34C7">
              <w:rPr>
                <w:rFonts w:cs="Calibri Light"/>
              </w:rPr>
              <w:t xml:space="preserve"> activities</w:t>
            </w:r>
          </w:p>
        </w:tc>
        <w:tc>
          <w:tcPr>
            <w:tcW w:w="1666" w:type="pct"/>
          </w:tcPr>
          <w:p w14:paraId="03799B6D" w14:textId="12A094CE" w:rsidR="00262EBB" w:rsidRPr="008D34C7" w:rsidRDefault="00262EBB" w:rsidP="00644A43">
            <w:pPr>
              <w:pStyle w:val="TabletextLeft"/>
              <w:jc w:val="center"/>
              <w:rPr>
                <w:rFonts w:cs="Calibri Light"/>
              </w:rPr>
            </w:pPr>
            <w:r w:rsidRPr="00A1034C">
              <w:t>83.14</w:t>
            </w:r>
          </w:p>
        </w:tc>
      </w:tr>
      <w:tr w:rsidR="00262EBB" w:rsidRPr="00294696" w14:paraId="6D3B2F7F" w14:textId="14A64EA3" w:rsidTr="008E25B8">
        <w:tc>
          <w:tcPr>
            <w:tcW w:w="1667" w:type="pct"/>
            <w:vMerge/>
          </w:tcPr>
          <w:p w14:paraId="4E1221D5" w14:textId="77777777" w:rsidR="00262EBB" w:rsidRDefault="00262EBB" w:rsidP="00644A43">
            <w:pPr>
              <w:pStyle w:val="TabletextLeft"/>
            </w:pPr>
          </w:p>
        </w:tc>
        <w:tc>
          <w:tcPr>
            <w:tcW w:w="1667" w:type="pct"/>
            <w:shd w:val="clear" w:color="auto" w:fill="auto"/>
          </w:tcPr>
          <w:p w14:paraId="28A8C285" w14:textId="06456A48" w:rsidR="00262EBB" w:rsidRDefault="00262EBB" w:rsidP="00644A43">
            <w:pPr>
              <w:pStyle w:val="TabletextLeft"/>
              <w:jc w:val="center"/>
              <w:rPr>
                <w:rFonts w:cs="Calibri Light"/>
              </w:rPr>
            </w:pPr>
            <w:r w:rsidRPr="008D34C7">
              <w:rPr>
                <w:rFonts w:cs="Calibri Light"/>
              </w:rPr>
              <w:t xml:space="preserve">Application/renewal fee – </w:t>
            </w:r>
            <w:r>
              <w:rPr>
                <w:rFonts w:cs="Calibri Light"/>
              </w:rPr>
              <w:t>5</w:t>
            </w:r>
            <w:r w:rsidRPr="008D34C7">
              <w:rPr>
                <w:rFonts w:cs="Calibri Light"/>
              </w:rPr>
              <w:t xml:space="preserve"> activities</w:t>
            </w:r>
          </w:p>
        </w:tc>
        <w:tc>
          <w:tcPr>
            <w:tcW w:w="1666" w:type="pct"/>
          </w:tcPr>
          <w:p w14:paraId="4B238779" w14:textId="357955DD" w:rsidR="00262EBB" w:rsidRPr="008D34C7" w:rsidRDefault="00262EBB" w:rsidP="00644A43">
            <w:pPr>
              <w:pStyle w:val="TabletextLeft"/>
              <w:jc w:val="center"/>
              <w:rPr>
                <w:rFonts w:cs="Calibri Light"/>
              </w:rPr>
            </w:pPr>
            <w:r w:rsidRPr="00A1034C">
              <w:t>87.71</w:t>
            </w:r>
          </w:p>
        </w:tc>
      </w:tr>
      <w:tr w:rsidR="00262EBB" w:rsidRPr="00294696" w14:paraId="0A896120" w14:textId="0542027B" w:rsidTr="008E25B8">
        <w:tc>
          <w:tcPr>
            <w:tcW w:w="1667" w:type="pct"/>
            <w:vMerge/>
          </w:tcPr>
          <w:p w14:paraId="73DDEAA9" w14:textId="77777777" w:rsidR="00262EBB" w:rsidRDefault="00262EBB" w:rsidP="00644A43">
            <w:pPr>
              <w:pStyle w:val="TabletextLeft"/>
            </w:pPr>
          </w:p>
        </w:tc>
        <w:tc>
          <w:tcPr>
            <w:tcW w:w="1667" w:type="pct"/>
            <w:shd w:val="clear" w:color="auto" w:fill="auto"/>
          </w:tcPr>
          <w:p w14:paraId="238042A4" w14:textId="13B6E284" w:rsidR="00262EBB" w:rsidRDefault="00262EBB" w:rsidP="00644A43">
            <w:pPr>
              <w:pStyle w:val="TabletextLeft"/>
              <w:jc w:val="center"/>
              <w:rPr>
                <w:rFonts w:cs="Calibri Light"/>
              </w:rPr>
            </w:pPr>
            <w:r w:rsidRPr="008D34C7">
              <w:rPr>
                <w:rFonts w:cs="Calibri Light"/>
              </w:rPr>
              <w:t xml:space="preserve">Application/renewal fee – </w:t>
            </w:r>
            <w:r>
              <w:rPr>
                <w:rFonts w:cs="Calibri Light"/>
              </w:rPr>
              <w:t>6</w:t>
            </w:r>
            <w:r w:rsidRPr="008D34C7">
              <w:rPr>
                <w:rFonts w:cs="Calibri Light"/>
              </w:rPr>
              <w:t xml:space="preserve"> activities</w:t>
            </w:r>
          </w:p>
        </w:tc>
        <w:tc>
          <w:tcPr>
            <w:tcW w:w="1666" w:type="pct"/>
          </w:tcPr>
          <w:p w14:paraId="5065DEDB" w14:textId="0ADFCD84" w:rsidR="00262EBB" w:rsidRPr="008D34C7" w:rsidRDefault="00262EBB" w:rsidP="00644A43">
            <w:pPr>
              <w:pStyle w:val="TabletextLeft"/>
              <w:jc w:val="center"/>
              <w:rPr>
                <w:rFonts w:cs="Calibri Light"/>
              </w:rPr>
            </w:pPr>
            <w:r w:rsidRPr="00A1034C">
              <w:t>92.28</w:t>
            </w:r>
          </w:p>
        </w:tc>
      </w:tr>
      <w:tr w:rsidR="00262EBB" w:rsidRPr="00294696" w14:paraId="432DEB8F" w14:textId="54B0D7C6" w:rsidTr="008E25B8">
        <w:tc>
          <w:tcPr>
            <w:tcW w:w="1667" w:type="pct"/>
            <w:vMerge/>
          </w:tcPr>
          <w:p w14:paraId="26F7C3F2" w14:textId="77777777" w:rsidR="00262EBB" w:rsidRDefault="00262EBB" w:rsidP="00644A43">
            <w:pPr>
              <w:pStyle w:val="TabletextLeft"/>
            </w:pPr>
          </w:p>
        </w:tc>
        <w:tc>
          <w:tcPr>
            <w:tcW w:w="1667" w:type="pct"/>
            <w:shd w:val="clear" w:color="auto" w:fill="auto"/>
          </w:tcPr>
          <w:p w14:paraId="0A24DC8E" w14:textId="74B7E1AC" w:rsidR="00262EBB" w:rsidRDefault="00262EBB" w:rsidP="00644A43">
            <w:pPr>
              <w:pStyle w:val="TabletextLeft"/>
              <w:jc w:val="center"/>
              <w:rPr>
                <w:rFonts w:cs="Calibri Light"/>
              </w:rPr>
            </w:pPr>
            <w:r w:rsidRPr="008D34C7">
              <w:rPr>
                <w:rFonts w:cs="Calibri Light"/>
              </w:rPr>
              <w:t xml:space="preserve">Application/renewal fee – </w:t>
            </w:r>
            <w:r>
              <w:rPr>
                <w:rFonts w:cs="Calibri Light"/>
              </w:rPr>
              <w:t>7</w:t>
            </w:r>
            <w:r w:rsidRPr="008D34C7">
              <w:rPr>
                <w:rFonts w:cs="Calibri Light"/>
              </w:rPr>
              <w:t xml:space="preserve"> activities</w:t>
            </w:r>
          </w:p>
        </w:tc>
        <w:tc>
          <w:tcPr>
            <w:tcW w:w="1666" w:type="pct"/>
          </w:tcPr>
          <w:p w14:paraId="1F52B454" w14:textId="46DBE658" w:rsidR="00262EBB" w:rsidRPr="008D34C7" w:rsidRDefault="00262EBB" w:rsidP="00644A43">
            <w:pPr>
              <w:pStyle w:val="TabletextLeft"/>
              <w:jc w:val="center"/>
              <w:rPr>
                <w:rFonts w:cs="Calibri Light"/>
              </w:rPr>
            </w:pPr>
            <w:r w:rsidRPr="00A1034C">
              <w:t>96.85</w:t>
            </w:r>
          </w:p>
        </w:tc>
      </w:tr>
      <w:tr w:rsidR="00262EBB" w:rsidRPr="00294696" w14:paraId="5F1DF7A0" w14:textId="1B910C5F" w:rsidTr="008E25B8">
        <w:tc>
          <w:tcPr>
            <w:tcW w:w="1667" w:type="pct"/>
            <w:vMerge/>
          </w:tcPr>
          <w:p w14:paraId="04E99573" w14:textId="77777777" w:rsidR="00262EBB" w:rsidRDefault="00262EBB" w:rsidP="00644A43">
            <w:pPr>
              <w:pStyle w:val="TabletextLeft"/>
            </w:pPr>
          </w:p>
        </w:tc>
        <w:tc>
          <w:tcPr>
            <w:tcW w:w="1667" w:type="pct"/>
            <w:shd w:val="clear" w:color="auto" w:fill="auto"/>
          </w:tcPr>
          <w:p w14:paraId="10170B6C" w14:textId="77777777" w:rsidR="00262EBB" w:rsidRDefault="00262EBB" w:rsidP="00644A43">
            <w:pPr>
              <w:pStyle w:val="TabletextLeft"/>
              <w:jc w:val="center"/>
              <w:rPr>
                <w:rFonts w:cs="Calibri Light"/>
              </w:rPr>
            </w:pPr>
            <w:r>
              <w:rPr>
                <w:rFonts w:cs="Calibri Light"/>
              </w:rPr>
              <w:t>Variation fee</w:t>
            </w:r>
          </w:p>
        </w:tc>
        <w:tc>
          <w:tcPr>
            <w:tcW w:w="1666" w:type="pct"/>
          </w:tcPr>
          <w:p w14:paraId="269465D7" w14:textId="7D2089F1" w:rsidR="00262EBB" w:rsidRDefault="00262EBB" w:rsidP="00644A43">
            <w:pPr>
              <w:pStyle w:val="TabletextLeft"/>
              <w:jc w:val="center"/>
              <w:rPr>
                <w:rFonts w:cs="Calibri Light"/>
              </w:rPr>
            </w:pPr>
            <w:r w:rsidRPr="00A1034C">
              <w:t>18.70</w:t>
            </w:r>
          </w:p>
        </w:tc>
      </w:tr>
      <w:tr w:rsidR="00262EBB" w:rsidRPr="00294696" w14:paraId="375C08CF" w14:textId="77777777" w:rsidTr="008E25B8">
        <w:tc>
          <w:tcPr>
            <w:tcW w:w="1667" w:type="pct"/>
            <w:vMerge/>
          </w:tcPr>
          <w:p w14:paraId="75114D7F" w14:textId="77777777" w:rsidR="00262EBB" w:rsidRDefault="00262EBB" w:rsidP="00644A43">
            <w:pPr>
              <w:pStyle w:val="TabletextLeft"/>
            </w:pPr>
          </w:p>
        </w:tc>
        <w:tc>
          <w:tcPr>
            <w:tcW w:w="1667" w:type="pct"/>
            <w:shd w:val="clear" w:color="auto" w:fill="auto"/>
          </w:tcPr>
          <w:p w14:paraId="33D709BB" w14:textId="2B52164C" w:rsidR="00262EBB" w:rsidRDefault="00883B4C" w:rsidP="00644A43">
            <w:pPr>
              <w:pStyle w:val="TabletextLeft"/>
              <w:jc w:val="center"/>
              <w:rPr>
                <w:rFonts w:cs="Calibri Light"/>
              </w:rPr>
            </w:pPr>
            <w:r>
              <w:rPr>
                <w:rFonts w:cs="Calibri Light"/>
              </w:rPr>
              <w:t>Vary/revoke licence condition fee</w:t>
            </w:r>
          </w:p>
        </w:tc>
        <w:tc>
          <w:tcPr>
            <w:tcW w:w="1666" w:type="pct"/>
          </w:tcPr>
          <w:p w14:paraId="5B9D29DE" w14:textId="2E42DEC0" w:rsidR="00262EBB" w:rsidRPr="00A1034C" w:rsidRDefault="00883B4C" w:rsidP="00644A43">
            <w:pPr>
              <w:pStyle w:val="TabletextLeft"/>
              <w:jc w:val="center"/>
            </w:pPr>
            <w:r>
              <w:t>2.25</w:t>
            </w:r>
          </w:p>
        </w:tc>
      </w:tr>
      <w:tr w:rsidR="00883B4C" w:rsidRPr="00294696" w14:paraId="003E3C14" w14:textId="61CF757F" w:rsidTr="008E25B8">
        <w:tc>
          <w:tcPr>
            <w:tcW w:w="1667" w:type="pct"/>
            <w:vMerge w:val="restart"/>
          </w:tcPr>
          <w:p w14:paraId="574F8255" w14:textId="1DB4A439" w:rsidR="00883B4C" w:rsidRDefault="00883B4C" w:rsidP="00644A43">
            <w:pPr>
              <w:pStyle w:val="TabletextLeft"/>
            </w:pPr>
            <w:r>
              <w:t>Business licence – body corporates</w:t>
            </w:r>
          </w:p>
        </w:tc>
        <w:tc>
          <w:tcPr>
            <w:tcW w:w="1667" w:type="pct"/>
            <w:shd w:val="clear" w:color="auto" w:fill="auto"/>
          </w:tcPr>
          <w:p w14:paraId="2047DEE2" w14:textId="3CE0D502" w:rsidR="00883B4C" w:rsidRDefault="00883B4C" w:rsidP="00644A43">
            <w:pPr>
              <w:pStyle w:val="TabletextLeft"/>
              <w:jc w:val="center"/>
              <w:rPr>
                <w:rFonts w:cs="Calibri Light"/>
              </w:rPr>
            </w:pPr>
            <w:r>
              <w:rPr>
                <w:rFonts w:cs="Calibri Light"/>
              </w:rPr>
              <w:t>Application/renewal fee – 1 activity</w:t>
            </w:r>
          </w:p>
        </w:tc>
        <w:tc>
          <w:tcPr>
            <w:tcW w:w="1666" w:type="pct"/>
          </w:tcPr>
          <w:p w14:paraId="6EDB618D" w14:textId="6458E9CB" w:rsidR="00883B4C" w:rsidRDefault="00883B4C" w:rsidP="00644A43">
            <w:pPr>
              <w:pStyle w:val="TabletextLeft"/>
              <w:jc w:val="center"/>
              <w:rPr>
                <w:rFonts w:cs="Calibri Light"/>
              </w:rPr>
            </w:pPr>
            <w:r w:rsidRPr="00A1034C">
              <w:t>107.57</w:t>
            </w:r>
          </w:p>
        </w:tc>
      </w:tr>
      <w:tr w:rsidR="00883B4C" w:rsidRPr="00294696" w14:paraId="77AECC1D" w14:textId="73306693" w:rsidTr="008E25B8">
        <w:tc>
          <w:tcPr>
            <w:tcW w:w="1667" w:type="pct"/>
            <w:vMerge/>
          </w:tcPr>
          <w:p w14:paraId="6E9372AD" w14:textId="77777777" w:rsidR="00883B4C" w:rsidRDefault="00883B4C" w:rsidP="00644A43">
            <w:pPr>
              <w:pStyle w:val="TabletextLeft"/>
            </w:pPr>
          </w:p>
        </w:tc>
        <w:tc>
          <w:tcPr>
            <w:tcW w:w="1667" w:type="pct"/>
            <w:shd w:val="clear" w:color="auto" w:fill="auto"/>
          </w:tcPr>
          <w:p w14:paraId="29A34585" w14:textId="1858923F" w:rsidR="00883B4C" w:rsidRDefault="00883B4C" w:rsidP="00644A43">
            <w:pPr>
              <w:pStyle w:val="TabletextLeft"/>
              <w:jc w:val="center"/>
              <w:rPr>
                <w:rFonts w:cs="Calibri Light"/>
              </w:rPr>
            </w:pPr>
            <w:r>
              <w:rPr>
                <w:rFonts w:cs="Calibri Light"/>
              </w:rPr>
              <w:t>Application/renewal fee – 2 activities</w:t>
            </w:r>
          </w:p>
        </w:tc>
        <w:tc>
          <w:tcPr>
            <w:tcW w:w="1666" w:type="pct"/>
          </w:tcPr>
          <w:p w14:paraId="22DC008D" w14:textId="420E0BB4" w:rsidR="00883B4C" w:rsidRDefault="00883B4C" w:rsidP="00644A43">
            <w:pPr>
              <w:pStyle w:val="TabletextLeft"/>
              <w:jc w:val="center"/>
              <w:rPr>
                <w:rFonts w:cs="Calibri Light"/>
              </w:rPr>
            </w:pPr>
            <w:r w:rsidRPr="00A1034C">
              <w:t>119.62</w:t>
            </w:r>
          </w:p>
        </w:tc>
      </w:tr>
      <w:tr w:rsidR="00883B4C" w:rsidRPr="00294696" w14:paraId="64583619" w14:textId="45E48A95" w:rsidTr="008E25B8">
        <w:tc>
          <w:tcPr>
            <w:tcW w:w="1667" w:type="pct"/>
            <w:vMerge/>
          </w:tcPr>
          <w:p w14:paraId="07D97BB6" w14:textId="77777777" w:rsidR="00883B4C" w:rsidRDefault="00883B4C" w:rsidP="00644A43">
            <w:pPr>
              <w:pStyle w:val="TabletextLeft"/>
            </w:pPr>
          </w:p>
        </w:tc>
        <w:tc>
          <w:tcPr>
            <w:tcW w:w="1667" w:type="pct"/>
            <w:shd w:val="clear" w:color="auto" w:fill="auto"/>
          </w:tcPr>
          <w:p w14:paraId="3D6B9C4E" w14:textId="18EF34E2" w:rsidR="00883B4C" w:rsidRDefault="00883B4C" w:rsidP="00644A43">
            <w:pPr>
              <w:pStyle w:val="TabletextLeft"/>
              <w:jc w:val="center"/>
              <w:rPr>
                <w:rFonts w:cs="Calibri Light"/>
              </w:rPr>
            </w:pPr>
            <w:r w:rsidRPr="008D34C7">
              <w:rPr>
                <w:rFonts w:cs="Calibri Light"/>
              </w:rPr>
              <w:t xml:space="preserve">Application/renewal fee – </w:t>
            </w:r>
            <w:r>
              <w:rPr>
                <w:rFonts w:cs="Calibri Light"/>
              </w:rPr>
              <w:t>3</w:t>
            </w:r>
            <w:r w:rsidRPr="008D34C7">
              <w:rPr>
                <w:rFonts w:cs="Calibri Light"/>
              </w:rPr>
              <w:t xml:space="preserve"> activities</w:t>
            </w:r>
          </w:p>
        </w:tc>
        <w:tc>
          <w:tcPr>
            <w:tcW w:w="1666" w:type="pct"/>
          </w:tcPr>
          <w:p w14:paraId="6BA548B3" w14:textId="2FE3D501" w:rsidR="00883B4C" w:rsidRPr="008D34C7" w:rsidRDefault="00883B4C" w:rsidP="00644A43">
            <w:pPr>
              <w:pStyle w:val="TabletextLeft"/>
              <w:jc w:val="center"/>
              <w:rPr>
                <w:rFonts w:cs="Calibri Light"/>
              </w:rPr>
            </w:pPr>
            <w:r w:rsidRPr="00A1034C">
              <w:t>130.23</w:t>
            </w:r>
          </w:p>
        </w:tc>
      </w:tr>
      <w:tr w:rsidR="00883B4C" w:rsidRPr="00294696" w14:paraId="76042246" w14:textId="3C678C71" w:rsidTr="008E25B8">
        <w:tc>
          <w:tcPr>
            <w:tcW w:w="1667" w:type="pct"/>
            <w:vMerge/>
          </w:tcPr>
          <w:p w14:paraId="27204E27" w14:textId="77777777" w:rsidR="00883B4C" w:rsidRDefault="00883B4C" w:rsidP="00644A43">
            <w:pPr>
              <w:pStyle w:val="TabletextLeft"/>
            </w:pPr>
          </w:p>
        </w:tc>
        <w:tc>
          <w:tcPr>
            <w:tcW w:w="1667" w:type="pct"/>
            <w:shd w:val="clear" w:color="auto" w:fill="auto"/>
          </w:tcPr>
          <w:p w14:paraId="1D62E551" w14:textId="2BCC8C35" w:rsidR="00883B4C" w:rsidRDefault="00883B4C" w:rsidP="00644A43">
            <w:pPr>
              <w:pStyle w:val="TabletextLeft"/>
              <w:jc w:val="center"/>
              <w:rPr>
                <w:rFonts w:cs="Calibri Light"/>
              </w:rPr>
            </w:pPr>
            <w:r w:rsidRPr="008D34C7">
              <w:rPr>
                <w:rFonts w:cs="Calibri Light"/>
              </w:rPr>
              <w:t xml:space="preserve">Application/renewal fee – </w:t>
            </w:r>
            <w:r>
              <w:rPr>
                <w:rFonts w:cs="Calibri Light"/>
              </w:rPr>
              <w:t>4</w:t>
            </w:r>
            <w:r w:rsidRPr="008D34C7">
              <w:rPr>
                <w:rFonts w:cs="Calibri Light"/>
              </w:rPr>
              <w:t xml:space="preserve"> activities</w:t>
            </w:r>
          </w:p>
        </w:tc>
        <w:tc>
          <w:tcPr>
            <w:tcW w:w="1666" w:type="pct"/>
          </w:tcPr>
          <w:p w14:paraId="6B839BF9" w14:textId="526F4E52" w:rsidR="00883B4C" w:rsidRPr="008D34C7" w:rsidRDefault="00883B4C" w:rsidP="00644A43">
            <w:pPr>
              <w:pStyle w:val="TabletextLeft"/>
              <w:jc w:val="center"/>
              <w:rPr>
                <w:rFonts w:cs="Calibri Light"/>
              </w:rPr>
            </w:pPr>
            <w:r w:rsidRPr="00A1034C">
              <w:t>140.49</w:t>
            </w:r>
          </w:p>
        </w:tc>
      </w:tr>
      <w:tr w:rsidR="00883B4C" w:rsidRPr="00294696" w14:paraId="2AC6E23B" w14:textId="58072BCB" w:rsidTr="008E25B8">
        <w:tc>
          <w:tcPr>
            <w:tcW w:w="1667" w:type="pct"/>
            <w:vMerge/>
          </w:tcPr>
          <w:p w14:paraId="17A3CD12" w14:textId="77777777" w:rsidR="00883B4C" w:rsidRDefault="00883B4C" w:rsidP="00644A43">
            <w:pPr>
              <w:pStyle w:val="TabletextLeft"/>
            </w:pPr>
          </w:p>
        </w:tc>
        <w:tc>
          <w:tcPr>
            <w:tcW w:w="1667" w:type="pct"/>
            <w:shd w:val="clear" w:color="auto" w:fill="auto"/>
          </w:tcPr>
          <w:p w14:paraId="01FEE5EA" w14:textId="612B9961" w:rsidR="00883B4C" w:rsidRDefault="00883B4C" w:rsidP="00644A43">
            <w:pPr>
              <w:pStyle w:val="TabletextLeft"/>
              <w:jc w:val="center"/>
              <w:rPr>
                <w:rFonts w:cs="Calibri Light"/>
              </w:rPr>
            </w:pPr>
            <w:r w:rsidRPr="008D34C7">
              <w:rPr>
                <w:rFonts w:cs="Calibri Light"/>
              </w:rPr>
              <w:t xml:space="preserve">Application/renewal fee – </w:t>
            </w:r>
            <w:r>
              <w:rPr>
                <w:rFonts w:cs="Calibri Light"/>
              </w:rPr>
              <w:t>5</w:t>
            </w:r>
            <w:r w:rsidRPr="008D34C7">
              <w:rPr>
                <w:rFonts w:cs="Calibri Light"/>
              </w:rPr>
              <w:t xml:space="preserve"> activities</w:t>
            </w:r>
          </w:p>
        </w:tc>
        <w:tc>
          <w:tcPr>
            <w:tcW w:w="1666" w:type="pct"/>
          </w:tcPr>
          <w:p w14:paraId="2627F5D2" w14:textId="131C7A28" w:rsidR="00883B4C" w:rsidRPr="008D34C7" w:rsidRDefault="00883B4C" w:rsidP="00644A43">
            <w:pPr>
              <w:pStyle w:val="TabletextLeft"/>
              <w:jc w:val="center"/>
              <w:rPr>
                <w:rFonts w:cs="Calibri Light"/>
              </w:rPr>
            </w:pPr>
            <w:r w:rsidRPr="00A1034C">
              <w:t>150.75</w:t>
            </w:r>
          </w:p>
        </w:tc>
      </w:tr>
      <w:tr w:rsidR="00883B4C" w:rsidRPr="00294696" w14:paraId="74E2DB35" w14:textId="25BBF12B" w:rsidTr="008E25B8">
        <w:tc>
          <w:tcPr>
            <w:tcW w:w="1667" w:type="pct"/>
            <w:vMerge/>
          </w:tcPr>
          <w:p w14:paraId="2AE1A8F6" w14:textId="77777777" w:rsidR="00883B4C" w:rsidRDefault="00883B4C" w:rsidP="00644A43">
            <w:pPr>
              <w:pStyle w:val="TabletextLeft"/>
            </w:pPr>
          </w:p>
        </w:tc>
        <w:tc>
          <w:tcPr>
            <w:tcW w:w="1667" w:type="pct"/>
            <w:shd w:val="clear" w:color="auto" w:fill="auto"/>
          </w:tcPr>
          <w:p w14:paraId="2E1BA056" w14:textId="60A80D0E" w:rsidR="00883B4C" w:rsidRDefault="00883B4C" w:rsidP="00644A43">
            <w:pPr>
              <w:pStyle w:val="TabletextLeft"/>
              <w:jc w:val="center"/>
              <w:rPr>
                <w:rFonts w:cs="Calibri Light"/>
              </w:rPr>
            </w:pPr>
            <w:r w:rsidRPr="008D34C7">
              <w:rPr>
                <w:rFonts w:cs="Calibri Light"/>
              </w:rPr>
              <w:t xml:space="preserve">Application/renewal fee – </w:t>
            </w:r>
            <w:r>
              <w:rPr>
                <w:rFonts w:cs="Calibri Light"/>
              </w:rPr>
              <w:t>6</w:t>
            </w:r>
            <w:r w:rsidRPr="008D34C7">
              <w:rPr>
                <w:rFonts w:cs="Calibri Light"/>
              </w:rPr>
              <w:t xml:space="preserve"> activities</w:t>
            </w:r>
          </w:p>
        </w:tc>
        <w:tc>
          <w:tcPr>
            <w:tcW w:w="1666" w:type="pct"/>
          </w:tcPr>
          <w:p w14:paraId="361FC607" w14:textId="46870641" w:rsidR="00883B4C" w:rsidRPr="008D34C7" w:rsidRDefault="00883B4C" w:rsidP="00644A43">
            <w:pPr>
              <w:pStyle w:val="TabletextLeft"/>
              <w:jc w:val="center"/>
              <w:rPr>
                <w:rFonts w:cs="Calibri Light"/>
              </w:rPr>
            </w:pPr>
            <w:r w:rsidRPr="00A1034C">
              <w:t>161.01</w:t>
            </w:r>
          </w:p>
        </w:tc>
      </w:tr>
      <w:tr w:rsidR="00883B4C" w:rsidRPr="00294696" w14:paraId="3D31FFD0" w14:textId="0BD5941A" w:rsidTr="008E25B8">
        <w:tc>
          <w:tcPr>
            <w:tcW w:w="1667" w:type="pct"/>
            <w:vMerge/>
          </w:tcPr>
          <w:p w14:paraId="3E006389" w14:textId="77777777" w:rsidR="00883B4C" w:rsidRDefault="00883B4C" w:rsidP="00644A43">
            <w:pPr>
              <w:pStyle w:val="TabletextLeft"/>
            </w:pPr>
          </w:p>
        </w:tc>
        <w:tc>
          <w:tcPr>
            <w:tcW w:w="1667" w:type="pct"/>
            <w:shd w:val="clear" w:color="auto" w:fill="auto"/>
          </w:tcPr>
          <w:p w14:paraId="2FF74C2C" w14:textId="2A09C4BA" w:rsidR="00883B4C" w:rsidRDefault="00883B4C" w:rsidP="00644A43">
            <w:pPr>
              <w:pStyle w:val="TabletextLeft"/>
              <w:jc w:val="center"/>
              <w:rPr>
                <w:rFonts w:cs="Calibri Light"/>
              </w:rPr>
            </w:pPr>
            <w:r w:rsidRPr="008D34C7">
              <w:rPr>
                <w:rFonts w:cs="Calibri Light"/>
              </w:rPr>
              <w:t xml:space="preserve">Application/renewal fee – </w:t>
            </w:r>
            <w:r>
              <w:rPr>
                <w:rFonts w:cs="Calibri Light"/>
              </w:rPr>
              <w:t>7</w:t>
            </w:r>
            <w:r w:rsidRPr="008D34C7">
              <w:rPr>
                <w:rFonts w:cs="Calibri Light"/>
              </w:rPr>
              <w:t xml:space="preserve"> activities</w:t>
            </w:r>
          </w:p>
        </w:tc>
        <w:tc>
          <w:tcPr>
            <w:tcW w:w="1666" w:type="pct"/>
          </w:tcPr>
          <w:p w14:paraId="1B9F6C22" w14:textId="4507CE85" w:rsidR="00883B4C" w:rsidRPr="008D34C7" w:rsidRDefault="00883B4C" w:rsidP="00644A43">
            <w:pPr>
              <w:pStyle w:val="TabletextLeft"/>
              <w:jc w:val="center"/>
              <w:rPr>
                <w:rFonts w:cs="Calibri Light"/>
              </w:rPr>
            </w:pPr>
            <w:r w:rsidRPr="00A1034C">
              <w:t>171.27</w:t>
            </w:r>
          </w:p>
        </w:tc>
      </w:tr>
      <w:tr w:rsidR="00883B4C" w:rsidRPr="00294696" w14:paraId="031EC2CF" w14:textId="24EA0560" w:rsidTr="008E25B8">
        <w:tc>
          <w:tcPr>
            <w:tcW w:w="1667" w:type="pct"/>
            <w:vMerge/>
          </w:tcPr>
          <w:p w14:paraId="422FA182" w14:textId="77777777" w:rsidR="00883B4C" w:rsidRDefault="00883B4C" w:rsidP="00644A43">
            <w:pPr>
              <w:pStyle w:val="TabletextLeft"/>
            </w:pPr>
          </w:p>
        </w:tc>
        <w:tc>
          <w:tcPr>
            <w:tcW w:w="1667" w:type="pct"/>
            <w:shd w:val="clear" w:color="auto" w:fill="auto"/>
          </w:tcPr>
          <w:p w14:paraId="3853D4FD" w14:textId="53CCE9F6" w:rsidR="00883B4C" w:rsidRDefault="00883B4C" w:rsidP="00644A43">
            <w:pPr>
              <w:pStyle w:val="TabletextLeft"/>
              <w:jc w:val="center"/>
              <w:rPr>
                <w:rFonts w:cs="Calibri Light"/>
              </w:rPr>
            </w:pPr>
            <w:r>
              <w:rPr>
                <w:rFonts w:cs="Calibri Light"/>
              </w:rPr>
              <w:t>Variation fee</w:t>
            </w:r>
          </w:p>
        </w:tc>
        <w:tc>
          <w:tcPr>
            <w:tcW w:w="1666" w:type="pct"/>
          </w:tcPr>
          <w:p w14:paraId="40DCE747" w14:textId="578A952A" w:rsidR="00883B4C" w:rsidRDefault="00883B4C" w:rsidP="00644A43">
            <w:pPr>
              <w:pStyle w:val="TabletextLeft"/>
              <w:jc w:val="center"/>
              <w:rPr>
                <w:rFonts w:cs="Calibri Light"/>
              </w:rPr>
            </w:pPr>
            <w:r w:rsidRPr="00A1034C">
              <w:t>31.15</w:t>
            </w:r>
          </w:p>
        </w:tc>
      </w:tr>
      <w:tr w:rsidR="00883B4C" w:rsidRPr="00294696" w14:paraId="1B4D5FEF" w14:textId="77777777" w:rsidTr="008E25B8">
        <w:tc>
          <w:tcPr>
            <w:tcW w:w="1667" w:type="pct"/>
            <w:vMerge/>
          </w:tcPr>
          <w:p w14:paraId="01D95028" w14:textId="77777777" w:rsidR="00883B4C" w:rsidRDefault="00883B4C" w:rsidP="00644A43">
            <w:pPr>
              <w:pStyle w:val="TabletextLeft"/>
            </w:pPr>
          </w:p>
        </w:tc>
        <w:tc>
          <w:tcPr>
            <w:tcW w:w="1667" w:type="pct"/>
            <w:shd w:val="clear" w:color="auto" w:fill="auto"/>
          </w:tcPr>
          <w:p w14:paraId="08E4D21F" w14:textId="6F537079" w:rsidR="00883B4C" w:rsidRDefault="00883B4C" w:rsidP="00644A43">
            <w:pPr>
              <w:pStyle w:val="TabletextLeft"/>
              <w:jc w:val="center"/>
              <w:rPr>
                <w:rFonts w:cs="Calibri Light"/>
              </w:rPr>
            </w:pPr>
            <w:r>
              <w:rPr>
                <w:rFonts w:cs="Calibri Light"/>
              </w:rPr>
              <w:t>Vary/revoke licence condition fee</w:t>
            </w:r>
          </w:p>
        </w:tc>
        <w:tc>
          <w:tcPr>
            <w:tcW w:w="1666" w:type="pct"/>
          </w:tcPr>
          <w:p w14:paraId="4D5D9C98" w14:textId="6D9BC52F" w:rsidR="00883B4C" w:rsidRPr="00A1034C" w:rsidRDefault="00883B4C" w:rsidP="00644A43">
            <w:pPr>
              <w:pStyle w:val="TabletextLeft"/>
              <w:jc w:val="center"/>
            </w:pPr>
            <w:r>
              <w:t>2.25</w:t>
            </w:r>
          </w:p>
        </w:tc>
      </w:tr>
      <w:tr w:rsidR="00F13C2C" w:rsidRPr="00294696" w14:paraId="1FCDE767" w14:textId="131DC029" w:rsidTr="008E25B8">
        <w:tc>
          <w:tcPr>
            <w:tcW w:w="1667" w:type="pct"/>
            <w:vMerge w:val="restart"/>
          </w:tcPr>
          <w:p w14:paraId="1BB19EF7" w14:textId="77777777" w:rsidR="00F13C2C" w:rsidRDefault="00F13C2C" w:rsidP="00644A43">
            <w:pPr>
              <w:pStyle w:val="TabletextLeft"/>
            </w:pPr>
            <w:r>
              <w:t>Individual operator licence</w:t>
            </w:r>
          </w:p>
        </w:tc>
        <w:tc>
          <w:tcPr>
            <w:tcW w:w="1667" w:type="pct"/>
            <w:shd w:val="clear" w:color="auto" w:fill="auto"/>
          </w:tcPr>
          <w:p w14:paraId="082C1FD5" w14:textId="290A9383" w:rsidR="00F13C2C" w:rsidRDefault="00F13C2C" w:rsidP="00644A43">
            <w:pPr>
              <w:pStyle w:val="TabletextLeft"/>
              <w:jc w:val="center"/>
              <w:rPr>
                <w:rFonts w:cs="Calibri Light"/>
              </w:rPr>
            </w:pPr>
            <w:r>
              <w:rPr>
                <w:rFonts w:cs="Calibri Light"/>
              </w:rPr>
              <w:t>Application/renewal fee – 1 activity</w:t>
            </w:r>
          </w:p>
        </w:tc>
        <w:tc>
          <w:tcPr>
            <w:tcW w:w="1666" w:type="pct"/>
          </w:tcPr>
          <w:p w14:paraId="77618DCD" w14:textId="7A8945B8" w:rsidR="00F13C2C" w:rsidRDefault="00F13C2C" w:rsidP="00644A43">
            <w:pPr>
              <w:pStyle w:val="TabletextLeft"/>
              <w:jc w:val="center"/>
              <w:rPr>
                <w:rFonts w:cs="Calibri Light"/>
              </w:rPr>
            </w:pPr>
            <w:r w:rsidRPr="00A1034C">
              <w:t>28.88</w:t>
            </w:r>
          </w:p>
        </w:tc>
      </w:tr>
      <w:tr w:rsidR="00F13C2C" w:rsidRPr="00294696" w14:paraId="52E8A08F" w14:textId="236720D0" w:rsidTr="008E25B8">
        <w:tc>
          <w:tcPr>
            <w:tcW w:w="1667" w:type="pct"/>
            <w:vMerge/>
          </w:tcPr>
          <w:p w14:paraId="4AD94C73" w14:textId="77777777" w:rsidR="00F13C2C" w:rsidRDefault="00F13C2C" w:rsidP="00644A43">
            <w:pPr>
              <w:pStyle w:val="TabletextLeft"/>
            </w:pPr>
          </w:p>
        </w:tc>
        <w:tc>
          <w:tcPr>
            <w:tcW w:w="1667" w:type="pct"/>
            <w:shd w:val="clear" w:color="auto" w:fill="auto"/>
          </w:tcPr>
          <w:p w14:paraId="0D56B84A" w14:textId="15C9DEFC" w:rsidR="00F13C2C" w:rsidRDefault="00F13C2C" w:rsidP="00644A43">
            <w:pPr>
              <w:pStyle w:val="TabletextLeft"/>
              <w:jc w:val="center"/>
              <w:rPr>
                <w:rFonts w:cs="Calibri Light"/>
              </w:rPr>
            </w:pPr>
            <w:r>
              <w:rPr>
                <w:rFonts w:cs="Calibri Light"/>
              </w:rPr>
              <w:t>Application/renewal fee – 2 activities</w:t>
            </w:r>
          </w:p>
        </w:tc>
        <w:tc>
          <w:tcPr>
            <w:tcW w:w="1666" w:type="pct"/>
          </w:tcPr>
          <w:p w14:paraId="46629810" w14:textId="7F449F66" w:rsidR="00F13C2C" w:rsidRDefault="00F13C2C" w:rsidP="00644A43">
            <w:pPr>
              <w:pStyle w:val="TabletextLeft"/>
              <w:jc w:val="center"/>
              <w:rPr>
                <w:rFonts w:cs="Calibri Light"/>
              </w:rPr>
            </w:pPr>
            <w:r w:rsidRPr="00A1034C">
              <w:t>32.92</w:t>
            </w:r>
          </w:p>
        </w:tc>
      </w:tr>
      <w:tr w:rsidR="00F13C2C" w:rsidRPr="00294696" w14:paraId="746892E7" w14:textId="24282A85" w:rsidTr="008E25B8">
        <w:tc>
          <w:tcPr>
            <w:tcW w:w="1667" w:type="pct"/>
            <w:vMerge/>
          </w:tcPr>
          <w:p w14:paraId="2D008935" w14:textId="77777777" w:rsidR="00F13C2C" w:rsidRDefault="00F13C2C" w:rsidP="00644A43">
            <w:pPr>
              <w:pStyle w:val="TabletextLeft"/>
            </w:pPr>
          </w:p>
        </w:tc>
        <w:tc>
          <w:tcPr>
            <w:tcW w:w="1667" w:type="pct"/>
            <w:shd w:val="clear" w:color="auto" w:fill="auto"/>
          </w:tcPr>
          <w:p w14:paraId="089C6F5A" w14:textId="7C7C2D94" w:rsidR="00F13C2C" w:rsidRDefault="00F13C2C" w:rsidP="00644A43">
            <w:pPr>
              <w:pStyle w:val="TabletextLeft"/>
              <w:jc w:val="center"/>
              <w:rPr>
                <w:rFonts w:cs="Calibri Light"/>
              </w:rPr>
            </w:pPr>
            <w:r w:rsidRPr="008D34C7">
              <w:rPr>
                <w:rFonts w:cs="Calibri Light"/>
              </w:rPr>
              <w:t xml:space="preserve">Application/renewal fee – </w:t>
            </w:r>
            <w:r>
              <w:rPr>
                <w:rFonts w:cs="Calibri Light"/>
              </w:rPr>
              <w:t>3</w:t>
            </w:r>
            <w:r w:rsidRPr="008D34C7">
              <w:rPr>
                <w:rFonts w:cs="Calibri Light"/>
              </w:rPr>
              <w:t xml:space="preserve"> activities</w:t>
            </w:r>
          </w:p>
        </w:tc>
        <w:tc>
          <w:tcPr>
            <w:tcW w:w="1666" w:type="pct"/>
          </w:tcPr>
          <w:p w14:paraId="33F4091C" w14:textId="06A3FA21" w:rsidR="00F13C2C" w:rsidRPr="008D34C7" w:rsidRDefault="00F13C2C" w:rsidP="00644A43">
            <w:pPr>
              <w:pStyle w:val="TabletextLeft"/>
              <w:jc w:val="center"/>
              <w:rPr>
                <w:rFonts w:cs="Calibri Light"/>
              </w:rPr>
            </w:pPr>
            <w:r w:rsidRPr="00A1034C">
              <w:t>35.16</w:t>
            </w:r>
          </w:p>
        </w:tc>
      </w:tr>
      <w:tr w:rsidR="00F13C2C" w:rsidRPr="00294696" w14:paraId="0D5CFB30" w14:textId="12AC4B8C" w:rsidTr="008E25B8">
        <w:tc>
          <w:tcPr>
            <w:tcW w:w="1667" w:type="pct"/>
            <w:vMerge/>
          </w:tcPr>
          <w:p w14:paraId="06C00DC6" w14:textId="77777777" w:rsidR="00F13C2C" w:rsidRDefault="00F13C2C" w:rsidP="00644A43">
            <w:pPr>
              <w:pStyle w:val="TabletextLeft"/>
            </w:pPr>
          </w:p>
        </w:tc>
        <w:tc>
          <w:tcPr>
            <w:tcW w:w="1667" w:type="pct"/>
            <w:shd w:val="clear" w:color="auto" w:fill="auto"/>
          </w:tcPr>
          <w:p w14:paraId="10DD1AE2" w14:textId="42ED8445" w:rsidR="00F13C2C" w:rsidRDefault="00F13C2C" w:rsidP="00644A43">
            <w:pPr>
              <w:pStyle w:val="TabletextLeft"/>
              <w:jc w:val="center"/>
              <w:rPr>
                <w:rFonts w:cs="Calibri Light"/>
              </w:rPr>
            </w:pPr>
            <w:r w:rsidRPr="008D34C7">
              <w:rPr>
                <w:rFonts w:cs="Calibri Light"/>
              </w:rPr>
              <w:t xml:space="preserve">Application/renewal fee – </w:t>
            </w:r>
            <w:r>
              <w:rPr>
                <w:rFonts w:cs="Calibri Light"/>
              </w:rPr>
              <w:t>4</w:t>
            </w:r>
            <w:r w:rsidRPr="008D34C7">
              <w:rPr>
                <w:rFonts w:cs="Calibri Light"/>
              </w:rPr>
              <w:t xml:space="preserve"> activities</w:t>
            </w:r>
          </w:p>
        </w:tc>
        <w:tc>
          <w:tcPr>
            <w:tcW w:w="1666" w:type="pct"/>
          </w:tcPr>
          <w:p w14:paraId="76DAEA2F" w14:textId="5BBF7105" w:rsidR="00F13C2C" w:rsidRPr="008D34C7" w:rsidRDefault="00F13C2C" w:rsidP="00644A43">
            <w:pPr>
              <w:pStyle w:val="TabletextLeft"/>
              <w:jc w:val="center"/>
              <w:rPr>
                <w:rFonts w:cs="Calibri Light"/>
              </w:rPr>
            </w:pPr>
            <w:r w:rsidRPr="00A1034C">
              <w:t>37.40</w:t>
            </w:r>
          </w:p>
        </w:tc>
      </w:tr>
      <w:tr w:rsidR="00F13C2C" w:rsidRPr="00294696" w14:paraId="3EBC1937" w14:textId="4D3BE5C3" w:rsidTr="008E25B8">
        <w:tc>
          <w:tcPr>
            <w:tcW w:w="1667" w:type="pct"/>
            <w:vMerge/>
          </w:tcPr>
          <w:p w14:paraId="3BE06E32" w14:textId="77777777" w:rsidR="00F13C2C" w:rsidRDefault="00F13C2C" w:rsidP="00644A43">
            <w:pPr>
              <w:pStyle w:val="TabletextLeft"/>
            </w:pPr>
          </w:p>
        </w:tc>
        <w:tc>
          <w:tcPr>
            <w:tcW w:w="1667" w:type="pct"/>
            <w:shd w:val="clear" w:color="auto" w:fill="auto"/>
          </w:tcPr>
          <w:p w14:paraId="2BF05A11" w14:textId="2CF82E7F" w:rsidR="00F13C2C" w:rsidRDefault="00F13C2C" w:rsidP="00644A43">
            <w:pPr>
              <w:pStyle w:val="TabletextLeft"/>
              <w:jc w:val="center"/>
              <w:rPr>
                <w:rFonts w:cs="Calibri Light"/>
              </w:rPr>
            </w:pPr>
            <w:r w:rsidRPr="008D34C7">
              <w:rPr>
                <w:rFonts w:cs="Calibri Light"/>
              </w:rPr>
              <w:t xml:space="preserve">Application/renewal fee – </w:t>
            </w:r>
            <w:r>
              <w:rPr>
                <w:rFonts w:cs="Calibri Light"/>
              </w:rPr>
              <w:t>5</w:t>
            </w:r>
            <w:r w:rsidRPr="008D34C7">
              <w:rPr>
                <w:rFonts w:cs="Calibri Light"/>
              </w:rPr>
              <w:t xml:space="preserve"> activities</w:t>
            </w:r>
          </w:p>
        </w:tc>
        <w:tc>
          <w:tcPr>
            <w:tcW w:w="1666" w:type="pct"/>
          </w:tcPr>
          <w:p w14:paraId="0DEA5690" w14:textId="5A5FAD06" w:rsidR="00F13C2C" w:rsidRPr="008D34C7" w:rsidRDefault="00F13C2C" w:rsidP="00644A43">
            <w:pPr>
              <w:pStyle w:val="TabletextLeft"/>
              <w:jc w:val="center"/>
              <w:rPr>
                <w:rFonts w:cs="Calibri Light"/>
              </w:rPr>
            </w:pPr>
            <w:r w:rsidRPr="00A1034C">
              <w:t>39.64</w:t>
            </w:r>
          </w:p>
        </w:tc>
      </w:tr>
      <w:tr w:rsidR="00F13C2C" w:rsidRPr="00294696" w14:paraId="7CBAF7CA" w14:textId="5029712C" w:rsidTr="008E25B8">
        <w:tc>
          <w:tcPr>
            <w:tcW w:w="1667" w:type="pct"/>
            <w:vMerge/>
          </w:tcPr>
          <w:p w14:paraId="55578CE1" w14:textId="77777777" w:rsidR="00F13C2C" w:rsidRDefault="00F13C2C" w:rsidP="00644A43">
            <w:pPr>
              <w:pStyle w:val="TabletextLeft"/>
            </w:pPr>
          </w:p>
        </w:tc>
        <w:tc>
          <w:tcPr>
            <w:tcW w:w="1667" w:type="pct"/>
            <w:shd w:val="clear" w:color="auto" w:fill="auto"/>
          </w:tcPr>
          <w:p w14:paraId="1AC46DF4" w14:textId="481C9966" w:rsidR="00F13C2C" w:rsidRDefault="00F13C2C" w:rsidP="00644A43">
            <w:pPr>
              <w:pStyle w:val="TabletextLeft"/>
              <w:jc w:val="center"/>
              <w:rPr>
                <w:rFonts w:cs="Calibri Light"/>
              </w:rPr>
            </w:pPr>
            <w:r w:rsidRPr="008D34C7">
              <w:rPr>
                <w:rFonts w:cs="Calibri Light"/>
              </w:rPr>
              <w:t xml:space="preserve">Application/renewal fee – </w:t>
            </w:r>
            <w:r>
              <w:rPr>
                <w:rFonts w:cs="Calibri Light"/>
              </w:rPr>
              <w:t>6</w:t>
            </w:r>
            <w:r w:rsidRPr="008D34C7">
              <w:rPr>
                <w:rFonts w:cs="Calibri Light"/>
              </w:rPr>
              <w:t xml:space="preserve"> activities</w:t>
            </w:r>
          </w:p>
        </w:tc>
        <w:tc>
          <w:tcPr>
            <w:tcW w:w="1666" w:type="pct"/>
          </w:tcPr>
          <w:p w14:paraId="60E7729C" w14:textId="237DA1B6" w:rsidR="00F13C2C" w:rsidRPr="008D34C7" w:rsidRDefault="00F13C2C" w:rsidP="00644A43">
            <w:pPr>
              <w:pStyle w:val="TabletextLeft"/>
              <w:jc w:val="center"/>
              <w:rPr>
                <w:rFonts w:cs="Calibri Light"/>
              </w:rPr>
            </w:pPr>
            <w:r w:rsidRPr="00A1034C">
              <w:t>41.88</w:t>
            </w:r>
          </w:p>
        </w:tc>
      </w:tr>
      <w:tr w:rsidR="00F13C2C" w:rsidRPr="00294696" w14:paraId="7977863A" w14:textId="68197CAB" w:rsidTr="008E25B8">
        <w:tc>
          <w:tcPr>
            <w:tcW w:w="1667" w:type="pct"/>
            <w:vMerge/>
          </w:tcPr>
          <w:p w14:paraId="37D0A5FD" w14:textId="77777777" w:rsidR="00F13C2C" w:rsidRDefault="00F13C2C" w:rsidP="00644A43">
            <w:pPr>
              <w:pStyle w:val="TabletextLeft"/>
            </w:pPr>
          </w:p>
        </w:tc>
        <w:tc>
          <w:tcPr>
            <w:tcW w:w="1667" w:type="pct"/>
            <w:shd w:val="clear" w:color="auto" w:fill="auto"/>
          </w:tcPr>
          <w:p w14:paraId="5A7C9BF2" w14:textId="0C35C10A" w:rsidR="00F13C2C" w:rsidRDefault="00F13C2C" w:rsidP="00644A43">
            <w:pPr>
              <w:pStyle w:val="TabletextLeft"/>
              <w:jc w:val="center"/>
              <w:rPr>
                <w:rFonts w:cs="Calibri Light"/>
              </w:rPr>
            </w:pPr>
            <w:r w:rsidRPr="008D34C7">
              <w:rPr>
                <w:rFonts w:cs="Calibri Light"/>
              </w:rPr>
              <w:t xml:space="preserve">Application/renewal fee – </w:t>
            </w:r>
            <w:r>
              <w:rPr>
                <w:rFonts w:cs="Calibri Light"/>
              </w:rPr>
              <w:t>7</w:t>
            </w:r>
            <w:r w:rsidRPr="008D34C7">
              <w:rPr>
                <w:rFonts w:cs="Calibri Light"/>
              </w:rPr>
              <w:t xml:space="preserve"> activities</w:t>
            </w:r>
          </w:p>
        </w:tc>
        <w:tc>
          <w:tcPr>
            <w:tcW w:w="1666" w:type="pct"/>
          </w:tcPr>
          <w:p w14:paraId="34D09CD0" w14:textId="25B1977D" w:rsidR="00F13C2C" w:rsidRPr="008D34C7" w:rsidRDefault="00F13C2C" w:rsidP="00644A43">
            <w:pPr>
              <w:pStyle w:val="TabletextLeft"/>
              <w:jc w:val="center"/>
              <w:rPr>
                <w:rFonts w:cs="Calibri Light"/>
              </w:rPr>
            </w:pPr>
            <w:r w:rsidRPr="00A1034C">
              <w:t>44.12</w:t>
            </w:r>
          </w:p>
        </w:tc>
      </w:tr>
      <w:tr w:rsidR="00F13C2C" w:rsidRPr="00294696" w14:paraId="2D35EBE2" w14:textId="26959740" w:rsidTr="008E25B8">
        <w:tc>
          <w:tcPr>
            <w:tcW w:w="1667" w:type="pct"/>
            <w:vMerge/>
          </w:tcPr>
          <w:p w14:paraId="393316A9" w14:textId="77777777" w:rsidR="00F13C2C" w:rsidRDefault="00F13C2C" w:rsidP="00644A43">
            <w:pPr>
              <w:pStyle w:val="TabletextLeft"/>
            </w:pPr>
          </w:p>
        </w:tc>
        <w:tc>
          <w:tcPr>
            <w:tcW w:w="1667" w:type="pct"/>
            <w:shd w:val="clear" w:color="auto" w:fill="auto"/>
          </w:tcPr>
          <w:p w14:paraId="77F92CBB" w14:textId="77777777" w:rsidR="00F13C2C" w:rsidRDefault="00F13C2C" w:rsidP="00644A43">
            <w:pPr>
              <w:pStyle w:val="TabletextLeft"/>
              <w:jc w:val="center"/>
              <w:rPr>
                <w:rFonts w:cs="Calibri Light"/>
              </w:rPr>
            </w:pPr>
            <w:r>
              <w:rPr>
                <w:rFonts w:cs="Calibri Light"/>
              </w:rPr>
              <w:t>Variation fee</w:t>
            </w:r>
          </w:p>
        </w:tc>
        <w:tc>
          <w:tcPr>
            <w:tcW w:w="1666" w:type="pct"/>
          </w:tcPr>
          <w:p w14:paraId="53D83E14" w14:textId="290D5E1E" w:rsidR="00F13C2C" w:rsidRDefault="00F13C2C" w:rsidP="00644A43">
            <w:pPr>
              <w:pStyle w:val="TabletextLeft"/>
              <w:jc w:val="center"/>
              <w:rPr>
                <w:rFonts w:cs="Calibri Light"/>
              </w:rPr>
            </w:pPr>
            <w:r w:rsidRPr="00A1034C">
              <w:t>8.43</w:t>
            </w:r>
          </w:p>
        </w:tc>
      </w:tr>
      <w:tr w:rsidR="00F13C2C" w:rsidRPr="00294696" w14:paraId="0614B074" w14:textId="77777777" w:rsidTr="008E25B8">
        <w:tc>
          <w:tcPr>
            <w:tcW w:w="1667" w:type="pct"/>
            <w:vMerge/>
          </w:tcPr>
          <w:p w14:paraId="03365A39" w14:textId="77777777" w:rsidR="00F13C2C" w:rsidRDefault="00F13C2C" w:rsidP="00644A43">
            <w:pPr>
              <w:pStyle w:val="TabletextLeft"/>
            </w:pPr>
          </w:p>
        </w:tc>
        <w:tc>
          <w:tcPr>
            <w:tcW w:w="1667" w:type="pct"/>
            <w:shd w:val="clear" w:color="auto" w:fill="auto"/>
          </w:tcPr>
          <w:p w14:paraId="572FEB9C" w14:textId="2D7DD482" w:rsidR="00F13C2C" w:rsidRDefault="00F13C2C" w:rsidP="00644A43">
            <w:pPr>
              <w:pStyle w:val="TabletextLeft"/>
              <w:jc w:val="center"/>
              <w:rPr>
                <w:rFonts w:cs="Calibri Light"/>
              </w:rPr>
            </w:pPr>
            <w:r>
              <w:rPr>
                <w:rFonts w:cs="Calibri Light"/>
              </w:rPr>
              <w:t>Vary/revoke licence condition fee</w:t>
            </w:r>
          </w:p>
        </w:tc>
        <w:tc>
          <w:tcPr>
            <w:tcW w:w="1666" w:type="pct"/>
          </w:tcPr>
          <w:p w14:paraId="646EB4A3" w14:textId="2981B421" w:rsidR="00F13C2C" w:rsidRPr="00A1034C" w:rsidRDefault="00F13C2C" w:rsidP="00644A43">
            <w:pPr>
              <w:pStyle w:val="TabletextLeft"/>
              <w:jc w:val="center"/>
            </w:pPr>
            <w:r>
              <w:t>2.25</w:t>
            </w:r>
          </w:p>
        </w:tc>
      </w:tr>
    </w:tbl>
    <w:p w14:paraId="1A0337E1" w14:textId="7599344C" w:rsidR="00334525" w:rsidRDefault="00334525" w:rsidP="00334525">
      <w:pPr>
        <w:pStyle w:val="Heading2"/>
      </w:pPr>
      <w:bookmarkStart w:id="100" w:name="_Toc189832261"/>
      <w:r>
        <w:t>Options analysis</w:t>
      </w:r>
      <w:bookmarkEnd w:id="100"/>
      <w:r>
        <w:t xml:space="preserve"> </w:t>
      </w:r>
    </w:p>
    <w:p w14:paraId="4A7F7550" w14:textId="3586B3C5" w:rsidR="00334525" w:rsidRDefault="00084AD7" w:rsidP="00084AD7">
      <w:pPr>
        <w:pStyle w:val="Heading3"/>
      </w:pPr>
      <w:r>
        <w:t xml:space="preserve">Criterion 1: Effectiveness </w:t>
      </w:r>
    </w:p>
    <w:p w14:paraId="218D959A" w14:textId="2933FF69" w:rsidR="00A57504" w:rsidRDefault="00A57504" w:rsidP="00A57504">
      <w:pPr>
        <w:pStyle w:val="Caption"/>
      </w:pPr>
      <w:r>
        <w:t xml:space="preserve">Table </w:t>
      </w:r>
      <w:r w:rsidR="00414520">
        <w:fldChar w:fldCharType="begin"/>
      </w:r>
      <w:r w:rsidR="00414520">
        <w:instrText xml:space="preserve"> STYLEREF 1 \s </w:instrText>
      </w:r>
      <w:r w:rsidR="00414520">
        <w:fldChar w:fldCharType="separate"/>
      </w:r>
      <w:r w:rsidR="009D133E">
        <w:rPr>
          <w:noProof/>
        </w:rPr>
        <w:t>5</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3</w:t>
      </w:r>
      <w:r w:rsidR="00414520">
        <w:fldChar w:fldCharType="end"/>
      </w:r>
      <w:r>
        <w:t xml:space="preserve">: Summary of scores for Criterion 1 </w:t>
      </w:r>
    </w:p>
    <w:tbl>
      <w:tblPr>
        <w:tblStyle w:val="Deloittetable"/>
        <w:tblW w:w="5000" w:type="pct"/>
        <w:tblLook w:val="04A0" w:firstRow="1" w:lastRow="0" w:firstColumn="1" w:lastColumn="0" w:noHBand="0" w:noVBand="1"/>
      </w:tblPr>
      <w:tblGrid>
        <w:gridCol w:w="1902"/>
        <w:gridCol w:w="1933"/>
        <w:gridCol w:w="1935"/>
        <w:gridCol w:w="1933"/>
        <w:gridCol w:w="1935"/>
      </w:tblGrid>
      <w:tr w:rsidR="0016351B" w14:paraId="628894BC" w14:textId="77777777" w:rsidTr="00C62F9F">
        <w:trPr>
          <w:cnfStyle w:val="100000000000" w:firstRow="1" w:lastRow="0" w:firstColumn="0" w:lastColumn="0" w:oddVBand="0" w:evenVBand="0" w:oddHBand="0" w:evenHBand="0" w:firstRowFirstColumn="0" w:firstRowLastColumn="0" w:lastRowFirstColumn="0" w:lastRowLastColumn="0"/>
          <w:trHeight w:val="1460"/>
        </w:trPr>
        <w:tc>
          <w:tcPr>
            <w:tcW w:w="986" w:type="pct"/>
          </w:tcPr>
          <w:p w14:paraId="144A10AE" w14:textId="5BA3F726" w:rsidR="0016351B" w:rsidRPr="004B053C" w:rsidRDefault="0016351B" w:rsidP="0016351B">
            <w:pPr>
              <w:rPr>
                <w:b/>
                <w:bCs/>
              </w:rPr>
            </w:pPr>
            <w:r>
              <w:rPr>
                <w:b/>
                <w:bCs/>
              </w:rPr>
              <w:t>Criterion</w:t>
            </w:r>
          </w:p>
        </w:tc>
        <w:tc>
          <w:tcPr>
            <w:tcW w:w="1003" w:type="pct"/>
          </w:tcPr>
          <w:p w14:paraId="786E9569" w14:textId="78A6E341" w:rsidR="0016351B" w:rsidRPr="004B053C" w:rsidRDefault="0016351B" w:rsidP="0016351B">
            <w:pPr>
              <w:jc w:val="center"/>
              <w:rPr>
                <w:b/>
                <w:bCs/>
              </w:rPr>
            </w:pPr>
            <w:r>
              <w:rPr>
                <w:b/>
                <w:bCs/>
              </w:rPr>
              <w:t>Weight</w:t>
            </w:r>
          </w:p>
        </w:tc>
        <w:tc>
          <w:tcPr>
            <w:tcW w:w="1004" w:type="pct"/>
          </w:tcPr>
          <w:p w14:paraId="4566D1CF" w14:textId="63A1D4DC" w:rsidR="0016351B" w:rsidRPr="004B053C" w:rsidRDefault="005F0D37" w:rsidP="0016351B">
            <w:pPr>
              <w:jc w:val="center"/>
              <w:rPr>
                <w:b/>
                <w:bCs/>
              </w:rPr>
            </w:pPr>
            <w:r>
              <w:rPr>
                <w:b/>
                <w:bCs/>
              </w:rPr>
              <w:t xml:space="preserve">Reference </w:t>
            </w:r>
            <w:r w:rsidR="0016351B">
              <w:rPr>
                <w:b/>
                <w:bCs/>
              </w:rPr>
              <w:t>Case</w:t>
            </w:r>
          </w:p>
        </w:tc>
        <w:tc>
          <w:tcPr>
            <w:tcW w:w="1003" w:type="pct"/>
          </w:tcPr>
          <w:p w14:paraId="4F193B3D" w14:textId="77777777" w:rsidR="0016351B" w:rsidRDefault="0016351B" w:rsidP="00C62F9F">
            <w:pPr>
              <w:jc w:val="center"/>
              <w:rPr>
                <w:b/>
                <w:bCs/>
              </w:rPr>
            </w:pPr>
            <w:r>
              <w:rPr>
                <w:b/>
                <w:bCs/>
              </w:rPr>
              <w:t>Option 1</w:t>
            </w:r>
          </w:p>
          <w:p w14:paraId="148BC4FF" w14:textId="16028069" w:rsidR="0016351B" w:rsidRPr="004B053C" w:rsidRDefault="0016351B" w:rsidP="00C62F9F">
            <w:pPr>
              <w:jc w:val="center"/>
              <w:rPr>
                <w:b/>
                <w:bCs/>
              </w:rPr>
            </w:pPr>
            <w:r>
              <w:rPr>
                <w:b/>
                <w:bCs/>
              </w:rPr>
              <w:t>S</w:t>
            </w:r>
            <w:r w:rsidRPr="000C45AE">
              <w:rPr>
                <w:b/>
                <w:bCs/>
              </w:rPr>
              <w:t xml:space="preserve">ingle fee for individual and a single fee for </w:t>
            </w:r>
            <w:r>
              <w:rPr>
                <w:b/>
                <w:bCs/>
              </w:rPr>
              <w:t>business</w:t>
            </w:r>
          </w:p>
        </w:tc>
        <w:tc>
          <w:tcPr>
            <w:tcW w:w="1004" w:type="pct"/>
          </w:tcPr>
          <w:p w14:paraId="4C72438E" w14:textId="77777777" w:rsidR="0016351B" w:rsidRDefault="0016351B" w:rsidP="00C62F9F">
            <w:pPr>
              <w:jc w:val="center"/>
              <w:rPr>
                <w:b/>
                <w:bCs/>
              </w:rPr>
            </w:pPr>
            <w:r>
              <w:rPr>
                <w:b/>
                <w:bCs/>
              </w:rPr>
              <w:t>Option 2</w:t>
            </w:r>
          </w:p>
          <w:p w14:paraId="51113976" w14:textId="5696811E" w:rsidR="0016351B" w:rsidRPr="004B053C" w:rsidRDefault="0016351B" w:rsidP="00C62F9F">
            <w:pPr>
              <w:jc w:val="center"/>
              <w:rPr>
                <w:b/>
                <w:bCs/>
              </w:rPr>
            </w:pPr>
            <w:r>
              <w:rPr>
                <w:b/>
                <w:bCs/>
              </w:rPr>
              <w:t>Variable fees based on application complexity</w:t>
            </w:r>
          </w:p>
        </w:tc>
      </w:tr>
      <w:tr w:rsidR="0086436E" w14:paraId="63BCCA5C" w14:textId="77777777" w:rsidTr="00C62F9F">
        <w:tc>
          <w:tcPr>
            <w:tcW w:w="986" w:type="pct"/>
          </w:tcPr>
          <w:p w14:paraId="2CBED42E" w14:textId="7F11508B" w:rsidR="0086436E" w:rsidRDefault="0086436E" w:rsidP="002F1253">
            <w:r>
              <w:t>Effectiveness</w:t>
            </w:r>
          </w:p>
        </w:tc>
        <w:tc>
          <w:tcPr>
            <w:tcW w:w="1003" w:type="pct"/>
          </w:tcPr>
          <w:p w14:paraId="2FDEA10F" w14:textId="1FA78014" w:rsidR="0086436E" w:rsidRDefault="0086436E" w:rsidP="0016351B">
            <w:pPr>
              <w:jc w:val="center"/>
            </w:pPr>
            <w:r>
              <w:t>40%</w:t>
            </w:r>
          </w:p>
        </w:tc>
        <w:tc>
          <w:tcPr>
            <w:tcW w:w="1004" w:type="pct"/>
          </w:tcPr>
          <w:p w14:paraId="0AD586B5" w14:textId="769DDF25" w:rsidR="0086436E" w:rsidRDefault="00DE54B8" w:rsidP="0016351B">
            <w:pPr>
              <w:jc w:val="center"/>
            </w:pPr>
            <w:r>
              <w:t>0</w:t>
            </w:r>
          </w:p>
        </w:tc>
        <w:tc>
          <w:tcPr>
            <w:tcW w:w="1003" w:type="pct"/>
          </w:tcPr>
          <w:p w14:paraId="3C9D8174" w14:textId="2A70B411" w:rsidR="0086436E" w:rsidRPr="00C56E1A" w:rsidRDefault="00DE54B8" w:rsidP="0016351B">
            <w:pPr>
              <w:jc w:val="center"/>
            </w:pPr>
            <w:r>
              <w:t>10</w:t>
            </w:r>
          </w:p>
        </w:tc>
        <w:tc>
          <w:tcPr>
            <w:tcW w:w="1004" w:type="pct"/>
          </w:tcPr>
          <w:p w14:paraId="017C25B9" w14:textId="286EEAE2" w:rsidR="0086436E" w:rsidRPr="00C56E1A" w:rsidRDefault="00DE54B8" w:rsidP="0016351B">
            <w:pPr>
              <w:jc w:val="center"/>
            </w:pPr>
            <w:r>
              <w:t>10</w:t>
            </w:r>
          </w:p>
        </w:tc>
      </w:tr>
      <w:tr w:rsidR="0086436E" w14:paraId="41486E4F" w14:textId="77777777" w:rsidTr="00C62F9F">
        <w:tc>
          <w:tcPr>
            <w:tcW w:w="986" w:type="pct"/>
          </w:tcPr>
          <w:p w14:paraId="5CAC1E79" w14:textId="0F593049" w:rsidR="0086436E" w:rsidRPr="008A7E46" w:rsidRDefault="008A7E46" w:rsidP="002F1253">
            <w:pPr>
              <w:rPr>
                <w:b/>
                <w:bCs/>
              </w:rPr>
            </w:pPr>
            <w:r w:rsidRPr="008A7E46">
              <w:rPr>
                <w:b/>
                <w:bCs/>
              </w:rPr>
              <w:t>Weighted score</w:t>
            </w:r>
          </w:p>
        </w:tc>
        <w:tc>
          <w:tcPr>
            <w:tcW w:w="1003" w:type="pct"/>
          </w:tcPr>
          <w:p w14:paraId="5219F175" w14:textId="66BC119A" w:rsidR="0086436E" w:rsidRPr="008A7E46" w:rsidRDefault="0086436E" w:rsidP="0016351B">
            <w:pPr>
              <w:jc w:val="center"/>
              <w:rPr>
                <w:b/>
                <w:bCs/>
              </w:rPr>
            </w:pPr>
          </w:p>
        </w:tc>
        <w:tc>
          <w:tcPr>
            <w:tcW w:w="1004" w:type="pct"/>
          </w:tcPr>
          <w:p w14:paraId="4850E5C0" w14:textId="6797F4C6" w:rsidR="0086436E" w:rsidRPr="008A7E46" w:rsidRDefault="005B46A3" w:rsidP="0016351B">
            <w:pPr>
              <w:jc w:val="center"/>
              <w:rPr>
                <w:b/>
                <w:bCs/>
              </w:rPr>
            </w:pPr>
            <w:r>
              <w:rPr>
                <w:b/>
                <w:bCs/>
              </w:rPr>
              <w:t>0</w:t>
            </w:r>
          </w:p>
        </w:tc>
        <w:tc>
          <w:tcPr>
            <w:tcW w:w="1003" w:type="pct"/>
          </w:tcPr>
          <w:p w14:paraId="628AE531" w14:textId="5D00A2E4" w:rsidR="0086436E" w:rsidRPr="008A7E46" w:rsidRDefault="005B46A3" w:rsidP="0016351B">
            <w:pPr>
              <w:jc w:val="center"/>
              <w:rPr>
                <w:b/>
                <w:bCs/>
              </w:rPr>
            </w:pPr>
            <w:r>
              <w:rPr>
                <w:b/>
                <w:bCs/>
              </w:rPr>
              <w:t>4</w:t>
            </w:r>
          </w:p>
        </w:tc>
        <w:tc>
          <w:tcPr>
            <w:tcW w:w="1004" w:type="pct"/>
          </w:tcPr>
          <w:p w14:paraId="05877EF7" w14:textId="508A5C30" w:rsidR="0086436E" w:rsidRPr="008A7E46" w:rsidRDefault="005B46A3" w:rsidP="0016351B">
            <w:pPr>
              <w:jc w:val="center"/>
              <w:rPr>
                <w:b/>
                <w:bCs/>
              </w:rPr>
            </w:pPr>
            <w:r>
              <w:rPr>
                <w:b/>
                <w:bCs/>
              </w:rPr>
              <w:t>4</w:t>
            </w:r>
          </w:p>
        </w:tc>
      </w:tr>
    </w:tbl>
    <w:p w14:paraId="7F0FBD11" w14:textId="526FEABD" w:rsidR="006B1810" w:rsidRDefault="001A2C9E" w:rsidP="00B419B0">
      <w:pPr>
        <w:pStyle w:val="Heading4"/>
        <w:spacing w:before="240"/>
      </w:pPr>
      <w:r>
        <w:t>Reference Case</w:t>
      </w:r>
    </w:p>
    <w:p w14:paraId="332DA65C" w14:textId="408D792F" w:rsidR="006B1810" w:rsidRDefault="005B46A3" w:rsidP="006B1810">
      <w:r>
        <w:t xml:space="preserve">Under the </w:t>
      </w:r>
      <w:r w:rsidR="001A2C9E">
        <w:t>Reference Case</w:t>
      </w:r>
      <w:r>
        <w:t xml:space="preserve">, as the Regulations sunset without being remade, there would be no fee schedules in place to enable Victoria Police </w:t>
      </w:r>
      <w:r w:rsidR="00EB0918">
        <w:t>to</w:t>
      </w:r>
      <w:r>
        <w:t xml:space="preserve"> recover the costs of processing licence applications and for undertaking compliance activi</w:t>
      </w:r>
      <w:r w:rsidR="00105444">
        <w:t>ties. Licences and registrations w</w:t>
      </w:r>
      <w:r w:rsidR="00374124">
        <w:t>ould</w:t>
      </w:r>
      <w:r w:rsidR="00105444">
        <w:t xml:space="preserve"> </w:t>
      </w:r>
      <w:r w:rsidR="001F0767">
        <w:t>continue</w:t>
      </w:r>
      <w:r w:rsidR="00105444">
        <w:t xml:space="preserve"> to be issued under the </w:t>
      </w:r>
      <w:r w:rsidR="00482A05">
        <w:t xml:space="preserve">Reference </w:t>
      </w:r>
      <w:r w:rsidR="007B3801">
        <w:t>Case</w:t>
      </w:r>
      <w:r w:rsidR="00105444">
        <w:t xml:space="preserve">, </w:t>
      </w:r>
      <w:r w:rsidR="008F7615">
        <w:t>but Victoria Police w</w:t>
      </w:r>
      <w:r w:rsidR="00B45287">
        <w:t>ould</w:t>
      </w:r>
      <w:r w:rsidR="008F7615">
        <w:t xml:space="preserve"> need to fund these activities through other avenues. </w:t>
      </w:r>
      <w:r w:rsidR="001F0767">
        <w:t xml:space="preserve">Therefore, </w:t>
      </w:r>
      <w:r w:rsidR="0001496C">
        <w:t xml:space="preserve">under </w:t>
      </w:r>
      <w:r w:rsidR="00911605">
        <w:t xml:space="preserve">the </w:t>
      </w:r>
      <w:r w:rsidR="00482A05">
        <w:t xml:space="preserve">Reference </w:t>
      </w:r>
      <w:r w:rsidR="007B3801">
        <w:t>Case</w:t>
      </w:r>
      <w:r w:rsidR="0001496C">
        <w:t xml:space="preserve">, there will be no recovery of costs for Victoria Police. </w:t>
      </w:r>
    </w:p>
    <w:p w14:paraId="0C179AAD" w14:textId="0E6ED738" w:rsidR="0001496C" w:rsidRPr="0016351B" w:rsidRDefault="00AB7648" w:rsidP="006B1810">
      <w:r w:rsidRPr="0016351B">
        <w:t xml:space="preserve">The </w:t>
      </w:r>
      <w:r w:rsidR="00482A05">
        <w:t xml:space="preserve">Reference </w:t>
      </w:r>
      <w:r w:rsidR="007B3801">
        <w:t xml:space="preserve">Case </w:t>
      </w:r>
      <w:r w:rsidRPr="0016351B">
        <w:t xml:space="preserve">is included as a point of comparison for the options analysed below and is therefore awarded a score of 0. </w:t>
      </w:r>
    </w:p>
    <w:p w14:paraId="2E06129A" w14:textId="166FD9A7" w:rsidR="009D1135" w:rsidRPr="0016351B" w:rsidRDefault="00E04EC0" w:rsidP="009D1135">
      <w:pPr>
        <w:pStyle w:val="Heading4"/>
      </w:pPr>
      <w:r>
        <w:t>Fee options</w:t>
      </w:r>
    </w:p>
    <w:p w14:paraId="6425C50E" w14:textId="055B6A8A" w:rsidR="006C6414" w:rsidRDefault="000C6070" w:rsidP="000C6070">
      <w:r w:rsidRPr="00FE074F">
        <w:rPr>
          <w:b/>
          <w:bCs/>
        </w:rPr>
        <w:t>Option</w:t>
      </w:r>
      <w:r w:rsidRPr="00FE074F">
        <w:rPr>
          <w:b/>
        </w:rPr>
        <w:t xml:space="preserve"> 1</w:t>
      </w:r>
      <w:r w:rsidR="007A6880" w:rsidRPr="00FE074F">
        <w:rPr>
          <w:b/>
        </w:rPr>
        <w:t xml:space="preserve"> and </w:t>
      </w:r>
      <w:r w:rsidR="00E04EC0" w:rsidRPr="00FE074F">
        <w:rPr>
          <w:b/>
          <w:bCs/>
        </w:rPr>
        <w:t xml:space="preserve">Option </w:t>
      </w:r>
      <w:r w:rsidR="007A6880" w:rsidRPr="00FE074F">
        <w:rPr>
          <w:b/>
        </w:rPr>
        <w:t>2</w:t>
      </w:r>
      <w:r w:rsidRPr="00FE074F">
        <w:rPr>
          <w:b/>
        </w:rPr>
        <w:t xml:space="preserve"> </w:t>
      </w:r>
      <w:r w:rsidR="00E04EC0" w:rsidRPr="00FE074F">
        <w:rPr>
          <w:b/>
          <w:bCs/>
        </w:rPr>
        <w:t>each</w:t>
      </w:r>
      <w:r w:rsidRPr="00FE074F">
        <w:rPr>
          <w:b/>
        </w:rPr>
        <w:t xml:space="preserve"> receive a score of </w:t>
      </w:r>
      <w:r w:rsidR="005B46A3" w:rsidRPr="00FE074F">
        <w:rPr>
          <w:b/>
        </w:rPr>
        <w:t xml:space="preserve">10 </w:t>
      </w:r>
      <w:r w:rsidRPr="00FE074F">
        <w:rPr>
          <w:b/>
        </w:rPr>
        <w:t xml:space="preserve">because </w:t>
      </w:r>
      <w:r w:rsidR="00424E99" w:rsidRPr="00FE074F">
        <w:rPr>
          <w:b/>
          <w:bCs/>
        </w:rPr>
        <w:t>it is expected that both</w:t>
      </w:r>
      <w:r w:rsidR="000B5D79" w:rsidRPr="00FE074F">
        <w:rPr>
          <w:b/>
          <w:bCs/>
        </w:rPr>
        <w:t xml:space="preserve"> </w:t>
      </w:r>
      <w:r w:rsidR="00B026FD" w:rsidRPr="00FE074F">
        <w:rPr>
          <w:b/>
          <w:bCs/>
        </w:rPr>
        <w:t>fee</w:t>
      </w:r>
      <w:r w:rsidR="008E6C2E" w:rsidRPr="00FE074F">
        <w:rPr>
          <w:b/>
          <w:bCs/>
        </w:rPr>
        <w:t xml:space="preserve"> s</w:t>
      </w:r>
      <w:r w:rsidR="00424E99" w:rsidRPr="00FE074F">
        <w:rPr>
          <w:b/>
          <w:bCs/>
        </w:rPr>
        <w:t>ettings</w:t>
      </w:r>
      <w:r w:rsidRPr="00FE074F">
        <w:rPr>
          <w:b/>
        </w:rPr>
        <w:t xml:space="preserve"> would </w:t>
      </w:r>
      <w:r w:rsidR="008E6C2E" w:rsidRPr="00FE074F">
        <w:rPr>
          <w:b/>
          <w:bCs/>
        </w:rPr>
        <w:t xml:space="preserve">have equal effect on the expected </w:t>
      </w:r>
      <w:r w:rsidR="00BE2DE9" w:rsidRPr="00FE074F">
        <w:rPr>
          <w:b/>
          <w:bCs/>
        </w:rPr>
        <w:t>behaviour of the industry</w:t>
      </w:r>
      <w:r w:rsidR="002A3374">
        <w:rPr>
          <w:b/>
          <w:bCs/>
        </w:rPr>
        <w:t xml:space="preserve">, and both options equally support </w:t>
      </w:r>
      <w:r w:rsidR="004F7B85">
        <w:rPr>
          <w:b/>
          <w:bCs/>
        </w:rPr>
        <w:t>the overarching objectives of the Regulations</w:t>
      </w:r>
      <w:r w:rsidRPr="00FE074F">
        <w:rPr>
          <w:b/>
          <w:bCs/>
        </w:rPr>
        <w:t>.</w:t>
      </w:r>
      <w:r w:rsidR="008E63F1">
        <w:t xml:space="preserve"> </w:t>
      </w:r>
      <w:r w:rsidR="006C6414">
        <w:t xml:space="preserve">For fee-settings to be effective, they must </w:t>
      </w:r>
      <w:r w:rsidR="006C6414" w:rsidRPr="006C6414">
        <w:t>prescribe fees that send appropriate price signals to the economy regarding the full cost of providing the services, are paid by those who benefit from the service, and do not pose a disincentive for industry participants to be licenced.</w:t>
      </w:r>
      <w:r w:rsidR="00A6762B">
        <w:t xml:space="preserve"> If there were no fees, as is in the Reference Case, appropriate price signals would not be sent to the market nor would those who benefit pay for the service (as is assessed in further detail under the ‘equity’ criterion)</w:t>
      </w:r>
      <w:r w:rsidR="00A4334E">
        <w:t xml:space="preserve">. For these reasons, both options </w:t>
      </w:r>
      <w:r w:rsidR="00571B05">
        <w:t>receive maximum positive scores in comparison to the Reference Case.</w:t>
      </w:r>
    </w:p>
    <w:p w14:paraId="0CE98369" w14:textId="77777777" w:rsidR="00DC16DC" w:rsidRDefault="003F4DFF" w:rsidP="00DC16DC">
      <w:r>
        <w:lastRenderedPageBreak/>
        <w:t xml:space="preserve">The two options have </w:t>
      </w:r>
      <w:r w:rsidR="00A4334E">
        <w:t xml:space="preserve">also </w:t>
      </w:r>
      <w:r>
        <w:t xml:space="preserve">been assessed together for this criterion </w:t>
      </w:r>
      <w:r w:rsidR="001B5F17">
        <w:t>a</w:t>
      </w:r>
      <w:r w:rsidR="005B47A6">
        <w:t>s the fee</w:t>
      </w:r>
      <w:r w:rsidR="00A153B6">
        <w:t>s</w:t>
      </w:r>
      <w:r w:rsidR="00952734">
        <w:t xml:space="preserve"> under both options</w:t>
      </w:r>
      <w:r w:rsidR="00A153B6">
        <w:t xml:space="preserve"> </w:t>
      </w:r>
      <w:r w:rsidR="00BE2DE9">
        <w:t>are expected</w:t>
      </w:r>
      <w:r w:rsidR="00A153B6">
        <w:t xml:space="preserve"> be set such </w:t>
      </w:r>
      <w:r w:rsidR="00952734">
        <w:t xml:space="preserve">that </w:t>
      </w:r>
      <w:r w:rsidR="00BC7FAA">
        <w:t>they</w:t>
      </w:r>
      <w:r w:rsidR="00B640BF">
        <w:t xml:space="preserve"> do not </w:t>
      </w:r>
      <w:r w:rsidR="006F6EC2">
        <w:t>create perv</w:t>
      </w:r>
      <w:r w:rsidR="00E15047">
        <w:t>e</w:t>
      </w:r>
      <w:r w:rsidR="003929B3">
        <w:t>r</w:t>
      </w:r>
      <w:r w:rsidR="006F6EC2">
        <w:t xml:space="preserve">se incentives or </w:t>
      </w:r>
      <w:r w:rsidR="003929B3">
        <w:t xml:space="preserve">drive </w:t>
      </w:r>
      <w:r w:rsidR="006F6EC2">
        <w:t>negative behaviours by industry participant</w:t>
      </w:r>
      <w:r w:rsidR="00907FF6">
        <w:t xml:space="preserve">s. </w:t>
      </w:r>
      <w:r w:rsidR="001B5F17">
        <w:t>While there are differences in the fee structure</w:t>
      </w:r>
      <w:r w:rsidR="00D758AE">
        <w:t xml:space="preserve"> and there would be differences in the specific fee units (to reflect the variability under Option 2)</w:t>
      </w:r>
      <w:r w:rsidR="001B5F17">
        <w:t xml:space="preserve">, </w:t>
      </w:r>
      <w:r w:rsidR="00710201" w:rsidRPr="00710201">
        <w:t xml:space="preserve">these differences </w:t>
      </w:r>
      <w:r w:rsidR="00085D96">
        <w:t>are</w:t>
      </w:r>
      <w:r w:rsidR="00710201" w:rsidRPr="00710201">
        <w:t xml:space="preserve"> not </w:t>
      </w:r>
      <w:r w:rsidR="00085D96">
        <w:t>expected to</w:t>
      </w:r>
      <w:r w:rsidR="00710201" w:rsidRPr="00710201">
        <w:t xml:space="preserve"> result in different </w:t>
      </w:r>
      <w:r w:rsidR="0045662A">
        <w:t>impacts on industry</w:t>
      </w:r>
      <w:r w:rsidR="00710201" w:rsidRPr="00710201">
        <w:t xml:space="preserve"> </w:t>
      </w:r>
      <w:r w:rsidR="00015E34">
        <w:t>on aggregate.</w:t>
      </w:r>
      <w:r w:rsidR="00BF3CDF">
        <w:t xml:space="preserve"> </w:t>
      </w:r>
      <w:r w:rsidR="005B56B3">
        <w:t xml:space="preserve">Furthermore, the </w:t>
      </w:r>
      <w:r w:rsidR="007C780E">
        <w:t xml:space="preserve">variability in </w:t>
      </w:r>
      <w:r w:rsidR="005B56B3">
        <w:t xml:space="preserve">fees </w:t>
      </w:r>
      <w:r w:rsidR="007C780E">
        <w:t xml:space="preserve">under Option 2 </w:t>
      </w:r>
      <w:r w:rsidR="00631EC9">
        <w:t xml:space="preserve">would be minor </w:t>
      </w:r>
      <w:r w:rsidR="00085D96">
        <w:t xml:space="preserve">(e.g. </w:t>
      </w:r>
      <w:r w:rsidR="001106CD">
        <w:t>$66</w:t>
      </w:r>
      <w:r w:rsidR="00751A2E">
        <w:t xml:space="preserve"> increase </w:t>
      </w:r>
      <w:r w:rsidR="00BE1F6D">
        <w:t>for increasing the number of activities</w:t>
      </w:r>
      <w:r w:rsidR="00BF44E3">
        <w:t xml:space="preserve"> from one to two</w:t>
      </w:r>
      <w:r w:rsidR="00BE1F6D">
        <w:t xml:space="preserve"> </w:t>
      </w:r>
      <w:r w:rsidR="00BF44E3">
        <w:t>for</w:t>
      </w:r>
      <w:r w:rsidR="00BE1F6D">
        <w:t xml:space="preserve"> a</w:t>
      </w:r>
      <w:r w:rsidR="00BF44E3">
        <w:t xml:space="preserve"> three-year</w:t>
      </w:r>
      <w:r w:rsidR="00BE1F6D">
        <w:t xml:space="preserve"> individual licence</w:t>
      </w:r>
      <w:r w:rsidR="00CF4C90">
        <w:t>,</w:t>
      </w:r>
      <w:r w:rsidR="00BF44E3">
        <w:t xml:space="preserve"> </w:t>
      </w:r>
      <w:r w:rsidR="00085D96">
        <w:t xml:space="preserve">based on the current fee units) </w:t>
      </w:r>
      <w:r w:rsidR="00631EC9">
        <w:t xml:space="preserve">and </w:t>
      </w:r>
      <w:r w:rsidR="00187334">
        <w:t xml:space="preserve">set at </w:t>
      </w:r>
      <w:r w:rsidR="00631EC9">
        <w:t>a</w:t>
      </w:r>
      <w:r w:rsidR="00187334">
        <w:t xml:space="preserve"> level that </w:t>
      </w:r>
      <w:r w:rsidR="00631EC9">
        <w:t xml:space="preserve">would not </w:t>
      </w:r>
      <w:r w:rsidR="00187334">
        <w:t xml:space="preserve">disincentivise compliance with the Regulations. </w:t>
      </w:r>
    </w:p>
    <w:p w14:paraId="3A261159" w14:textId="7B0BC09F" w:rsidR="00FC721B" w:rsidRDefault="00FC721B" w:rsidP="00FC721B">
      <w:pPr>
        <w:pStyle w:val="Heading3"/>
      </w:pPr>
      <w:r>
        <w:t xml:space="preserve">Criterion 2: </w:t>
      </w:r>
      <w:r w:rsidR="007758FB">
        <w:t xml:space="preserve">Equity </w:t>
      </w:r>
    </w:p>
    <w:p w14:paraId="6ED40960" w14:textId="22B02451" w:rsidR="007758FB" w:rsidRDefault="007758FB" w:rsidP="007758FB">
      <w:pPr>
        <w:pStyle w:val="Caption"/>
      </w:pPr>
      <w:r>
        <w:t xml:space="preserve">Table </w:t>
      </w:r>
      <w:r w:rsidR="00414520">
        <w:fldChar w:fldCharType="begin"/>
      </w:r>
      <w:r w:rsidR="00414520">
        <w:instrText xml:space="preserve"> STYLEREF 1 \s </w:instrText>
      </w:r>
      <w:r w:rsidR="00414520">
        <w:fldChar w:fldCharType="separate"/>
      </w:r>
      <w:r w:rsidR="009D133E">
        <w:rPr>
          <w:noProof/>
        </w:rPr>
        <w:t>5</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4</w:t>
      </w:r>
      <w:r w:rsidR="00414520">
        <w:fldChar w:fldCharType="end"/>
      </w:r>
      <w:r>
        <w:t>: Summary of scores for Criterion 2</w:t>
      </w:r>
    </w:p>
    <w:tbl>
      <w:tblPr>
        <w:tblStyle w:val="Deloittetable"/>
        <w:tblW w:w="5000" w:type="pct"/>
        <w:tblLook w:val="04A0" w:firstRow="1" w:lastRow="0" w:firstColumn="1" w:lastColumn="0" w:noHBand="0" w:noVBand="1"/>
      </w:tblPr>
      <w:tblGrid>
        <w:gridCol w:w="1902"/>
        <w:gridCol w:w="1933"/>
        <w:gridCol w:w="1935"/>
        <w:gridCol w:w="1933"/>
        <w:gridCol w:w="1935"/>
      </w:tblGrid>
      <w:tr w:rsidR="0016351B" w14:paraId="51EE0FFB" w14:textId="77777777" w:rsidTr="00C62F9F">
        <w:trPr>
          <w:cnfStyle w:val="100000000000" w:firstRow="1" w:lastRow="0" w:firstColumn="0" w:lastColumn="0" w:oddVBand="0" w:evenVBand="0" w:oddHBand="0" w:evenHBand="0" w:firstRowFirstColumn="0" w:firstRowLastColumn="0" w:lastRowFirstColumn="0" w:lastRowLastColumn="0"/>
        </w:trPr>
        <w:tc>
          <w:tcPr>
            <w:tcW w:w="986" w:type="pct"/>
          </w:tcPr>
          <w:p w14:paraId="2B73A59D" w14:textId="77777777" w:rsidR="0016351B" w:rsidRPr="004B053C" w:rsidRDefault="0016351B" w:rsidP="0016351B">
            <w:pPr>
              <w:rPr>
                <w:b/>
                <w:bCs/>
              </w:rPr>
            </w:pPr>
            <w:r>
              <w:rPr>
                <w:b/>
                <w:bCs/>
              </w:rPr>
              <w:t>Criterion</w:t>
            </w:r>
          </w:p>
        </w:tc>
        <w:tc>
          <w:tcPr>
            <w:tcW w:w="1003" w:type="pct"/>
          </w:tcPr>
          <w:p w14:paraId="0EA53721" w14:textId="77777777" w:rsidR="0016351B" w:rsidRPr="004B053C" w:rsidRDefault="0016351B" w:rsidP="0016351B">
            <w:pPr>
              <w:jc w:val="center"/>
              <w:rPr>
                <w:b/>
                <w:bCs/>
              </w:rPr>
            </w:pPr>
            <w:r>
              <w:rPr>
                <w:b/>
                <w:bCs/>
              </w:rPr>
              <w:t>Weight</w:t>
            </w:r>
          </w:p>
        </w:tc>
        <w:tc>
          <w:tcPr>
            <w:tcW w:w="1004" w:type="pct"/>
          </w:tcPr>
          <w:p w14:paraId="73409E37" w14:textId="6B82C2FE" w:rsidR="0016351B" w:rsidRPr="004B053C" w:rsidRDefault="00482A05" w:rsidP="0016351B">
            <w:pPr>
              <w:jc w:val="center"/>
              <w:rPr>
                <w:b/>
                <w:bCs/>
              </w:rPr>
            </w:pPr>
            <w:r>
              <w:rPr>
                <w:b/>
                <w:bCs/>
              </w:rPr>
              <w:t xml:space="preserve">Reference </w:t>
            </w:r>
            <w:r w:rsidR="0016351B">
              <w:rPr>
                <w:b/>
                <w:bCs/>
              </w:rPr>
              <w:t>Case</w:t>
            </w:r>
          </w:p>
        </w:tc>
        <w:tc>
          <w:tcPr>
            <w:tcW w:w="1003" w:type="pct"/>
          </w:tcPr>
          <w:p w14:paraId="40901E73" w14:textId="77777777" w:rsidR="0016351B" w:rsidRDefault="0016351B" w:rsidP="00C62F9F">
            <w:pPr>
              <w:jc w:val="center"/>
              <w:rPr>
                <w:b/>
                <w:bCs/>
              </w:rPr>
            </w:pPr>
            <w:r>
              <w:rPr>
                <w:b/>
                <w:bCs/>
              </w:rPr>
              <w:t>Option 1</w:t>
            </w:r>
          </w:p>
          <w:p w14:paraId="2992FC97" w14:textId="73ECEEF3" w:rsidR="0016351B" w:rsidRPr="004B053C" w:rsidRDefault="0016351B" w:rsidP="00C62F9F">
            <w:pPr>
              <w:jc w:val="center"/>
              <w:rPr>
                <w:b/>
                <w:bCs/>
              </w:rPr>
            </w:pPr>
            <w:r>
              <w:rPr>
                <w:b/>
                <w:bCs/>
              </w:rPr>
              <w:t>S</w:t>
            </w:r>
            <w:r w:rsidRPr="000C45AE">
              <w:rPr>
                <w:b/>
                <w:bCs/>
              </w:rPr>
              <w:t xml:space="preserve">ingle fee for individual and a single fee for </w:t>
            </w:r>
            <w:r>
              <w:rPr>
                <w:b/>
                <w:bCs/>
              </w:rPr>
              <w:t>business</w:t>
            </w:r>
          </w:p>
        </w:tc>
        <w:tc>
          <w:tcPr>
            <w:tcW w:w="1004" w:type="pct"/>
          </w:tcPr>
          <w:p w14:paraId="550FDA7B" w14:textId="77777777" w:rsidR="0016351B" w:rsidRDefault="0016351B" w:rsidP="00C62F9F">
            <w:pPr>
              <w:jc w:val="center"/>
              <w:rPr>
                <w:b/>
                <w:bCs/>
              </w:rPr>
            </w:pPr>
            <w:r>
              <w:rPr>
                <w:b/>
                <w:bCs/>
              </w:rPr>
              <w:t>Option 2</w:t>
            </w:r>
          </w:p>
          <w:p w14:paraId="642DF3C7" w14:textId="5C3D834A" w:rsidR="0016351B" w:rsidRPr="004B053C" w:rsidRDefault="0016351B" w:rsidP="00C62F9F">
            <w:pPr>
              <w:jc w:val="center"/>
              <w:rPr>
                <w:b/>
                <w:bCs/>
              </w:rPr>
            </w:pPr>
            <w:r>
              <w:rPr>
                <w:b/>
                <w:bCs/>
              </w:rPr>
              <w:t>Variable fees based on application complexity</w:t>
            </w:r>
          </w:p>
        </w:tc>
      </w:tr>
      <w:tr w:rsidR="007758FB" w14:paraId="047A6209" w14:textId="77777777" w:rsidTr="00C62F9F">
        <w:tc>
          <w:tcPr>
            <w:tcW w:w="986" w:type="pct"/>
          </w:tcPr>
          <w:p w14:paraId="34E7DF3C" w14:textId="4980A162" w:rsidR="007758FB" w:rsidRDefault="007758FB">
            <w:r>
              <w:t>Equity</w:t>
            </w:r>
          </w:p>
        </w:tc>
        <w:tc>
          <w:tcPr>
            <w:tcW w:w="1003" w:type="pct"/>
          </w:tcPr>
          <w:p w14:paraId="3E6BCC7A" w14:textId="77777777" w:rsidR="007758FB" w:rsidRDefault="007758FB" w:rsidP="0016351B">
            <w:pPr>
              <w:jc w:val="center"/>
            </w:pPr>
            <w:r>
              <w:t>40%</w:t>
            </w:r>
          </w:p>
        </w:tc>
        <w:tc>
          <w:tcPr>
            <w:tcW w:w="1004" w:type="pct"/>
          </w:tcPr>
          <w:p w14:paraId="48902954" w14:textId="07919912" w:rsidR="007758FB" w:rsidRDefault="002D772D" w:rsidP="0016351B">
            <w:pPr>
              <w:jc w:val="center"/>
            </w:pPr>
            <w:r>
              <w:t>0</w:t>
            </w:r>
          </w:p>
        </w:tc>
        <w:tc>
          <w:tcPr>
            <w:tcW w:w="1003" w:type="pct"/>
          </w:tcPr>
          <w:p w14:paraId="5D8E6084" w14:textId="4F883675" w:rsidR="007758FB" w:rsidRPr="00C56E1A" w:rsidRDefault="002D772D" w:rsidP="0016351B">
            <w:pPr>
              <w:jc w:val="center"/>
            </w:pPr>
            <w:r>
              <w:t>4</w:t>
            </w:r>
          </w:p>
        </w:tc>
        <w:tc>
          <w:tcPr>
            <w:tcW w:w="1004" w:type="pct"/>
          </w:tcPr>
          <w:p w14:paraId="3A19A276" w14:textId="42ED683D" w:rsidR="007758FB" w:rsidRPr="00C56E1A" w:rsidRDefault="002D772D" w:rsidP="0016351B">
            <w:pPr>
              <w:jc w:val="center"/>
            </w:pPr>
            <w:r>
              <w:t>6</w:t>
            </w:r>
          </w:p>
        </w:tc>
      </w:tr>
      <w:tr w:rsidR="007758FB" w14:paraId="3FBA72D4" w14:textId="77777777" w:rsidTr="00C62F9F">
        <w:tc>
          <w:tcPr>
            <w:tcW w:w="986" w:type="pct"/>
          </w:tcPr>
          <w:p w14:paraId="660FAC96" w14:textId="77777777" w:rsidR="007758FB" w:rsidRPr="008A7E46" w:rsidRDefault="007758FB">
            <w:pPr>
              <w:rPr>
                <w:b/>
                <w:bCs/>
              </w:rPr>
            </w:pPr>
            <w:r w:rsidRPr="008A7E46">
              <w:rPr>
                <w:b/>
                <w:bCs/>
              </w:rPr>
              <w:t>Weighted score</w:t>
            </w:r>
          </w:p>
        </w:tc>
        <w:tc>
          <w:tcPr>
            <w:tcW w:w="1003" w:type="pct"/>
          </w:tcPr>
          <w:p w14:paraId="025CF4FA" w14:textId="57FC3B74" w:rsidR="007758FB" w:rsidRPr="008A7E46" w:rsidRDefault="007758FB" w:rsidP="0016351B">
            <w:pPr>
              <w:jc w:val="center"/>
              <w:rPr>
                <w:b/>
                <w:bCs/>
              </w:rPr>
            </w:pPr>
          </w:p>
        </w:tc>
        <w:tc>
          <w:tcPr>
            <w:tcW w:w="1004" w:type="pct"/>
          </w:tcPr>
          <w:p w14:paraId="432EBF4F" w14:textId="77AA0A86" w:rsidR="007758FB" w:rsidRPr="008A7E46" w:rsidRDefault="007758FB" w:rsidP="0016351B">
            <w:pPr>
              <w:jc w:val="center"/>
              <w:rPr>
                <w:b/>
                <w:bCs/>
              </w:rPr>
            </w:pPr>
          </w:p>
        </w:tc>
        <w:tc>
          <w:tcPr>
            <w:tcW w:w="1003" w:type="pct"/>
          </w:tcPr>
          <w:p w14:paraId="736E2525" w14:textId="3A249407" w:rsidR="007758FB" w:rsidRPr="008A7E46" w:rsidRDefault="00575CC7" w:rsidP="0016351B">
            <w:pPr>
              <w:jc w:val="center"/>
              <w:rPr>
                <w:b/>
                <w:bCs/>
              </w:rPr>
            </w:pPr>
            <w:r>
              <w:rPr>
                <w:b/>
                <w:bCs/>
              </w:rPr>
              <w:t>1.6</w:t>
            </w:r>
          </w:p>
        </w:tc>
        <w:tc>
          <w:tcPr>
            <w:tcW w:w="1004" w:type="pct"/>
          </w:tcPr>
          <w:p w14:paraId="6393FF6A" w14:textId="43E36D4D" w:rsidR="007758FB" w:rsidRPr="008A7E46" w:rsidRDefault="00575CC7" w:rsidP="0016351B">
            <w:pPr>
              <w:jc w:val="center"/>
              <w:rPr>
                <w:b/>
                <w:bCs/>
              </w:rPr>
            </w:pPr>
            <w:r>
              <w:rPr>
                <w:b/>
                <w:bCs/>
              </w:rPr>
              <w:t>2.4</w:t>
            </w:r>
          </w:p>
        </w:tc>
      </w:tr>
    </w:tbl>
    <w:p w14:paraId="19A31BD9" w14:textId="127F7011" w:rsidR="007758FB" w:rsidRDefault="00C862B2" w:rsidP="00B419B0">
      <w:pPr>
        <w:pStyle w:val="Heading4"/>
        <w:spacing w:before="240"/>
      </w:pPr>
      <w:r>
        <w:t>Reference Case</w:t>
      </w:r>
    </w:p>
    <w:p w14:paraId="0C902727" w14:textId="3DFAF9B1" w:rsidR="007758FB" w:rsidRDefault="005473E7" w:rsidP="007758FB">
      <w:r>
        <w:t xml:space="preserve">Under the </w:t>
      </w:r>
      <w:r w:rsidR="00C862B2">
        <w:t>Reference Case</w:t>
      </w:r>
      <w:r>
        <w:t>, private security personnel and businesses would not pay for their licence or registration. The costs of providing the licences and registrations would b</w:t>
      </w:r>
      <w:r w:rsidR="006420BA">
        <w:t>e borne by Victoria Police, and by extension, the Victorian community</w:t>
      </w:r>
      <w:r w:rsidR="00217E22">
        <w:t xml:space="preserve"> through taxation revenue</w:t>
      </w:r>
      <w:r w:rsidR="006420BA">
        <w:t>. In this instance, the parties that cause the need for the service would not con</w:t>
      </w:r>
      <w:r w:rsidR="000327F2">
        <w:t>tribute to the costs of activities</w:t>
      </w:r>
      <w:r w:rsidR="00FE074F">
        <w:t xml:space="preserve"> and t</w:t>
      </w:r>
      <w:r w:rsidR="000327F2">
        <w:t xml:space="preserve">he costs would be </w:t>
      </w:r>
      <w:r w:rsidR="000042FC">
        <w:t>cross</w:t>
      </w:r>
      <w:r w:rsidR="00FE074F">
        <w:t xml:space="preserve"> </w:t>
      </w:r>
      <w:r w:rsidR="000042FC">
        <w:t>subsidised</w:t>
      </w:r>
      <w:r w:rsidR="000327F2">
        <w:t xml:space="preserve"> by the Victoria</w:t>
      </w:r>
      <w:r w:rsidR="00FE074F">
        <w:t>n</w:t>
      </w:r>
      <w:r w:rsidR="000327F2">
        <w:t xml:space="preserve"> community. </w:t>
      </w:r>
    </w:p>
    <w:p w14:paraId="3BF56F75" w14:textId="6049DA02" w:rsidR="000042FC" w:rsidRDefault="000042FC" w:rsidP="007758FB">
      <w:r>
        <w:t xml:space="preserve">As the </w:t>
      </w:r>
      <w:r w:rsidR="00C862B2">
        <w:t xml:space="preserve">Reference Case </w:t>
      </w:r>
      <w:r>
        <w:t xml:space="preserve">is a counterfactual against which Options 1 and 2 will be considered, it is awarded a score of 0. </w:t>
      </w:r>
    </w:p>
    <w:p w14:paraId="14E804D5" w14:textId="666D7D9B" w:rsidR="007758FB" w:rsidRDefault="008D5F5E" w:rsidP="007758FB">
      <w:pPr>
        <w:pStyle w:val="Heading4"/>
      </w:pPr>
      <w:r>
        <w:t xml:space="preserve">Option 1: </w:t>
      </w:r>
      <w:r w:rsidR="009D1135" w:rsidRPr="009D1135">
        <w:t>Single fee all individual licence application and a single fee for all business applications</w:t>
      </w:r>
    </w:p>
    <w:p w14:paraId="7B19451C" w14:textId="0C3D6F59" w:rsidR="0085287C" w:rsidRDefault="0085287C" w:rsidP="0085287C">
      <w:r w:rsidRPr="004C607D">
        <w:rPr>
          <w:b/>
        </w:rPr>
        <w:t>Option 1 receives a score of</w:t>
      </w:r>
      <w:r w:rsidR="00F77CB6" w:rsidRPr="004C607D">
        <w:rPr>
          <w:b/>
        </w:rPr>
        <w:t xml:space="preserve"> 4</w:t>
      </w:r>
      <w:r w:rsidRPr="004C607D">
        <w:rPr>
          <w:b/>
        </w:rPr>
        <w:t xml:space="preserve"> because the fee schedule proposed would reduce cross-subsidisation between applicants when compared with the </w:t>
      </w:r>
      <w:r w:rsidR="007B63C3">
        <w:rPr>
          <w:b/>
        </w:rPr>
        <w:t>Reference Case</w:t>
      </w:r>
      <w:r w:rsidR="007B3801" w:rsidRPr="003A55E1">
        <w:rPr>
          <w:b/>
        </w:rPr>
        <w:t xml:space="preserve"> </w:t>
      </w:r>
      <w:r w:rsidRPr="004C607D">
        <w:rPr>
          <w:b/>
        </w:rPr>
        <w:t>of no fee schedule</w:t>
      </w:r>
      <w:r>
        <w:t xml:space="preserve"> (where all applications are cross-subsidised through a revenue source like consolidated revenue).</w:t>
      </w:r>
      <w:r w:rsidR="006E10B4">
        <w:t xml:space="preserve"> Under Option 1, applicants that trigger that need for</w:t>
      </w:r>
      <w:r w:rsidR="009D0B06">
        <w:t xml:space="preserve"> and benefit from</w:t>
      </w:r>
      <w:r w:rsidR="006E10B4">
        <w:t xml:space="preserve"> Victoria Police’s services </w:t>
      </w:r>
      <w:r w:rsidR="004C607D">
        <w:t>would</w:t>
      </w:r>
      <w:r w:rsidR="006E10B4">
        <w:t xml:space="preserve"> bear the costs of those services. </w:t>
      </w:r>
    </w:p>
    <w:p w14:paraId="6136020F" w14:textId="4B60D08E" w:rsidR="00AA3115" w:rsidRDefault="0085287C" w:rsidP="0085287C">
      <w:r>
        <w:t xml:space="preserve">Option 1 does not receive a higher score than </w:t>
      </w:r>
      <w:r w:rsidR="00690854">
        <w:t xml:space="preserve">4 </w:t>
      </w:r>
      <w:r>
        <w:t>because Option 1 proposes to consolidate all applications for licences under one fee</w:t>
      </w:r>
      <w:r w:rsidR="004C607D">
        <w:t>,</w:t>
      </w:r>
      <w:r>
        <w:t xml:space="preserve"> which would result in cross-subsidisation </w:t>
      </w:r>
      <w:r w:rsidR="004C607D">
        <w:t>within</w:t>
      </w:r>
      <w:r>
        <w:t xml:space="preserve"> application</w:t>
      </w:r>
      <w:r w:rsidR="00C24B58">
        <w:t xml:space="preserve"> types</w:t>
      </w:r>
      <w:r>
        <w:t xml:space="preserve">. </w:t>
      </w:r>
      <w:r w:rsidR="00C00E75">
        <w:t xml:space="preserve">Applications that only have one activity </w:t>
      </w:r>
      <w:r w:rsidR="00832832">
        <w:t xml:space="preserve">to be authorised will be charged the same as </w:t>
      </w:r>
      <w:r w:rsidR="00102432">
        <w:t xml:space="preserve">those </w:t>
      </w:r>
      <w:r w:rsidR="00570191">
        <w:t>applications</w:t>
      </w:r>
      <w:r w:rsidR="00102432">
        <w:t xml:space="preserve"> with multiple activities listed. </w:t>
      </w:r>
      <w:r w:rsidR="00AA3115">
        <w:t xml:space="preserve">Victoria Police face incremental costs in verifying </w:t>
      </w:r>
      <w:r w:rsidR="00570191">
        <w:t>each</w:t>
      </w:r>
      <w:r w:rsidR="00AA3115">
        <w:t xml:space="preserve"> applicant’s competency to undertake each additional activity requested on the application. The</w:t>
      </w:r>
      <w:r w:rsidR="009221BA">
        <w:t xml:space="preserve">se cost differences would not be reflected in the fee schedule, leading to under-recovery from some applicants and over-recovery from others. </w:t>
      </w:r>
    </w:p>
    <w:p w14:paraId="30BBD1AC" w14:textId="2BE55D09" w:rsidR="008D5F5E" w:rsidRDefault="008D5F5E" w:rsidP="008D5F5E">
      <w:pPr>
        <w:pStyle w:val="Heading4"/>
      </w:pPr>
      <w:r>
        <w:t xml:space="preserve">Option 2: </w:t>
      </w:r>
      <w:r w:rsidR="009D1135" w:rsidRPr="009D1135">
        <w:t>Variable fee levels based on application complexity</w:t>
      </w:r>
      <w:r w:rsidR="0036598D">
        <w:t xml:space="preserve"> </w:t>
      </w:r>
    </w:p>
    <w:p w14:paraId="29B408FE" w14:textId="1EABB441" w:rsidR="000C6070" w:rsidRDefault="000C6070" w:rsidP="000C6070">
      <w:r w:rsidRPr="008E0CE8">
        <w:rPr>
          <w:b/>
        </w:rPr>
        <w:t xml:space="preserve">Option 2 receives a score of </w:t>
      </w:r>
      <w:r w:rsidR="009657EA" w:rsidRPr="008E0CE8">
        <w:rPr>
          <w:b/>
        </w:rPr>
        <w:t>6</w:t>
      </w:r>
      <w:r w:rsidRPr="008E0CE8">
        <w:rPr>
          <w:b/>
        </w:rPr>
        <w:t xml:space="preserve"> because the fee schedule proposed would reduce cross-subsidisation</w:t>
      </w:r>
      <w:r w:rsidR="00D13E1F" w:rsidRPr="008E0CE8">
        <w:rPr>
          <w:b/>
        </w:rPr>
        <w:t xml:space="preserve"> when compared to </w:t>
      </w:r>
      <w:r w:rsidR="008E0CE8" w:rsidRPr="008E0CE8">
        <w:rPr>
          <w:b/>
          <w:bCs/>
        </w:rPr>
        <w:t>both</w:t>
      </w:r>
      <w:r w:rsidR="00D13E1F" w:rsidRPr="008E0CE8">
        <w:rPr>
          <w:b/>
          <w:bCs/>
        </w:rPr>
        <w:t xml:space="preserve"> </w:t>
      </w:r>
      <w:r w:rsidR="00D13E1F" w:rsidRPr="008E0CE8">
        <w:rPr>
          <w:b/>
        </w:rPr>
        <w:t xml:space="preserve">the </w:t>
      </w:r>
      <w:r w:rsidR="00482A05">
        <w:rPr>
          <w:b/>
        </w:rPr>
        <w:t>Reference</w:t>
      </w:r>
      <w:r w:rsidR="00482A05" w:rsidRPr="003A55E1">
        <w:rPr>
          <w:b/>
        </w:rPr>
        <w:t xml:space="preserve"> </w:t>
      </w:r>
      <w:r w:rsidR="007B3801" w:rsidRPr="003A55E1">
        <w:rPr>
          <w:b/>
        </w:rPr>
        <w:t>Case</w:t>
      </w:r>
      <w:r w:rsidR="0036598D">
        <w:rPr>
          <w:b/>
        </w:rPr>
        <w:t xml:space="preserve"> </w:t>
      </w:r>
      <w:r w:rsidR="008E0CE8" w:rsidRPr="008E0CE8">
        <w:rPr>
          <w:b/>
          <w:bCs/>
        </w:rPr>
        <w:t>and Option 1</w:t>
      </w:r>
      <w:r w:rsidR="002E36E3" w:rsidRPr="008E0CE8">
        <w:rPr>
          <w:b/>
          <w:bCs/>
        </w:rPr>
        <w:t>.</w:t>
      </w:r>
      <w:r w:rsidR="002E36E3">
        <w:t xml:space="preserve"> As with Option 1, </w:t>
      </w:r>
      <w:r w:rsidR="008E0CE8">
        <w:t>Option 2</w:t>
      </w:r>
      <w:r w:rsidR="002E36E3">
        <w:t xml:space="preserve"> enables the recovery of Victoria Police’s cost from the private security industry rather than from the Victorian community. </w:t>
      </w:r>
    </w:p>
    <w:p w14:paraId="6973E93A" w14:textId="6D6A88EC" w:rsidR="005B10EF" w:rsidRDefault="00FF4F1A" w:rsidP="000C6070">
      <w:r>
        <w:t xml:space="preserve">Option 2 is scored higher than Option 1 as it minimises the cross-subsidisation between </w:t>
      </w:r>
      <w:r w:rsidR="00954A1B">
        <w:t xml:space="preserve">licence holders with varying number of activities listed on the licence. </w:t>
      </w:r>
      <w:r w:rsidR="00D1165A">
        <w:t xml:space="preserve">It therefore </w:t>
      </w:r>
      <w:r w:rsidR="008E0CE8">
        <w:t>better</w:t>
      </w:r>
      <w:r w:rsidR="00D1165A">
        <w:t xml:space="preserve"> reflects the cost of processing applications </w:t>
      </w:r>
      <w:r w:rsidR="0046330B">
        <w:t xml:space="preserve">more </w:t>
      </w:r>
      <w:r w:rsidR="0046330B" w:rsidRPr="00CF617D">
        <w:t xml:space="preserve">accurately </w:t>
      </w:r>
      <w:r w:rsidR="00D1165A" w:rsidRPr="00CF617D">
        <w:t xml:space="preserve">than Option 1. </w:t>
      </w:r>
      <w:r w:rsidR="002530EA">
        <w:t>Relative to Option 1, t</w:t>
      </w:r>
      <w:r w:rsidR="008E4E3E">
        <w:t xml:space="preserve">his means that individuals and businesses with </w:t>
      </w:r>
      <w:r w:rsidR="00F4255D">
        <w:t>a below average number of</w:t>
      </w:r>
      <w:r w:rsidR="008E4E3E">
        <w:t xml:space="preserve"> activities listed on their licence would pay lower fees</w:t>
      </w:r>
      <w:r w:rsidR="002530EA">
        <w:t xml:space="preserve"> and, conversely, individuals and businesses with </w:t>
      </w:r>
      <w:r w:rsidR="00F4255D">
        <w:t>an above average number of</w:t>
      </w:r>
      <w:r w:rsidR="002530EA">
        <w:t xml:space="preserve"> activities would pay higher fees. </w:t>
      </w:r>
      <w:r w:rsidR="00F4255D">
        <w:t xml:space="preserve">Similarly, </w:t>
      </w:r>
      <w:r w:rsidR="002F6E3C" w:rsidRPr="002F6E3C">
        <w:t>independent contractors (on a natural person’s business licence)</w:t>
      </w:r>
      <w:r w:rsidR="002F6E3C">
        <w:t xml:space="preserve"> would pay a </w:t>
      </w:r>
      <w:r w:rsidR="00CB4FC2">
        <w:t>lower</w:t>
      </w:r>
      <w:r w:rsidR="002F6E3C">
        <w:t xml:space="preserve"> fee under Option </w:t>
      </w:r>
      <w:r w:rsidR="00CB4FC2">
        <w:t>2</w:t>
      </w:r>
      <w:r w:rsidR="002F6E3C">
        <w:t xml:space="preserve"> compared to Option </w:t>
      </w:r>
      <w:r w:rsidR="00CB4FC2">
        <w:t>1</w:t>
      </w:r>
      <w:r w:rsidR="002F6E3C">
        <w:t xml:space="preserve">, </w:t>
      </w:r>
      <w:r w:rsidR="0079464F">
        <w:t xml:space="preserve">as they would </w:t>
      </w:r>
      <w:r w:rsidR="00CB4FC2">
        <w:t xml:space="preserve">not </w:t>
      </w:r>
      <w:r w:rsidR="0079464F">
        <w:t xml:space="preserve">be </w:t>
      </w:r>
      <w:r w:rsidR="00A7127C">
        <w:t>grouped</w:t>
      </w:r>
      <w:r w:rsidR="0079464F">
        <w:t xml:space="preserve"> together </w:t>
      </w:r>
      <w:r w:rsidR="00A7127C">
        <w:t xml:space="preserve">with body corporates under a single </w:t>
      </w:r>
      <w:r w:rsidR="00892BA0">
        <w:t xml:space="preserve">business </w:t>
      </w:r>
      <w:r w:rsidR="00A7127C">
        <w:t xml:space="preserve">licence fee category. Further detail on the potential impacts </w:t>
      </w:r>
      <w:r w:rsidR="00BB2526">
        <w:t>of fees on contractors and small businesses are outlined in Chapter 7.</w:t>
      </w:r>
      <w:r w:rsidR="0036598D">
        <w:t xml:space="preserve">  </w:t>
      </w:r>
      <w:r w:rsidR="00E51173">
        <w:t xml:space="preserve"> </w:t>
      </w:r>
    </w:p>
    <w:p w14:paraId="1B24601C" w14:textId="428AFF60" w:rsidR="004C1D05" w:rsidRDefault="0046330B" w:rsidP="000C6070">
      <w:r w:rsidRPr="00CF617D">
        <w:t xml:space="preserve">This </w:t>
      </w:r>
      <w:r w:rsidR="008E0CE8">
        <w:t>o</w:t>
      </w:r>
      <w:r w:rsidRPr="00CF617D">
        <w:t xml:space="preserve">ption does not score higher than 6 as it does not fully reflect the </w:t>
      </w:r>
      <w:r w:rsidR="004D4E85" w:rsidRPr="00CF617D">
        <w:t xml:space="preserve">varying levels of </w:t>
      </w:r>
      <w:r w:rsidR="00F06688">
        <w:t>complexity</w:t>
      </w:r>
      <w:r w:rsidR="004D4E85" w:rsidRPr="00CF617D">
        <w:t xml:space="preserve"> </w:t>
      </w:r>
      <w:r w:rsidR="00E66713" w:rsidRPr="00CF617D">
        <w:t xml:space="preserve">posed by </w:t>
      </w:r>
      <w:r w:rsidR="007034D3">
        <w:t xml:space="preserve">individual </w:t>
      </w:r>
      <w:r w:rsidR="00E66713" w:rsidRPr="00CF617D">
        <w:t>application</w:t>
      </w:r>
      <w:r w:rsidR="007034D3">
        <w:t xml:space="preserve"> with the variable categor</w:t>
      </w:r>
      <w:r w:rsidR="001A56B6">
        <w:t>ies</w:t>
      </w:r>
      <w:r w:rsidR="000E3145" w:rsidRPr="00CF617D">
        <w:t xml:space="preserve">, with some applications </w:t>
      </w:r>
      <w:r w:rsidR="00B80284" w:rsidRPr="00CF617D">
        <w:t xml:space="preserve">posing a higher risk than others </w:t>
      </w:r>
      <w:r w:rsidR="001A56B6">
        <w:t>(due to conditions</w:t>
      </w:r>
      <w:r w:rsidR="0070215B" w:rsidRPr="00CF617D">
        <w:t xml:space="preserve"> associated with </w:t>
      </w:r>
      <w:r w:rsidR="001A56B6">
        <w:t xml:space="preserve">the individual or business applicant, rather than </w:t>
      </w:r>
      <w:r w:rsidR="00CB12C4" w:rsidRPr="00CF617D">
        <w:t>the</w:t>
      </w:r>
      <w:r w:rsidR="00900C4E" w:rsidRPr="00CF617D">
        <w:t xml:space="preserve"> </w:t>
      </w:r>
      <w:r w:rsidR="00B15BDF" w:rsidRPr="00CF617D">
        <w:t>number of activities</w:t>
      </w:r>
      <w:r w:rsidR="001A56B6">
        <w:t>)</w:t>
      </w:r>
      <w:r w:rsidR="00B80284" w:rsidRPr="00CF617D">
        <w:t xml:space="preserve"> and therefore </w:t>
      </w:r>
      <w:r w:rsidR="00370922" w:rsidRPr="00CF617D">
        <w:t>requir</w:t>
      </w:r>
      <w:r w:rsidR="00370922">
        <w:t>ing</w:t>
      </w:r>
      <w:r w:rsidR="00370922" w:rsidRPr="00CF617D">
        <w:t xml:space="preserve"> </w:t>
      </w:r>
      <w:r w:rsidR="000E3145" w:rsidRPr="00CF617D">
        <w:t xml:space="preserve">more extensive </w:t>
      </w:r>
      <w:r w:rsidR="006C72F3" w:rsidRPr="00CF617D">
        <w:t xml:space="preserve">probity and competency </w:t>
      </w:r>
      <w:r w:rsidR="000E3145" w:rsidRPr="00CF617D">
        <w:t>checks</w:t>
      </w:r>
      <w:r w:rsidRPr="00CF617D">
        <w:t>.</w:t>
      </w:r>
      <w:r w:rsidR="00D346C6">
        <w:t xml:space="preserve"> </w:t>
      </w:r>
    </w:p>
    <w:p w14:paraId="73F9CBDC" w14:textId="2935F08F" w:rsidR="00983891" w:rsidRDefault="0072632A" w:rsidP="00983891">
      <w:pPr>
        <w:pStyle w:val="Heading3"/>
      </w:pPr>
      <w:r>
        <w:lastRenderedPageBreak/>
        <w:t xml:space="preserve">Criterion 3: Simplicity </w:t>
      </w:r>
    </w:p>
    <w:p w14:paraId="3AA809AA" w14:textId="156D614F" w:rsidR="001369C1" w:rsidRDefault="001369C1" w:rsidP="001369C1">
      <w:pPr>
        <w:pStyle w:val="Caption"/>
      </w:pPr>
      <w:r>
        <w:t xml:space="preserve">Table </w:t>
      </w:r>
      <w:r w:rsidR="00414520">
        <w:fldChar w:fldCharType="begin"/>
      </w:r>
      <w:r w:rsidR="00414520">
        <w:instrText xml:space="preserve"> STYLEREF 1 \s </w:instrText>
      </w:r>
      <w:r w:rsidR="00414520">
        <w:fldChar w:fldCharType="separate"/>
      </w:r>
      <w:r w:rsidR="009D133E">
        <w:rPr>
          <w:noProof/>
        </w:rPr>
        <w:t>5</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5</w:t>
      </w:r>
      <w:r w:rsidR="00414520">
        <w:fldChar w:fldCharType="end"/>
      </w:r>
      <w:r>
        <w:t xml:space="preserve">: Summary of scores for Option 3 </w:t>
      </w:r>
    </w:p>
    <w:tbl>
      <w:tblPr>
        <w:tblStyle w:val="Deloittetable"/>
        <w:tblW w:w="5000" w:type="pct"/>
        <w:tblLook w:val="04A0" w:firstRow="1" w:lastRow="0" w:firstColumn="1" w:lastColumn="0" w:noHBand="0" w:noVBand="1"/>
      </w:tblPr>
      <w:tblGrid>
        <w:gridCol w:w="1902"/>
        <w:gridCol w:w="1933"/>
        <w:gridCol w:w="1935"/>
        <w:gridCol w:w="1933"/>
        <w:gridCol w:w="1935"/>
      </w:tblGrid>
      <w:tr w:rsidR="0016351B" w14:paraId="71172621" w14:textId="77777777" w:rsidTr="00C62F9F">
        <w:trPr>
          <w:cnfStyle w:val="100000000000" w:firstRow="1" w:lastRow="0" w:firstColumn="0" w:lastColumn="0" w:oddVBand="0" w:evenVBand="0" w:oddHBand="0" w:evenHBand="0" w:firstRowFirstColumn="0" w:firstRowLastColumn="0" w:lastRowFirstColumn="0" w:lastRowLastColumn="0"/>
        </w:trPr>
        <w:tc>
          <w:tcPr>
            <w:tcW w:w="986" w:type="pct"/>
          </w:tcPr>
          <w:p w14:paraId="159F0576" w14:textId="77777777" w:rsidR="0016351B" w:rsidRPr="004B053C" w:rsidRDefault="0016351B" w:rsidP="0016351B">
            <w:pPr>
              <w:rPr>
                <w:b/>
                <w:bCs/>
              </w:rPr>
            </w:pPr>
            <w:r>
              <w:rPr>
                <w:b/>
                <w:bCs/>
              </w:rPr>
              <w:t>Criterion</w:t>
            </w:r>
          </w:p>
        </w:tc>
        <w:tc>
          <w:tcPr>
            <w:tcW w:w="1003" w:type="pct"/>
          </w:tcPr>
          <w:p w14:paraId="10A12BC7" w14:textId="77777777" w:rsidR="0016351B" w:rsidRPr="004B053C" w:rsidRDefault="0016351B" w:rsidP="0016351B">
            <w:pPr>
              <w:jc w:val="center"/>
              <w:rPr>
                <w:b/>
                <w:bCs/>
              </w:rPr>
            </w:pPr>
            <w:r>
              <w:rPr>
                <w:b/>
                <w:bCs/>
              </w:rPr>
              <w:t>Weight</w:t>
            </w:r>
          </w:p>
        </w:tc>
        <w:tc>
          <w:tcPr>
            <w:tcW w:w="1004" w:type="pct"/>
          </w:tcPr>
          <w:p w14:paraId="121935B5" w14:textId="0C974DA7" w:rsidR="0016351B" w:rsidRPr="004B053C" w:rsidRDefault="00482A05" w:rsidP="0016351B">
            <w:pPr>
              <w:jc w:val="center"/>
              <w:rPr>
                <w:b/>
                <w:bCs/>
              </w:rPr>
            </w:pPr>
            <w:r>
              <w:rPr>
                <w:b/>
                <w:bCs/>
              </w:rPr>
              <w:t xml:space="preserve">Reference </w:t>
            </w:r>
            <w:r w:rsidR="0016351B">
              <w:rPr>
                <w:b/>
                <w:bCs/>
              </w:rPr>
              <w:t>Case</w:t>
            </w:r>
          </w:p>
        </w:tc>
        <w:tc>
          <w:tcPr>
            <w:tcW w:w="1003" w:type="pct"/>
          </w:tcPr>
          <w:p w14:paraId="6077526D" w14:textId="77777777" w:rsidR="0016351B" w:rsidRDefault="0016351B" w:rsidP="0016351B">
            <w:pPr>
              <w:jc w:val="center"/>
              <w:rPr>
                <w:b/>
                <w:bCs/>
              </w:rPr>
            </w:pPr>
            <w:r>
              <w:rPr>
                <w:b/>
                <w:bCs/>
              </w:rPr>
              <w:t>Option 1</w:t>
            </w:r>
          </w:p>
          <w:p w14:paraId="3DDC57D7" w14:textId="5CA20E91" w:rsidR="0016351B" w:rsidRPr="004B053C" w:rsidRDefault="0016351B" w:rsidP="0016351B">
            <w:pPr>
              <w:jc w:val="center"/>
              <w:rPr>
                <w:b/>
                <w:bCs/>
              </w:rPr>
            </w:pPr>
            <w:r>
              <w:rPr>
                <w:b/>
                <w:bCs/>
              </w:rPr>
              <w:t>S</w:t>
            </w:r>
            <w:r w:rsidRPr="000C45AE">
              <w:rPr>
                <w:b/>
                <w:bCs/>
              </w:rPr>
              <w:t xml:space="preserve">ingle fee for individual and a single fee for </w:t>
            </w:r>
            <w:r>
              <w:rPr>
                <w:b/>
                <w:bCs/>
              </w:rPr>
              <w:t>business</w:t>
            </w:r>
          </w:p>
        </w:tc>
        <w:tc>
          <w:tcPr>
            <w:tcW w:w="1004" w:type="pct"/>
          </w:tcPr>
          <w:p w14:paraId="6A49BAFA" w14:textId="77777777" w:rsidR="0016351B" w:rsidRDefault="0016351B" w:rsidP="0016351B">
            <w:pPr>
              <w:jc w:val="center"/>
              <w:rPr>
                <w:b/>
                <w:bCs/>
              </w:rPr>
            </w:pPr>
            <w:r>
              <w:rPr>
                <w:b/>
                <w:bCs/>
              </w:rPr>
              <w:t>Option 2</w:t>
            </w:r>
          </w:p>
          <w:p w14:paraId="51C797CB" w14:textId="2996F3F8" w:rsidR="0016351B" w:rsidRPr="004B053C" w:rsidRDefault="0016351B" w:rsidP="0016351B">
            <w:pPr>
              <w:jc w:val="center"/>
              <w:rPr>
                <w:b/>
                <w:bCs/>
              </w:rPr>
            </w:pPr>
            <w:r>
              <w:rPr>
                <w:b/>
                <w:bCs/>
              </w:rPr>
              <w:t>Variable fees based on application complexity</w:t>
            </w:r>
          </w:p>
        </w:tc>
      </w:tr>
      <w:tr w:rsidR="001369C1" w14:paraId="0B7F8233" w14:textId="77777777" w:rsidTr="00C62F9F">
        <w:tc>
          <w:tcPr>
            <w:tcW w:w="986" w:type="pct"/>
          </w:tcPr>
          <w:p w14:paraId="201EA299" w14:textId="7476651A" w:rsidR="001369C1" w:rsidRDefault="001369C1">
            <w:r>
              <w:t>Simplicity</w:t>
            </w:r>
          </w:p>
        </w:tc>
        <w:tc>
          <w:tcPr>
            <w:tcW w:w="1003" w:type="pct"/>
          </w:tcPr>
          <w:p w14:paraId="52507C8E" w14:textId="71A902B6" w:rsidR="001369C1" w:rsidRDefault="001369C1" w:rsidP="0016351B">
            <w:pPr>
              <w:jc w:val="center"/>
            </w:pPr>
            <w:r>
              <w:t>20%</w:t>
            </w:r>
          </w:p>
        </w:tc>
        <w:tc>
          <w:tcPr>
            <w:tcW w:w="1004" w:type="pct"/>
          </w:tcPr>
          <w:p w14:paraId="74C73D88" w14:textId="01632ADA" w:rsidR="001369C1" w:rsidRDefault="00991444" w:rsidP="0016351B">
            <w:pPr>
              <w:jc w:val="center"/>
            </w:pPr>
            <w:r>
              <w:t>0</w:t>
            </w:r>
          </w:p>
        </w:tc>
        <w:tc>
          <w:tcPr>
            <w:tcW w:w="1003" w:type="pct"/>
          </w:tcPr>
          <w:p w14:paraId="1A908478" w14:textId="25D83A30" w:rsidR="001369C1" w:rsidRPr="00C56E1A" w:rsidRDefault="00991444" w:rsidP="0016351B">
            <w:pPr>
              <w:jc w:val="center"/>
            </w:pPr>
            <w:r>
              <w:t>-1</w:t>
            </w:r>
          </w:p>
        </w:tc>
        <w:tc>
          <w:tcPr>
            <w:tcW w:w="1004" w:type="pct"/>
          </w:tcPr>
          <w:p w14:paraId="35369F06" w14:textId="68C51C5B" w:rsidR="001369C1" w:rsidRPr="00C56E1A" w:rsidRDefault="00AF5CA5" w:rsidP="0016351B">
            <w:pPr>
              <w:jc w:val="center"/>
            </w:pPr>
            <w:r>
              <w:t>-1.5</w:t>
            </w:r>
          </w:p>
        </w:tc>
      </w:tr>
      <w:tr w:rsidR="001369C1" w14:paraId="296FA209" w14:textId="77777777" w:rsidTr="00C62F9F">
        <w:tc>
          <w:tcPr>
            <w:tcW w:w="986" w:type="pct"/>
          </w:tcPr>
          <w:p w14:paraId="35B289E9" w14:textId="77777777" w:rsidR="001369C1" w:rsidRPr="008A7E46" w:rsidRDefault="001369C1">
            <w:pPr>
              <w:rPr>
                <w:b/>
                <w:bCs/>
              </w:rPr>
            </w:pPr>
            <w:r w:rsidRPr="008A7E46">
              <w:rPr>
                <w:b/>
                <w:bCs/>
              </w:rPr>
              <w:t>Weighted score</w:t>
            </w:r>
          </w:p>
        </w:tc>
        <w:tc>
          <w:tcPr>
            <w:tcW w:w="1003" w:type="pct"/>
          </w:tcPr>
          <w:p w14:paraId="1D619001" w14:textId="77777777" w:rsidR="001369C1" w:rsidRPr="008A7E46" w:rsidRDefault="001369C1" w:rsidP="0016351B">
            <w:pPr>
              <w:jc w:val="center"/>
              <w:rPr>
                <w:b/>
                <w:bCs/>
              </w:rPr>
            </w:pPr>
          </w:p>
        </w:tc>
        <w:tc>
          <w:tcPr>
            <w:tcW w:w="1004" w:type="pct"/>
          </w:tcPr>
          <w:p w14:paraId="42DE4078" w14:textId="5B00664F" w:rsidR="001369C1" w:rsidRPr="008A7E46" w:rsidRDefault="00991444" w:rsidP="0016351B">
            <w:pPr>
              <w:jc w:val="center"/>
              <w:rPr>
                <w:b/>
                <w:bCs/>
              </w:rPr>
            </w:pPr>
            <w:r>
              <w:rPr>
                <w:b/>
                <w:bCs/>
              </w:rPr>
              <w:t>0</w:t>
            </w:r>
          </w:p>
        </w:tc>
        <w:tc>
          <w:tcPr>
            <w:tcW w:w="1003" w:type="pct"/>
          </w:tcPr>
          <w:p w14:paraId="635C07B8" w14:textId="11A37064" w:rsidR="00991444" w:rsidRPr="008A7E46" w:rsidRDefault="00AF5CA5" w:rsidP="0016351B">
            <w:pPr>
              <w:jc w:val="center"/>
              <w:rPr>
                <w:b/>
                <w:bCs/>
              </w:rPr>
            </w:pPr>
            <w:r>
              <w:rPr>
                <w:b/>
                <w:bCs/>
              </w:rPr>
              <w:t>-0.2</w:t>
            </w:r>
          </w:p>
        </w:tc>
        <w:tc>
          <w:tcPr>
            <w:tcW w:w="1004" w:type="pct"/>
          </w:tcPr>
          <w:p w14:paraId="5CA10CA9" w14:textId="6642C0DE" w:rsidR="001369C1" w:rsidRPr="008A7E46" w:rsidRDefault="00AF5CA5" w:rsidP="0016351B">
            <w:pPr>
              <w:jc w:val="center"/>
              <w:rPr>
                <w:b/>
                <w:bCs/>
              </w:rPr>
            </w:pPr>
            <w:r>
              <w:rPr>
                <w:b/>
                <w:bCs/>
              </w:rPr>
              <w:t>-0.3</w:t>
            </w:r>
          </w:p>
        </w:tc>
      </w:tr>
    </w:tbl>
    <w:p w14:paraId="40775886" w14:textId="238AAE6D" w:rsidR="009A3E73" w:rsidRDefault="00482A05" w:rsidP="00637927">
      <w:pPr>
        <w:pStyle w:val="Heading4"/>
        <w:spacing w:before="240"/>
      </w:pPr>
      <w:r>
        <w:t xml:space="preserve">Reference </w:t>
      </w:r>
      <w:r w:rsidR="009A3E73">
        <w:t xml:space="preserve">Case </w:t>
      </w:r>
    </w:p>
    <w:p w14:paraId="1BBFB8CA" w14:textId="624476D0" w:rsidR="00E533BC" w:rsidRDefault="00E533BC" w:rsidP="009A3E73">
      <w:r>
        <w:t xml:space="preserve">Under the </w:t>
      </w:r>
      <w:r w:rsidR="00482A05">
        <w:t xml:space="preserve">Reference </w:t>
      </w:r>
      <w:r w:rsidR="007B3801">
        <w:t>Case</w:t>
      </w:r>
      <w:r>
        <w:t>, there would be no</w:t>
      </w:r>
      <w:r w:rsidR="00822020">
        <w:t xml:space="preserve"> fee settings</w:t>
      </w:r>
      <w:r>
        <w:t xml:space="preserve"> for users to understand and for Victoria Police to administer. The </w:t>
      </w:r>
      <w:r w:rsidR="00482A05">
        <w:t xml:space="preserve">Reference </w:t>
      </w:r>
      <w:r w:rsidR="007B3801">
        <w:t xml:space="preserve">Case </w:t>
      </w:r>
      <w:r>
        <w:t>is therefore awarded a score of 0 and is used a</w:t>
      </w:r>
      <w:r w:rsidR="00AE6B14">
        <w:t xml:space="preserve">s a counter-factual </w:t>
      </w:r>
      <w:r w:rsidR="005C36BE">
        <w:t xml:space="preserve">for Options 1 and 2. </w:t>
      </w:r>
    </w:p>
    <w:p w14:paraId="0589223B" w14:textId="52755C1F" w:rsidR="009A3E73" w:rsidRDefault="009A3E73" w:rsidP="009A3E73">
      <w:pPr>
        <w:pStyle w:val="Heading4"/>
      </w:pPr>
      <w:r>
        <w:t xml:space="preserve">Option 1: </w:t>
      </w:r>
      <w:r w:rsidR="009D1135" w:rsidRPr="009D1135">
        <w:t xml:space="preserve">Single fee </w:t>
      </w:r>
      <w:r w:rsidR="00D42C3E">
        <w:t xml:space="preserve">for </w:t>
      </w:r>
      <w:r w:rsidR="009D1135" w:rsidRPr="009D1135">
        <w:t>all individual licence application and a single fee for all business applications</w:t>
      </w:r>
    </w:p>
    <w:p w14:paraId="128D0D49" w14:textId="778EE68C" w:rsidR="0085287C" w:rsidRDefault="0085287C" w:rsidP="0085287C">
      <w:r w:rsidRPr="00822020">
        <w:rPr>
          <w:b/>
        </w:rPr>
        <w:t>Option 1 receives a score of -</w:t>
      </w:r>
      <w:r w:rsidR="005C36BE" w:rsidRPr="00822020">
        <w:rPr>
          <w:b/>
        </w:rPr>
        <w:t xml:space="preserve">1 </w:t>
      </w:r>
      <w:r w:rsidRPr="00822020">
        <w:rPr>
          <w:b/>
        </w:rPr>
        <w:t xml:space="preserve">because the fee schedule proposed would be </w:t>
      </w:r>
      <w:r w:rsidR="00185DDC" w:rsidRPr="00822020">
        <w:rPr>
          <w:b/>
        </w:rPr>
        <w:t xml:space="preserve">slightly more complex than the </w:t>
      </w:r>
      <w:r w:rsidR="00482A05">
        <w:rPr>
          <w:b/>
        </w:rPr>
        <w:t>Reference</w:t>
      </w:r>
      <w:r w:rsidR="00482A05" w:rsidRPr="003A55E1">
        <w:rPr>
          <w:b/>
        </w:rPr>
        <w:t xml:space="preserve"> </w:t>
      </w:r>
      <w:r w:rsidR="007B3801" w:rsidRPr="003A55E1">
        <w:rPr>
          <w:b/>
        </w:rPr>
        <w:t>Case</w:t>
      </w:r>
      <w:r w:rsidR="00185DDC" w:rsidRPr="003A55E1">
        <w:rPr>
          <w:b/>
        </w:rPr>
        <w:t>.</w:t>
      </w:r>
      <w:r w:rsidR="00185DDC">
        <w:t xml:space="preserve"> Users w</w:t>
      </w:r>
      <w:r w:rsidR="00603393">
        <w:t>ould</w:t>
      </w:r>
      <w:r w:rsidR="00185DDC">
        <w:t xml:space="preserve"> need to interpret </w:t>
      </w:r>
      <w:r w:rsidR="005F6E2F">
        <w:t>and understand the applicable fees</w:t>
      </w:r>
      <w:r w:rsidR="00CC59E1">
        <w:t>, and Victoria Police will need to administer the fee schedule</w:t>
      </w:r>
      <w:r w:rsidR="005F6E2F">
        <w:t xml:space="preserve">. However, </w:t>
      </w:r>
      <w:r w:rsidR="00E543DA">
        <w:t>as this Option only inc</w:t>
      </w:r>
      <w:r w:rsidR="00603393">
        <w:t>l</w:t>
      </w:r>
      <w:r w:rsidR="00E543DA">
        <w:t>udes</w:t>
      </w:r>
      <w:r w:rsidR="000517D1">
        <w:t xml:space="preserve"> a single fee for </w:t>
      </w:r>
      <w:r w:rsidR="00822020">
        <w:t>each</w:t>
      </w:r>
      <w:r w:rsidR="000517D1">
        <w:t xml:space="preserve"> </w:t>
      </w:r>
      <w:r w:rsidR="00822020">
        <w:t>individual</w:t>
      </w:r>
      <w:r w:rsidR="000517D1">
        <w:t xml:space="preserve"> and businesses</w:t>
      </w:r>
      <w:r w:rsidR="00822020">
        <w:t xml:space="preserve"> applicant types</w:t>
      </w:r>
      <w:r w:rsidR="000517D1">
        <w:t xml:space="preserve">, </w:t>
      </w:r>
      <w:r w:rsidR="00CC59E1">
        <w:t xml:space="preserve">it is not </w:t>
      </w:r>
      <w:r w:rsidR="00822020">
        <w:t>expected to introduce much</w:t>
      </w:r>
      <w:r w:rsidR="00CC59E1">
        <w:t xml:space="preserve"> complex</w:t>
      </w:r>
      <w:r w:rsidR="00822020">
        <w:t>ity</w:t>
      </w:r>
      <w:r w:rsidR="00CC59E1">
        <w:t xml:space="preserve"> for users </w:t>
      </w:r>
      <w:r w:rsidR="00344425">
        <w:t xml:space="preserve">and Victoria Police. </w:t>
      </w:r>
      <w:r>
        <w:t>Consequently, Option 1 receives a modest negative score to reflect this simplicity.</w:t>
      </w:r>
    </w:p>
    <w:p w14:paraId="197B395C" w14:textId="402F72A9" w:rsidR="009A3E73" w:rsidRDefault="009A3E73" w:rsidP="009A3E73">
      <w:pPr>
        <w:pStyle w:val="Heading4"/>
      </w:pPr>
      <w:r>
        <w:t xml:space="preserve">Option 2: </w:t>
      </w:r>
      <w:r w:rsidR="009D1135" w:rsidRPr="009D1135">
        <w:t>Variable fee levels based on application complexity</w:t>
      </w:r>
      <w:r w:rsidR="0036598D">
        <w:t xml:space="preserve"> </w:t>
      </w:r>
    </w:p>
    <w:p w14:paraId="7ECEF505" w14:textId="1372D92D" w:rsidR="0085287C" w:rsidRDefault="0085287C" w:rsidP="0085287C">
      <w:r w:rsidRPr="0047691A">
        <w:rPr>
          <w:b/>
        </w:rPr>
        <w:t>Option 2 receives a score of -</w:t>
      </w:r>
      <w:r w:rsidR="00344425" w:rsidRPr="0047691A">
        <w:rPr>
          <w:b/>
        </w:rPr>
        <w:t>1.5</w:t>
      </w:r>
      <w:r w:rsidRPr="0047691A">
        <w:rPr>
          <w:b/>
        </w:rPr>
        <w:t xml:space="preserve"> because the fee schedule proposed would be </w:t>
      </w:r>
      <w:r w:rsidR="00822020" w:rsidRPr="0047691A">
        <w:rPr>
          <w:b/>
          <w:bCs/>
        </w:rPr>
        <w:t xml:space="preserve">marginally </w:t>
      </w:r>
      <w:r w:rsidR="0047691A" w:rsidRPr="0047691A">
        <w:rPr>
          <w:b/>
          <w:bCs/>
        </w:rPr>
        <w:t>more complex</w:t>
      </w:r>
      <w:r w:rsidRPr="0047691A">
        <w:rPr>
          <w:b/>
          <w:bCs/>
        </w:rPr>
        <w:t xml:space="preserve"> </w:t>
      </w:r>
      <w:r w:rsidRPr="0047691A">
        <w:rPr>
          <w:b/>
        </w:rPr>
        <w:t xml:space="preserve">to administer </w:t>
      </w:r>
      <w:r w:rsidR="0047691A" w:rsidRPr="0047691A">
        <w:rPr>
          <w:b/>
          <w:bCs/>
        </w:rPr>
        <w:t xml:space="preserve">and understand relative to both the </w:t>
      </w:r>
      <w:r w:rsidR="00482A05">
        <w:t xml:space="preserve">Reference </w:t>
      </w:r>
      <w:r w:rsidR="007B3801">
        <w:t xml:space="preserve">Case </w:t>
      </w:r>
      <w:r w:rsidR="0047691A" w:rsidRPr="0047691A">
        <w:rPr>
          <w:b/>
          <w:bCs/>
        </w:rPr>
        <w:t>and Option 1.</w:t>
      </w:r>
      <w:r>
        <w:t xml:space="preserve"> </w:t>
      </w:r>
      <w:r w:rsidR="0028065A">
        <w:t>Under Option 2, the fee schedule will contain multiple line items based on the number of activities requested on the licence. This makes it slightly more complex for users</w:t>
      </w:r>
      <w:r w:rsidR="00E95A1A">
        <w:t xml:space="preserve"> to understand</w:t>
      </w:r>
      <w:r w:rsidR="0028065A">
        <w:t xml:space="preserve"> and</w:t>
      </w:r>
      <w:r w:rsidR="00E95A1A">
        <w:t xml:space="preserve"> for</w:t>
      </w:r>
      <w:r w:rsidR="0028065A">
        <w:t xml:space="preserve"> Victoria Police</w:t>
      </w:r>
      <w:r w:rsidR="00E95A1A">
        <w:t xml:space="preserve"> to administer relative to the </w:t>
      </w:r>
      <w:r w:rsidR="00482A05">
        <w:t xml:space="preserve">Reference </w:t>
      </w:r>
      <w:r w:rsidR="007B3801">
        <w:t xml:space="preserve">Case </w:t>
      </w:r>
      <w:r w:rsidR="00E95A1A">
        <w:t>and Option 1.</w:t>
      </w:r>
      <w:r w:rsidR="009D1FD8">
        <w:t xml:space="preserve"> However, as </w:t>
      </w:r>
      <w:r w:rsidR="00EB30B9">
        <w:t xml:space="preserve">the additional number of fee types is limited to seven (reflecting the seven different licenced activities), </w:t>
      </w:r>
      <w:r w:rsidR="00DE1A78">
        <w:t xml:space="preserve">it is expected that the additional complexity would be relatively minor for both </w:t>
      </w:r>
      <w:r w:rsidR="007A7A19">
        <w:t xml:space="preserve">industry applicants and government administration. </w:t>
      </w:r>
      <w:r w:rsidR="00911605">
        <w:t>D</w:t>
      </w:r>
      <w:r w:rsidR="007A7A19">
        <w:t xml:space="preserve">uring consultation for this RIS no stakeholders from industry or government </w:t>
      </w:r>
      <w:r w:rsidR="000B4FC2">
        <w:t xml:space="preserve">provided feedback to indicate that a variable fee structure would be overly complex to understand and administer. </w:t>
      </w:r>
      <w:r w:rsidR="00E97FF6">
        <w:t xml:space="preserve">Option 2 is </w:t>
      </w:r>
      <w:r w:rsidR="0047691A">
        <w:t>therefore</w:t>
      </w:r>
      <w:r w:rsidR="00E97FF6">
        <w:t xml:space="preserve"> likely to impose minimal additional complexity.</w:t>
      </w:r>
      <w:r w:rsidR="0036598D">
        <w:t xml:space="preserve"> </w:t>
      </w:r>
    </w:p>
    <w:p w14:paraId="7AD60416" w14:textId="6872F502" w:rsidR="00034B53" w:rsidRDefault="00034B53" w:rsidP="00A96D53">
      <w:pPr>
        <w:pStyle w:val="Heading1"/>
      </w:pPr>
      <w:bookmarkStart w:id="101" w:name="_Toc189832262"/>
      <w:bookmarkStart w:id="102" w:name="_Toc154039057"/>
      <w:r>
        <w:lastRenderedPageBreak/>
        <w:t xml:space="preserve">Identification of </w:t>
      </w:r>
      <w:r w:rsidR="006903F6">
        <w:t>preferred options</w:t>
      </w:r>
      <w:bookmarkEnd w:id="101"/>
    </w:p>
    <w:p w14:paraId="70FDF7DB" w14:textId="4917DB05" w:rsidR="006903F6" w:rsidRDefault="00276A67" w:rsidP="006903F6">
      <w:pPr>
        <w:pStyle w:val="Heading2"/>
      </w:pPr>
      <w:bookmarkStart w:id="103" w:name="_Toc189832263"/>
      <w:r>
        <w:t>This chapter summarise</w:t>
      </w:r>
      <w:r w:rsidR="001A5EC8">
        <w:t>s</w:t>
      </w:r>
      <w:r>
        <w:t xml:space="preserve"> the preferred policy and fee options based on the analysis presented in the previous chapters.</w:t>
      </w:r>
      <w:r w:rsidR="0036598D">
        <w:t xml:space="preserve"> </w:t>
      </w:r>
      <w:r w:rsidR="006903F6">
        <w:t>Remaking the licensing requirements</w:t>
      </w:r>
      <w:bookmarkEnd w:id="103"/>
    </w:p>
    <w:p w14:paraId="1CC99C45" w14:textId="47C8941F" w:rsidR="00A07841" w:rsidRDefault="00A07841" w:rsidP="00A07841">
      <w:r>
        <w:t>The preferred option</w:t>
      </w:r>
      <w:r w:rsidR="00A57B42">
        <w:t xml:space="preserve"> (Option 1)</w:t>
      </w:r>
      <w:r>
        <w:t xml:space="preserve"> is to remake the </w:t>
      </w:r>
      <w:r w:rsidR="004B667B">
        <w:t>R</w:t>
      </w:r>
      <w:r>
        <w:t xml:space="preserve">egulations with language and structural updates to reflect a single-tier licencing system. Option 1 would remake the Regulations with their current provisions, apart from the removal of references to registrations to reflect the introduction of a single-tiered licensing system by the recent amendment to the Act. Through this single-tier system, security equipment installers and security equipment advisors will now need to be licensed and will be subject to the same requirements as current licence holders. The other sections of the Regulations (excluding the fees) will be remade as they currently are. </w:t>
      </w:r>
    </w:p>
    <w:p w14:paraId="397A33B2" w14:textId="09EEC5B7" w:rsidR="006903F6" w:rsidRDefault="006903F6" w:rsidP="006903F6">
      <w:r>
        <w:t xml:space="preserve">Table </w:t>
      </w:r>
      <w:r w:rsidR="0006454F">
        <w:t>6.1</w:t>
      </w:r>
      <w:r>
        <w:t xml:space="preserve"> below summarises the MCA scores for Option 1. The scores are weighted according to the framework discussed in section </w:t>
      </w:r>
      <w:r w:rsidR="00574FBD">
        <w:t>3.2</w:t>
      </w:r>
      <w:r>
        <w:t xml:space="preserve">. </w:t>
      </w:r>
    </w:p>
    <w:p w14:paraId="5F4A48F6" w14:textId="236CB61D" w:rsidR="00276A67" w:rsidRDefault="0006454F" w:rsidP="0006454F">
      <w:pPr>
        <w:pStyle w:val="Caption"/>
      </w:pPr>
      <w:r>
        <w:t xml:space="preserve">Table </w:t>
      </w:r>
      <w:r w:rsidR="00414520">
        <w:fldChar w:fldCharType="begin"/>
      </w:r>
      <w:r w:rsidR="00414520">
        <w:instrText xml:space="preserve"> STYLEREF 1 \s </w:instrText>
      </w:r>
      <w:r w:rsidR="00414520">
        <w:fldChar w:fldCharType="separate"/>
      </w:r>
      <w:r w:rsidR="009D133E">
        <w:rPr>
          <w:noProof/>
        </w:rPr>
        <w:t>6</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1</w:t>
      </w:r>
      <w:r w:rsidR="00414520">
        <w:fldChar w:fldCharType="end"/>
      </w:r>
      <w:r w:rsidR="00276A67">
        <w:t>: MCA results for remaking the Regulations</w:t>
      </w:r>
    </w:p>
    <w:tbl>
      <w:tblPr>
        <w:tblW w:w="478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4"/>
        <w:gridCol w:w="1240"/>
        <w:gridCol w:w="2197"/>
        <w:gridCol w:w="61"/>
        <w:gridCol w:w="1832"/>
      </w:tblGrid>
      <w:tr w:rsidR="00276A67" w:rsidRPr="00535D1A" w14:paraId="4EB18338" w14:textId="77777777">
        <w:trPr>
          <w:trHeight w:val="315"/>
        </w:trPr>
        <w:tc>
          <w:tcPr>
            <w:tcW w:w="2108" w:type="pct"/>
            <w:tcBorders>
              <w:top w:val="single" w:sz="24" w:space="0" w:color="62B5E5"/>
              <w:left w:val="nil"/>
              <w:bottom w:val="single" w:sz="6" w:space="0" w:color="000000"/>
              <w:right w:val="nil"/>
            </w:tcBorders>
            <w:shd w:val="clear" w:color="auto" w:fill="auto"/>
            <w:hideMark/>
          </w:tcPr>
          <w:p w14:paraId="3FDDEBA5" w14:textId="77777777" w:rsidR="00276A67" w:rsidRPr="000C7CF4" w:rsidRDefault="00276A67">
            <w:pPr>
              <w:ind w:left="57" w:right="57"/>
              <w:rPr>
                <w:b/>
                <w:bCs/>
                <w:sz w:val="17"/>
              </w:rPr>
            </w:pPr>
            <w:r w:rsidRPr="000C7CF4">
              <w:rPr>
                <w:b/>
                <w:bCs/>
                <w:sz w:val="17"/>
              </w:rPr>
              <w:t>Criterion </w:t>
            </w:r>
          </w:p>
        </w:tc>
        <w:tc>
          <w:tcPr>
            <w:tcW w:w="673" w:type="pct"/>
            <w:tcBorders>
              <w:top w:val="single" w:sz="24" w:space="0" w:color="62B5E5"/>
              <w:left w:val="nil"/>
              <w:bottom w:val="single" w:sz="6" w:space="0" w:color="000000"/>
              <w:right w:val="nil"/>
            </w:tcBorders>
          </w:tcPr>
          <w:p w14:paraId="3FA5F075" w14:textId="77777777" w:rsidR="00276A67" w:rsidRPr="000C7CF4" w:rsidRDefault="00276A67">
            <w:pPr>
              <w:ind w:left="57" w:right="57"/>
              <w:jc w:val="center"/>
              <w:rPr>
                <w:b/>
                <w:bCs/>
                <w:sz w:val="17"/>
              </w:rPr>
            </w:pPr>
            <w:r w:rsidRPr="000C7CF4">
              <w:rPr>
                <w:b/>
                <w:bCs/>
                <w:sz w:val="17"/>
              </w:rPr>
              <w:t>Weighting</w:t>
            </w:r>
          </w:p>
        </w:tc>
        <w:tc>
          <w:tcPr>
            <w:tcW w:w="1192" w:type="pct"/>
            <w:tcBorders>
              <w:top w:val="single" w:sz="24" w:space="0" w:color="62B5E5"/>
              <w:left w:val="nil"/>
              <w:bottom w:val="single" w:sz="6" w:space="0" w:color="000000"/>
              <w:right w:val="nil"/>
            </w:tcBorders>
            <w:shd w:val="clear" w:color="auto" w:fill="auto"/>
            <w:hideMark/>
          </w:tcPr>
          <w:p w14:paraId="5C069856" w14:textId="16A20D64" w:rsidR="00276A67" w:rsidRPr="000C7CF4" w:rsidRDefault="00482A05">
            <w:pPr>
              <w:ind w:left="57" w:right="57"/>
              <w:jc w:val="center"/>
              <w:rPr>
                <w:b/>
                <w:bCs/>
                <w:sz w:val="17"/>
              </w:rPr>
            </w:pPr>
            <w:r>
              <w:rPr>
                <w:b/>
                <w:bCs/>
                <w:sz w:val="17"/>
              </w:rPr>
              <w:t>Reference</w:t>
            </w:r>
            <w:r w:rsidRPr="000C7CF4">
              <w:rPr>
                <w:b/>
                <w:bCs/>
                <w:sz w:val="17"/>
              </w:rPr>
              <w:t xml:space="preserve"> </w:t>
            </w:r>
            <w:r w:rsidR="00276A67" w:rsidRPr="000C7CF4">
              <w:rPr>
                <w:b/>
                <w:bCs/>
                <w:sz w:val="17"/>
              </w:rPr>
              <w:t>Case</w:t>
            </w:r>
          </w:p>
        </w:tc>
        <w:tc>
          <w:tcPr>
            <w:tcW w:w="1027" w:type="pct"/>
            <w:gridSpan w:val="2"/>
            <w:tcBorders>
              <w:top w:val="single" w:sz="24" w:space="0" w:color="62B5E5"/>
              <w:left w:val="nil"/>
              <w:bottom w:val="single" w:sz="6" w:space="0" w:color="000000"/>
              <w:right w:val="nil"/>
            </w:tcBorders>
            <w:shd w:val="clear" w:color="auto" w:fill="auto"/>
            <w:hideMark/>
          </w:tcPr>
          <w:p w14:paraId="040F014C" w14:textId="61E879E3" w:rsidR="00276A67" w:rsidRPr="000C7CF4" w:rsidRDefault="00276A67">
            <w:pPr>
              <w:ind w:left="57" w:right="57"/>
              <w:jc w:val="center"/>
              <w:rPr>
                <w:b/>
                <w:bCs/>
                <w:sz w:val="17"/>
              </w:rPr>
            </w:pPr>
            <w:r w:rsidRPr="000C7CF4">
              <w:rPr>
                <w:b/>
                <w:bCs/>
                <w:sz w:val="17"/>
              </w:rPr>
              <w:t xml:space="preserve">Option 1 – Impact of Status Quo relative to the </w:t>
            </w:r>
            <w:r w:rsidR="00482A05">
              <w:rPr>
                <w:b/>
                <w:bCs/>
                <w:sz w:val="17"/>
              </w:rPr>
              <w:t>Reference Case</w:t>
            </w:r>
            <w:r w:rsidRPr="000C7CF4">
              <w:rPr>
                <w:b/>
                <w:bCs/>
                <w:sz w:val="17"/>
              </w:rPr>
              <w:t xml:space="preserve"> </w:t>
            </w:r>
          </w:p>
        </w:tc>
      </w:tr>
      <w:tr w:rsidR="00276A67" w:rsidRPr="00535D1A" w14:paraId="2689607A" w14:textId="77777777">
        <w:trPr>
          <w:trHeight w:val="315"/>
        </w:trPr>
        <w:tc>
          <w:tcPr>
            <w:tcW w:w="2108" w:type="pct"/>
            <w:tcBorders>
              <w:top w:val="single" w:sz="24" w:space="0" w:color="62B5E5"/>
              <w:left w:val="nil"/>
              <w:bottom w:val="single" w:sz="6" w:space="0" w:color="000000"/>
              <w:right w:val="nil"/>
            </w:tcBorders>
            <w:shd w:val="clear" w:color="auto" w:fill="auto"/>
          </w:tcPr>
          <w:p w14:paraId="0B03E78B" w14:textId="77777777" w:rsidR="00276A67" w:rsidRPr="000C7CF4" w:rsidRDefault="00276A67">
            <w:pPr>
              <w:spacing w:line="240" w:lineRule="auto"/>
              <w:textAlignment w:val="baseline"/>
              <w:rPr>
                <w:rFonts w:eastAsia="Times New Roman" w:cs="Calibri Light"/>
                <w:b/>
                <w:color w:val="000000"/>
                <w:sz w:val="17"/>
                <w:szCs w:val="17"/>
                <w:lang w:val="en-GB" w:eastAsia="en-AU"/>
              </w:rPr>
            </w:pPr>
          </w:p>
        </w:tc>
        <w:tc>
          <w:tcPr>
            <w:tcW w:w="673" w:type="pct"/>
            <w:tcBorders>
              <w:top w:val="single" w:sz="24" w:space="0" w:color="62B5E5"/>
              <w:left w:val="nil"/>
              <w:bottom w:val="single" w:sz="6" w:space="0" w:color="000000"/>
              <w:right w:val="nil"/>
            </w:tcBorders>
          </w:tcPr>
          <w:p w14:paraId="2FD67E10" w14:textId="77777777" w:rsidR="00276A67" w:rsidRPr="000C7CF4" w:rsidRDefault="00276A67">
            <w:pPr>
              <w:spacing w:line="240" w:lineRule="auto"/>
              <w:jc w:val="center"/>
              <w:textAlignment w:val="baseline"/>
              <w:rPr>
                <w:rFonts w:eastAsia="Times New Roman" w:cs="Calibri Light"/>
                <w:b/>
                <w:color w:val="000000"/>
                <w:sz w:val="17"/>
                <w:szCs w:val="17"/>
                <w:lang w:val="en-GB" w:eastAsia="en-AU"/>
              </w:rPr>
            </w:pPr>
          </w:p>
        </w:tc>
        <w:tc>
          <w:tcPr>
            <w:tcW w:w="1225" w:type="pct"/>
            <w:gridSpan w:val="2"/>
            <w:tcBorders>
              <w:top w:val="single" w:sz="24" w:space="0" w:color="62B5E5"/>
              <w:left w:val="nil"/>
              <w:bottom w:val="single" w:sz="6" w:space="0" w:color="000000"/>
              <w:right w:val="nil"/>
            </w:tcBorders>
            <w:shd w:val="clear" w:color="auto" w:fill="auto"/>
          </w:tcPr>
          <w:p w14:paraId="52AEF8FD" w14:textId="77777777" w:rsidR="00276A67" w:rsidRPr="000C7CF4" w:rsidRDefault="00276A67">
            <w:pPr>
              <w:spacing w:line="240" w:lineRule="auto"/>
              <w:jc w:val="center"/>
              <w:textAlignment w:val="baseline"/>
              <w:rPr>
                <w:rFonts w:eastAsia="Times New Roman" w:cs="Calibri Light"/>
                <w:b/>
                <w:color w:val="000000"/>
                <w:sz w:val="17"/>
                <w:szCs w:val="17"/>
                <w:lang w:val="en-GB" w:eastAsia="en-AU"/>
              </w:rPr>
            </w:pPr>
          </w:p>
        </w:tc>
        <w:tc>
          <w:tcPr>
            <w:tcW w:w="994" w:type="pct"/>
            <w:tcBorders>
              <w:top w:val="single" w:sz="24" w:space="0" w:color="62B5E5"/>
              <w:left w:val="nil"/>
              <w:bottom w:val="single" w:sz="6" w:space="0" w:color="000000"/>
              <w:right w:val="nil"/>
            </w:tcBorders>
            <w:shd w:val="clear" w:color="auto" w:fill="auto"/>
          </w:tcPr>
          <w:p w14:paraId="1D92DF33" w14:textId="77777777" w:rsidR="00276A67" w:rsidRPr="000C7CF4" w:rsidRDefault="00276A67">
            <w:pPr>
              <w:spacing w:line="240" w:lineRule="auto"/>
              <w:jc w:val="center"/>
              <w:textAlignment w:val="baseline"/>
              <w:rPr>
                <w:rFonts w:eastAsia="Times New Roman" w:cs="Calibri Light"/>
                <w:b/>
                <w:color w:val="000000"/>
                <w:sz w:val="17"/>
                <w:szCs w:val="17"/>
                <w:lang w:val="en-GB" w:eastAsia="en-AU"/>
              </w:rPr>
            </w:pPr>
            <w:r w:rsidRPr="000C7CF4">
              <w:rPr>
                <w:rFonts w:eastAsia="Times New Roman" w:cs="Calibri Light"/>
                <w:b/>
                <w:color w:val="000000"/>
                <w:sz w:val="17"/>
                <w:szCs w:val="17"/>
                <w:lang w:val="en-GB" w:eastAsia="en-AU"/>
              </w:rPr>
              <w:t>Raw score</w:t>
            </w:r>
          </w:p>
        </w:tc>
      </w:tr>
      <w:tr w:rsidR="00276A67" w:rsidRPr="006C072E" w14:paraId="06BDD8E3" w14:textId="77777777">
        <w:trPr>
          <w:trHeight w:val="420"/>
        </w:trPr>
        <w:tc>
          <w:tcPr>
            <w:tcW w:w="2108" w:type="pct"/>
            <w:tcBorders>
              <w:top w:val="single" w:sz="6" w:space="0" w:color="000000"/>
              <w:left w:val="nil"/>
              <w:bottom w:val="single" w:sz="6" w:space="0" w:color="000000"/>
              <w:right w:val="nil"/>
            </w:tcBorders>
            <w:shd w:val="clear" w:color="auto" w:fill="auto"/>
            <w:vAlign w:val="center"/>
            <w:hideMark/>
          </w:tcPr>
          <w:p w14:paraId="7F46DD97" w14:textId="77777777" w:rsidR="00276A67" w:rsidRPr="000C7CF4" w:rsidRDefault="00276A67">
            <w:pPr>
              <w:ind w:left="57" w:right="57"/>
              <w:rPr>
                <w:sz w:val="17"/>
                <w:szCs w:val="20"/>
              </w:rPr>
            </w:pPr>
            <w:r w:rsidRPr="000C7CF4">
              <w:rPr>
                <w:sz w:val="17"/>
                <w:szCs w:val="20"/>
              </w:rPr>
              <w:t>Competency and probity of the private security industry</w:t>
            </w:r>
          </w:p>
        </w:tc>
        <w:tc>
          <w:tcPr>
            <w:tcW w:w="673" w:type="pct"/>
            <w:tcBorders>
              <w:top w:val="single" w:sz="6" w:space="0" w:color="000000"/>
              <w:left w:val="nil"/>
              <w:bottom w:val="single" w:sz="6" w:space="0" w:color="000000"/>
              <w:right w:val="nil"/>
            </w:tcBorders>
            <w:vAlign w:val="center"/>
          </w:tcPr>
          <w:p w14:paraId="5CAFEFAD" w14:textId="77777777" w:rsidR="00276A67" w:rsidRPr="000C7CF4" w:rsidRDefault="00276A67">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50%</w:t>
            </w:r>
          </w:p>
        </w:tc>
        <w:tc>
          <w:tcPr>
            <w:tcW w:w="1225" w:type="pct"/>
            <w:gridSpan w:val="2"/>
            <w:tcBorders>
              <w:top w:val="single" w:sz="6" w:space="0" w:color="000000"/>
              <w:left w:val="nil"/>
              <w:bottom w:val="single" w:sz="6" w:space="0" w:color="000000"/>
              <w:right w:val="nil"/>
            </w:tcBorders>
            <w:shd w:val="clear" w:color="auto" w:fill="auto"/>
            <w:vAlign w:val="center"/>
            <w:hideMark/>
          </w:tcPr>
          <w:p w14:paraId="648AA992" w14:textId="77777777" w:rsidR="00276A67" w:rsidRPr="000C7CF4" w:rsidRDefault="00276A67">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0</w:t>
            </w:r>
          </w:p>
        </w:tc>
        <w:tc>
          <w:tcPr>
            <w:tcW w:w="994" w:type="pct"/>
            <w:tcBorders>
              <w:top w:val="single" w:sz="6" w:space="0" w:color="000000"/>
              <w:left w:val="nil"/>
              <w:bottom w:val="single" w:sz="6" w:space="0" w:color="000000"/>
              <w:right w:val="nil"/>
            </w:tcBorders>
            <w:shd w:val="clear" w:color="auto" w:fill="auto"/>
            <w:vAlign w:val="center"/>
          </w:tcPr>
          <w:p w14:paraId="36982B31" w14:textId="77777777" w:rsidR="00276A67" w:rsidRPr="000C7CF4" w:rsidRDefault="00276A67">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5</w:t>
            </w:r>
          </w:p>
        </w:tc>
      </w:tr>
      <w:tr w:rsidR="00276A67" w:rsidRPr="006C072E" w14:paraId="0FB74C8B" w14:textId="77777777">
        <w:trPr>
          <w:trHeight w:val="375"/>
        </w:trPr>
        <w:tc>
          <w:tcPr>
            <w:tcW w:w="2108" w:type="pct"/>
            <w:tcBorders>
              <w:top w:val="single" w:sz="6" w:space="0" w:color="000000"/>
              <w:left w:val="nil"/>
              <w:bottom w:val="single" w:sz="6" w:space="0" w:color="000000"/>
              <w:right w:val="nil"/>
            </w:tcBorders>
            <w:shd w:val="clear" w:color="auto" w:fill="auto"/>
            <w:vAlign w:val="center"/>
            <w:hideMark/>
          </w:tcPr>
          <w:p w14:paraId="3C362706" w14:textId="39173BB0" w:rsidR="00276A67" w:rsidRPr="000C7CF4" w:rsidRDefault="0086227C">
            <w:pPr>
              <w:ind w:left="57" w:right="57"/>
              <w:rPr>
                <w:sz w:val="17"/>
                <w:szCs w:val="20"/>
              </w:rPr>
            </w:pPr>
            <w:r>
              <w:rPr>
                <w:sz w:val="17"/>
                <w:szCs w:val="20"/>
              </w:rPr>
              <w:t>Costs to industry</w:t>
            </w:r>
          </w:p>
        </w:tc>
        <w:tc>
          <w:tcPr>
            <w:tcW w:w="673" w:type="pct"/>
            <w:tcBorders>
              <w:top w:val="single" w:sz="6" w:space="0" w:color="000000"/>
              <w:left w:val="nil"/>
              <w:bottom w:val="single" w:sz="6" w:space="0" w:color="000000"/>
              <w:right w:val="nil"/>
            </w:tcBorders>
            <w:vAlign w:val="center"/>
          </w:tcPr>
          <w:p w14:paraId="0483F19E" w14:textId="77777777" w:rsidR="00276A67" w:rsidRPr="000C7CF4" w:rsidRDefault="00276A67">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25%</w:t>
            </w:r>
          </w:p>
        </w:tc>
        <w:tc>
          <w:tcPr>
            <w:tcW w:w="1225" w:type="pct"/>
            <w:gridSpan w:val="2"/>
            <w:tcBorders>
              <w:top w:val="single" w:sz="6" w:space="0" w:color="000000"/>
              <w:left w:val="nil"/>
              <w:bottom w:val="single" w:sz="6" w:space="0" w:color="000000"/>
              <w:right w:val="nil"/>
            </w:tcBorders>
            <w:shd w:val="clear" w:color="auto" w:fill="auto"/>
            <w:vAlign w:val="center"/>
            <w:hideMark/>
          </w:tcPr>
          <w:p w14:paraId="54D8E51B" w14:textId="77777777" w:rsidR="00276A67" w:rsidRPr="000C7CF4" w:rsidRDefault="00276A67">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0</w:t>
            </w:r>
          </w:p>
        </w:tc>
        <w:tc>
          <w:tcPr>
            <w:tcW w:w="994" w:type="pct"/>
            <w:tcBorders>
              <w:top w:val="single" w:sz="6" w:space="0" w:color="000000"/>
              <w:left w:val="nil"/>
              <w:bottom w:val="single" w:sz="6" w:space="0" w:color="000000"/>
              <w:right w:val="nil"/>
            </w:tcBorders>
            <w:shd w:val="clear" w:color="auto" w:fill="auto"/>
            <w:vAlign w:val="center"/>
          </w:tcPr>
          <w:p w14:paraId="1FDA2B2E" w14:textId="77777777" w:rsidR="00276A67" w:rsidRPr="000C7CF4" w:rsidRDefault="00276A67">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-2</w:t>
            </w:r>
          </w:p>
        </w:tc>
      </w:tr>
      <w:tr w:rsidR="00276A67" w:rsidRPr="006C072E" w14:paraId="42F9C8C7" w14:textId="77777777">
        <w:trPr>
          <w:trHeight w:val="375"/>
        </w:trPr>
        <w:tc>
          <w:tcPr>
            <w:tcW w:w="2108" w:type="pct"/>
            <w:tcBorders>
              <w:top w:val="single" w:sz="6" w:space="0" w:color="000000"/>
              <w:left w:val="nil"/>
              <w:bottom w:val="single" w:sz="6" w:space="0" w:color="000000"/>
              <w:right w:val="nil"/>
            </w:tcBorders>
            <w:shd w:val="clear" w:color="auto" w:fill="auto"/>
            <w:vAlign w:val="center"/>
            <w:hideMark/>
          </w:tcPr>
          <w:p w14:paraId="06003941" w14:textId="4A2DC794" w:rsidR="00276A67" w:rsidRPr="000C7CF4" w:rsidRDefault="0086227C">
            <w:pPr>
              <w:ind w:left="57" w:right="57"/>
              <w:rPr>
                <w:sz w:val="17"/>
                <w:szCs w:val="20"/>
              </w:rPr>
            </w:pPr>
            <w:r>
              <w:rPr>
                <w:sz w:val="17"/>
                <w:szCs w:val="20"/>
              </w:rPr>
              <w:t>Costs to government</w:t>
            </w:r>
            <w:r w:rsidR="00276A67" w:rsidRPr="000C7CF4">
              <w:rPr>
                <w:sz w:val="17"/>
                <w:szCs w:val="20"/>
              </w:rPr>
              <w:t xml:space="preserve"> </w:t>
            </w:r>
          </w:p>
        </w:tc>
        <w:tc>
          <w:tcPr>
            <w:tcW w:w="673" w:type="pct"/>
            <w:tcBorders>
              <w:top w:val="single" w:sz="6" w:space="0" w:color="000000"/>
              <w:left w:val="nil"/>
              <w:bottom w:val="single" w:sz="6" w:space="0" w:color="000000"/>
              <w:right w:val="nil"/>
            </w:tcBorders>
            <w:vAlign w:val="center"/>
          </w:tcPr>
          <w:p w14:paraId="51A13466" w14:textId="77777777" w:rsidR="00276A67" w:rsidRPr="000C7CF4" w:rsidRDefault="00276A67">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25%</w:t>
            </w:r>
          </w:p>
        </w:tc>
        <w:tc>
          <w:tcPr>
            <w:tcW w:w="1225" w:type="pct"/>
            <w:gridSpan w:val="2"/>
            <w:tcBorders>
              <w:top w:val="single" w:sz="6" w:space="0" w:color="000000"/>
              <w:left w:val="nil"/>
              <w:bottom w:val="single" w:sz="6" w:space="0" w:color="000000"/>
              <w:right w:val="nil"/>
            </w:tcBorders>
            <w:shd w:val="clear" w:color="auto" w:fill="auto"/>
            <w:vAlign w:val="center"/>
            <w:hideMark/>
          </w:tcPr>
          <w:p w14:paraId="30641954" w14:textId="77777777" w:rsidR="00276A67" w:rsidRPr="000C7CF4" w:rsidRDefault="00276A67">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0</w:t>
            </w:r>
          </w:p>
        </w:tc>
        <w:tc>
          <w:tcPr>
            <w:tcW w:w="994" w:type="pct"/>
            <w:tcBorders>
              <w:top w:val="single" w:sz="6" w:space="0" w:color="000000"/>
              <w:left w:val="nil"/>
              <w:bottom w:val="single" w:sz="6" w:space="0" w:color="000000"/>
              <w:right w:val="nil"/>
            </w:tcBorders>
            <w:shd w:val="clear" w:color="auto" w:fill="auto"/>
            <w:vAlign w:val="center"/>
          </w:tcPr>
          <w:p w14:paraId="0B2C710D" w14:textId="77777777" w:rsidR="00276A67" w:rsidRPr="000C7CF4" w:rsidRDefault="00276A67">
            <w:pPr>
              <w:spacing w:line="240" w:lineRule="auto"/>
              <w:jc w:val="center"/>
              <w:textAlignment w:val="baseline"/>
              <w:rPr>
                <w:rFonts w:eastAsia="Times New Roman" w:cs="Calibri Light"/>
                <w:sz w:val="17"/>
                <w:szCs w:val="17"/>
                <w:lang w:eastAsia="en-AU"/>
              </w:rPr>
            </w:pPr>
            <w:r w:rsidRPr="000C7CF4">
              <w:rPr>
                <w:rFonts w:eastAsia="Times New Roman" w:cs="Calibri Light"/>
                <w:sz w:val="17"/>
                <w:szCs w:val="17"/>
                <w:lang w:eastAsia="en-AU"/>
              </w:rPr>
              <w:t>-1</w:t>
            </w:r>
          </w:p>
        </w:tc>
      </w:tr>
      <w:tr w:rsidR="00276A67" w:rsidRPr="00BE0334" w14:paraId="70D59446" w14:textId="77777777">
        <w:trPr>
          <w:trHeight w:val="375"/>
        </w:trPr>
        <w:tc>
          <w:tcPr>
            <w:tcW w:w="2108" w:type="pct"/>
            <w:tcBorders>
              <w:top w:val="single" w:sz="6" w:space="0" w:color="000000"/>
              <w:left w:val="nil"/>
              <w:bottom w:val="single" w:sz="6" w:space="0" w:color="000000"/>
              <w:right w:val="nil"/>
            </w:tcBorders>
            <w:shd w:val="clear" w:color="auto" w:fill="auto"/>
            <w:vAlign w:val="center"/>
          </w:tcPr>
          <w:p w14:paraId="039857F5" w14:textId="77777777" w:rsidR="00276A67" w:rsidRPr="000C7CF4" w:rsidRDefault="00276A67">
            <w:pPr>
              <w:spacing w:line="240" w:lineRule="auto"/>
              <w:textAlignment w:val="baseline"/>
              <w:rPr>
                <w:rFonts w:eastAsia="Times New Roman" w:cs="Calibri Light"/>
                <w:b/>
                <w:color w:val="000000"/>
                <w:sz w:val="17"/>
                <w:szCs w:val="17"/>
                <w:lang w:val="en-GB" w:eastAsia="en-AU"/>
              </w:rPr>
            </w:pPr>
            <w:r w:rsidRPr="000C7CF4">
              <w:rPr>
                <w:rFonts w:eastAsia="Times New Roman" w:cs="Calibri Light"/>
                <w:b/>
                <w:color w:val="000000"/>
                <w:sz w:val="17"/>
                <w:szCs w:val="17"/>
                <w:lang w:val="en-GB" w:eastAsia="en-AU"/>
              </w:rPr>
              <w:t>Total Weighted Score</w:t>
            </w:r>
          </w:p>
        </w:tc>
        <w:tc>
          <w:tcPr>
            <w:tcW w:w="673" w:type="pct"/>
            <w:tcBorders>
              <w:top w:val="single" w:sz="6" w:space="0" w:color="000000"/>
              <w:left w:val="nil"/>
              <w:bottom w:val="single" w:sz="6" w:space="0" w:color="000000"/>
              <w:right w:val="nil"/>
            </w:tcBorders>
          </w:tcPr>
          <w:p w14:paraId="0673076E" w14:textId="77777777" w:rsidR="00276A67" w:rsidRPr="000C7CF4" w:rsidRDefault="00276A67">
            <w:pPr>
              <w:spacing w:line="240" w:lineRule="auto"/>
              <w:jc w:val="center"/>
              <w:textAlignment w:val="baseline"/>
              <w:rPr>
                <w:rFonts w:eastAsia="Times New Roman" w:cs="Calibri Light"/>
                <w:b/>
                <w:color w:val="000000"/>
                <w:sz w:val="17"/>
                <w:szCs w:val="17"/>
                <w:lang w:val="en-GB" w:eastAsia="en-AU"/>
              </w:rPr>
            </w:pPr>
          </w:p>
        </w:tc>
        <w:tc>
          <w:tcPr>
            <w:tcW w:w="1225" w:type="pct"/>
            <w:gridSpan w:val="2"/>
            <w:tcBorders>
              <w:top w:val="single" w:sz="6" w:space="0" w:color="000000"/>
              <w:left w:val="nil"/>
              <w:bottom w:val="single" w:sz="6" w:space="0" w:color="000000"/>
              <w:right w:val="nil"/>
            </w:tcBorders>
            <w:shd w:val="clear" w:color="auto" w:fill="auto"/>
            <w:vAlign w:val="center"/>
          </w:tcPr>
          <w:p w14:paraId="05F0CDFF" w14:textId="77777777" w:rsidR="00276A67" w:rsidRPr="000C7CF4" w:rsidRDefault="00276A67">
            <w:pPr>
              <w:spacing w:line="240" w:lineRule="auto"/>
              <w:jc w:val="center"/>
              <w:textAlignment w:val="baseline"/>
              <w:rPr>
                <w:rFonts w:eastAsia="Times New Roman" w:cs="Calibri Light"/>
                <w:b/>
                <w:color w:val="000000"/>
                <w:sz w:val="17"/>
                <w:szCs w:val="17"/>
                <w:lang w:val="en-GB" w:eastAsia="en-AU"/>
              </w:rPr>
            </w:pPr>
            <w:r w:rsidRPr="000C7CF4">
              <w:rPr>
                <w:rFonts w:eastAsia="Times New Roman" w:cs="Calibri Light"/>
                <w:b/>
                <w:color w:val="000000"/>
                <w:sz w:val="17"/>
                <w:szCs w:val="17"/>
                <w:lang w:val="en-GB" w:eastAsia="en-AU"/>
              </w:rPr>
              <w:t>0</w:t>
            </w:r>
          </w:p>
        </w:tc>
        <w:tc>
          <w:tcPr>
            <w:tcW w:w="994" w:type="pct"/>
            <w:tcBorders>
              <w:top w:val="single" w:sz="6" w:space="0" w:color="000000"/>
              <w:left w:val="nil"/>
              <w:bottom w:val="single" w:sz="6" w:space="0" w:color="000000"/>
              <w:right w:val="nil"/>
            </w:tcBorders>
            <w:shd w:val="clear" w:color="auto" w:fill="auto"/>
            <w:vAlign w:val="center"/>
          </w:tcPr>
          <w:p w14:paraId="021B6A9C" w14:textId="77777777" w:rsidR="00276A67" w:rsidRPr="000C7CF4" w:rsidRDefault="00276A67">
            <w:pPr>
              <w:spacing w:line="240" w:lineRule="auto"/>
              <w:jc w:val="center"/>
              <w:textAlignment w:val="baseline"/>
              <w:rPr>
                <w:rFonts w:eastAsia="Times New Roman" w:cs="Calibri Light"/>
                <w:b/>
                <w:color w:val="000000"/>
                <w:sz w:val="17"/>
                <w:szCs w:val="17"/>
                <w:lang w:val="en-GB" w:eastAsia="en-AU"/>
              </w:rPr>
            </w:pPr>
            <w:r w:rsidRPr="000C7CF4">
              <w:rPr>
                <w:rFonts w:eastAsia="Times New Roman" w:cs="Calibri Light"/>
                <w:b/>
                <w:color w:val="000000"/>
                <w:sz w:val="17"/>
                <w:szCs w:val="17"/>
                <w:lang w:val="en-GB" w:eastAsia="en-AU"/>
              </w:rPr>
              <w:t>1.75</w:t>
            </w:r>
          </w:p>
        </w:tc>
      </w:tr>
    </w:tbl>
    <w:p w14:paraId="0E6A4366" w14:textId="77777777" w:rsidR="006903F6" w:rsidRDefault="006903F6" w:rsidP="006903F6"/>
    <w:p w14:paraId="2D5B2BD0" w14:textId="63EFEDA7" w:rsidR="00BF0A5B" w:rsidRDefault="006903F6" w:rsidP="006903F6">
      <w:r>
        <w:t xml:space="preserve">The results of the MCA show that Option 1 scored positively compared to the </w:t>
      </w:r>
      <w:r w:rsidR="00482A05">
        <w:t xml:space="preserve">Reference </w:t>
      </w:r>
      <w:r>
        <w:t xml:space="preserve">Case, meaning it would be more likely to deliver a net benefit to the community than the </w:t>
      </w:r>
      <w:r w:rsidR="00482A05">
        <w:t>Reference Case</w:t>
      </w:r>
      <w:r>
        <w:t xml:space="preserve">. In considering all additional requirements posed by the Regulations, the total annual average cost to industry from the Regulations </w:t>
      </w:r>
      <w:r w:rsidR="000534A6">
        <w:t xml:space="preserve">is </w:t>
      </w:r>
      <w:r>
        <w:t xml:space="preserve">estimated to be $1.6 million (undiscounted), with the total net present value of $13.27 million over ten years. </w:t>
      </w:r>
      <w:r w:rsidR="00BF0A5B">
        <w:t xml:space="preserve">These costs </w:t>
      </w:r>
      <w:r w:rsidR="003146A4">
        <w:t>include the</w:t>
      </w:r>
      <w:r w:rsidR="00BF0A5B">
        <w:t xml:space="preserve"> additional requirements that are placed on current registration holders </w:t>
      </w:r>
      <w:r w:rsidR="009652B7">
        <w:t>to meet the single-tier licencing standards (as they transition away from being registration holders to licence holders).</w:t>
      </w:r>
    </w:p>
    <w:p w14:paraId="201E05B6" w14:textId="47C7B437" w:rsidR="006903F6" w:rsidRDefault="006903F6" w:rsidP="006903F6">
      <w:r>
        <w:t>While there are higher compliance and administration costs for industry and government under Option 1, the benefits provided by this option in terms of the competency and probity of the industry outweigh these costs.</w:t>
      </w:r>
      <w:r w:rsidR="00CE306A">
        <w:t xml:space="preserve"> </w:t>
      </w:r>
      <w:r w:rsidR="00CE306A" w:rsidRPr="00CE306A">
        <w:t xml:space="preserve">The additional details that are captured </w:t>
      </w:r>
      <w:r w:rsidR="00CE306A">
        <w:t xml:space="preserve">on licence holders </w:t>
      </w:r>
      <w:r w:rsidR="00CE306A" w:rsidRPr="00CE306A">
        <w:t>through the</w:t>
      </w:r>
      <w:r w:rsidR="00CE306A">
        <w:t xml:space="preserve"> prescribed regulatory</w:t>
      </w:r>
      <w:r w:rsidR="00CE306A" w:rsidRPr="00CE306A">
        <w:t xml:space="preserve"> requirements provides the Victorian community with additional confirmation of the probity and competency of licence holders and creates consistency in how information is managed on the register.</w:t>
      </w:r>
    </w:p>
    <w:p w14:paraId="58486724" w14:textId="21C64FCE" w:rsidR="006903F6" w:rsidRDefault="006903F6" w:rsidP="006903F6">
      <w:pPr>
        <w:pStyle w:val="Heading2"/>
      </w:pPr>
      <w:bookmarkStart w:id="104" w:name="_Toc189832264"/>
      <w:r>
        <w:t>Remaking the f</w:t>
      </w:r>
      <w:r w:rsidR="00F133B9">
        <w:t>ee requirements</w:t>
      </w:r>
      <w:bookmarkEnd w:id="104"/>
    </w:p>
    <w:p w14:paraId="5BD94794" w14:textId="0E304F55" w:rsidR="00F133B9" w:rsidRPr="00672AE8" w:rsidRDefault="00FF15A1" w:rsidP="00F133B9">
      <w:r>
        <w:t>Of the two options for remaking fees assessed in this RIS, the</w:t>
      </w:r>
      <w:r w:rsidR="00CE306A" w:rsidRPr="00CE306A">
        <w:t xml:space="preserve"> preferred option (Option </w:t>
      </w:r>
      <w:r w:rsidR="00CE306A">
        <w:t>2</w:t>
      </w:r>
      <w:r w:rsidR="00CE306A" w:rsidRPr="00CE306A">
        <w:t xml:space="preserve">) is to remake the </w:t>
      </w:r>
      <w:r w:rsidR="00CC2868">
        <w:t xml:space="preserve">fee structure in the </w:t>
      </w:r>
      <w:r w:rsidR="004B667B">
        <w:t>R</w:t>
      </w:r>
      <w:r w:rsidR="00CE306A" w:rsidRPr="00CE306A">
        <w:t xml:space="preserve">egulations with </w:t>
      </w:r>
      <w:r w:rsidR="00CC2868">
        <w:t>v</w:t>
      </w:r>
      <w:r w:rsidR="00CC2868" w:rsidRPr="00CC2868">
        <w:t>ariable fees based on application complexity</w:t>
      </w:r>
      <w:r w:rsidR="00CC2868">
        <w:t xml:space="preserve">. </w:t>
      </w:r>
      <w:r w:rsidR="00CC2868" w:rsidRPr="00CC2868">
        <w:t>Option 2 would involve re-structuring fees to incorporate both Class A and Class B activities under the same fee schedule, with variable pricing depending on the number of activities included on each licence application.</w:t>
      </w:r>
      <w:r w:rsidR="00835BCE">
        <w:t xml:space="preserve"> </w:t>
      </w:r>
      <w:r w:rsidR="00F133B9">
        <w:fldChar w:fldCharType="begin"/>
      </w:r>
      <w:r w:rsidR="00F133B9">
        <w:instrText xml:space="preserve"> REF _Ref172197489 \h </w:instrText>
      </w:r>
      <w:r w:rsidR="00F133B9">
        <w:fldChar w:fldCharType="separate"/>
      </w:r>
      <w:r w:rsidR="009D133E">
        <w:t xml:space="preserve">Table </w:t>
      </w:r>
      <w:r w:rsidR="009D133E">
        <w:rPr>
          <w:noProof/>
        </w:rPr>
        <w:t>6</w:t>
      </w:r>
      <w:r w:rsidR="009D133E">
        <w:t>.</w:t>
      </w:r>
      <w:r w:rsidR="009D133E">
        <w:rPr>
          <w:noProof/>
        </w:rPr>
        <w:t>2</w:t>
      </w:r>
      <w:r w:rsidR="00F133B9">
        <w:fldChar w:fldCharType="end"/>
      </w:r>
      <w:r w:rsidR="00F133B9">
        <w:t xml:space="preserve"> below presents a summary of the MCA scores assigned to the criteria, reflecting the discussion throughout this chapter. The scores are weighted </w:t>
      </w:r>
      <w:r w:rsidR="00835BCE">
        <w:t>(</w:t>
      </w:r>
      <w:r w:rsidR="00F133B9">
        <w:t xml:space="preserve">as per the framework outlined in Chapter 3) to produce a weighted score for each option. The results of the MCA show that Option 2 is the preferred option for setting the fee structure as it has the highest weighted score of the two options considered. </w:t>
      </w:r>
    </w:p>
    <w:p w14:paraId="399BE9C2" w14:textId="1C7CD86C" w:rsidR="00F133B9" w:rsidRDefault="00F133B9" w:rsidP="00F133B9">
      <w:pPr>
        <w:pStyle w:val="Caption"/>
      </w:pPr>
      <w:bookmarkStart w:id="105" w:name="_Ref172197489"/>
      <w:r>
        <w:lastRenderedPageBreak/>
        <w:t xml:space="preserve">Table </w:t>
      </w:r>
      <w:r w:rsidR="00414520">
        <w:fldChar w:fldCharType="begin"/>
      </w:r>
      <w:r w:rsidR="00414520">
        <w:instrText xml:space="preserve"> STYLEREF 1 \s </w:instrText>
      </w:r>
      <w:r w:rsidR="00414520">
        <w:fldChar w:fldCharType="separate"/>
      </w:r>
      <w:r w:rsidR="009D133E">
        <w:rPr>
          <w:noProof/>
        </w:rPr>
        <w:t>6</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2</w:t>
      </w:r>
      <w:r w:rsidR="00414520">
        <w:fldChar w:fldCharType="end"/>
      </w:r>
      <w:bookmarkEnd w:id="105"/>
      <w:r>
        <w:t xml:space="preserve">: Summary of total scores for the fee structure </w:t>
      </w:r>
    </w:p>
    <w:tbl>
      <w:tblPr>
        <w:tblStyle w:val="Deloittetable"/>
        <w:tblW w:w="5000" w:type="pct"/>
        <w:tblLook w:val="04A0" w:firstRow="1" w:lastRow="0" w:firstColumn="1" w:lastColumn="0" w:noHBand="0" w:noVBand="1"/>
      </w:tblPr>
      <w:tblGrid>
        <w:gridCol w:w="1902"/>
        <w:gridCol w:w="1933"/>
        <w:gridCol w:w="1935"/>
        <w:gridCol w:w="1933"/>
        <w:gridCol w:w="1935"/>
      </w:tblGrid>
      <w:tr w:rsidR="00F133B9" w14:paraId="0B337BB9" w14:textId="77777777">
        <w:trPr>
          <w:cnfStyle w:val="100000000000" w:firstRow="1" w:lastRow="0" w:firstColumn="0" w:lastColumn="0" w:oddVBand="0" w:evenVBand="0" w:oddHBand="0" w:evenHBand="0" w:firstRowFirstColumn="0" w:firstRowLastColumn="0" w:lastRowFirstColumn="0" w:lastRowLastColumn="0"/>
          <w:tblHeader/>
        </w:trPr>
        <w:tc>
          <w:tcPr>
            <w:tcW w:w="986" w:type="pct"/>
          </w:tcPr>
          <w:p w14:paraId="2D638E05" w14:textId="77777777" w:rsidR="00F133B9" w:rsidRPr="004B053C" w:rsidRDefault="00F133B9">
            <w:pPr>
              <w:rPr>
                <w:b/>
                <w:bCs/>
              </w:rPr>
            </w:pPr>
            <w:r>
              <w:rPr>
                <w:b/>
                <w:bCs/>
              </w:rPr>
              <w:t>Criterion</w:t>
            </w:r>
          </w:p>
        </w:tc>
        <w:tc>
          <w:tcPr>
            <w:tcW w:w="1003" w:type="pct"/>
          </w:tcPr>
          <w:p w14:paraId="5F4C27C9" w14:textId="77777777" w:rsidR="00F133B9" w:rsidRPr="004B053C" w:rsidRDefault="00F133B9">
            <w:pPr>
              <w:jc w:val="center"/>
              <w:rPr>
                <w:b/>
                <w:bCs/>
              </w:rPr>
            </w:pPr>
            <w:r>
              <w:rPr>
                <w:b/>
                <w:bCs/>
              </w:rPr>
              <w:t>Weight</w:t>
            </w:r>
          </w:p>
        </w:tc>
        <w:tc>
          <w:tcPr>
            <w:tcW w:w="1004" w:type="pct"/>
          </w:tcPr>
          <w:p w14:paraId="079F3F49" w14:textId="0EE17457" w:rsidR="00F133B9" w:rsidRPr="004B053C" w:rsidRDefault="00482A05">
            <w:pPr>
              <w:jc w:val="center"/>
              <w:rPr>
                <w:b/>
                <w:bCs/>
              </w:rPr>
            </w:pPr>
            <w:r>
              <w:rPr>
                <w:b/>
                <w:bCs/>
              </w:rPr>
              <w:t xml:space="preserve">Reference </w:t>
            </w:r>
            <w:r w:rsidR="00F133B9">
              <w:rPr>
                <w:b/>
                <w:bCs/>
              </w:rPr>
              <w:t>Case</w:t>
            </w:r>
          </w:p>
        </w:tc>
        <w:tc>
          <w:tcPr>
            <w:tcW w:w="1003" w:type="pct"/>
          </w:tcPr>
          <w:p w14:paraId="034B9144" w14:textId="77777777" w:rsidR="00F133B9" w:rsidRDefault="00F133B9">
            <w:pPr>
              <w:jc w:val="center"/>
              <w:rPr>
                <w:b/>
                <w:bCs/>
              </w:rPr>
            </w:pPr>
            <w:r>
              <w:rPr>
                <w:b/>
                <w:bCs/>
              </w:rPr>
              <w:t>Option 1</w:t>
            </w:r>
          </w:p>
          <w:p w14:paraId="05108498" w14:textId="77777777" w:rsidR="00F133B9" w:rsidRPr="004B053C" w:rsidRDefault="00F133B9">
            <w:pPr>
              <w:jc w:val="center"/>
              <w:rPr>
                <w:b/>
                <w:bCs/>
              </w:rPr>
            </w:pPr>
            <w:r>
              <w:rPr>
                <w:b/>
                <w:bCs/>
              </w:rPr>
              <w:t>S</w:t>
            </w:r>
            <w:r w:rsidRPr="000C45AE">
              <w:rPr>
                <w:b/>
                <w:bCs/>
              </w:rPr>
              <w:t xml:space="preserve">ingle fee for individual and a single fee for </w:t>
            </w:r>
            <w:r>
              <w:rPr>
                <w:b/>
                <w:bCs/>
              </w:rPr>
              <w:t>business</w:t>
            </w:r>
          </w:p>
        </w:tc>
        <w:tc>
          <w:tcPr>
            <w:tcW w:w="1004" w:type="pct"/>
          </w:tcPr>
          <w:p w14:paraId="65BB791C" w14:textId="77777777" w:rsidR="00F133B9" w:rsidRDefault="00F133B9">
            <w:pPr>
              <w:jc w:val="center"/>
              <w:rPr>
                <w:b/>
                <w:bCs/>
              </w:rPr>
            </w:pPr>
            <w:r>
              <w:rPr>
                <w:b/>
                <w:bCs/>
              </w:rPr>
              <w:t>Option 2</w:t>
            </w:r>
          </w:p>
          <w:p w14:paraId="6422195A" w14:textId="77777777" w:rsidR="00F133B9" w:rsidRPr="004B053C" w:rsidRDefault="00F133B9">
            <w:pPr>
              <w:jc w:val="center"/>
              <w:rPr>
                <w:b/>
                <w:bCs/>
              </w:rPr>
            </w:pPr>
            <w:r>
              <w:rPr>
                <w:b/>
                <w:bCs/>
              </w:rPr>
              <w:t>Variable fees based on application complexity</w:t>
            </w:r>
          </w:p>
        </w:tc>
      </w:tr>
      <w:tr w:rsidR="00F133B9" w14:paraId="6EE6F9FC" w14:textId="77777777">
        <w:tc>
          <w:tcPr>
            <w:tcW w:w="986" w:type="pct"/>
          </w:tcPr>
          <w:p w14:paraId="511E1C82" w14:textId="77777777" w:rsidR="00F133B9" w:rsidRDefault="00F133B9">
            <w:r>
              <w:t>Effectiveness</w:t>
            </w:r>
          </w:p>
        </w:tc>
        <w:tc>
          <w:tcPr>
            <w:tcW w:w="1003" w:type="pct"/>
          </w:tcPr>
          <w:p w14:paraId="0B3878D4" w14:textId="77777777" w:rsidR="00F133B9" w:rsidRDefault="00F133B9">
            <w:pPr>
              <w:jc w:val="center"/>
            </w:pPr>
            <w:r>
              <w:t>40%</w:t>
            </w:r>
          </w:p>
        </w:tc>
        <w:tc>
          <w:tcPr>
            <w:tcW w:w="1004" w:type="pct"/>
          </w:tcPr>
          <w:p w14:paraId="10800914" w14:textId="77777777" w:rsidR="00F133B9" w:rsidRDefault="00F133B9">
            <w:pPr>
              <w:jc w:val="center"/>
            </w:pPr>
            <w:r>
              <w:t>0</w:t>
            </w:r>
          </w:p>
        </w:tc>
        <w:tc>
          <w:tcPr>
            <w:tcW w:w="1003" w:type="pct"/>
          </w:tcPr>
          <w:p w14:paraId="1AE8F040" w14:textId="77777777" w:rsidR="00F133B9" w:rsidRDefault="00F133B9">
            <w:pPr>
              <w:jc w:val="center"/>
            </w:pPr>
            <w:r>
              <w:t>10</w:t>
            </w:r>
          </w:p>
        </w:tc>
        <w:tc>
          <w:tcPr>
            <w:tcW w:w="1004" w:type="pct"/>
          </w:tcPr>
          <w:p w14:paraId="755592A0" w14:textId="77777777" w:rsidR="00F133B9" w:rsidRDefault="00F133B9">
            <w:pPr>
              <w:jc w:val="center"/>
            </w:pPr>
            <w:r>
              <w:t>10</w:t>
            </w:r>
          </w:p>
        </w:tc>
      </w:tr>
      <w:tr w:rsidR="00F133B9" w14:paraId="59623968" w14:textId="77777777">
        <w:tc>
          <w:tcPr>
            <w:tcW w:w="986" w:type="pct"/>
          </w:tcPr>
          <w:p w14:paraId="2E112E1C" w14:textId="77777777" w:rsidR="00F133B9" w:rsidRDefault="00F133B9">
            <w:r>
              <w:t>Equity</w:t>
            </w:r>
          </w:p>
        </w:tc>
        <w:tc>
          <w:tcPr>
            <w:tcW w:w="1003" w:type="pct"/>
          </w:tcPr>
          <w:p w14:paraId="6422C1DC" w14:textId="77777777" w:rsidR="00F133B9" w:rsidRDefault="00F133B9">
            <w:pPr>
              <w:jc w:val="center"/>
            </w:pPr>
            <w:r>
              <w:t>40%</w:t>
            </w:r>
          </w:p>
        </w:tc>
        <w:tc>
          <w:tcPr>
            <w:tcW w:w="1004" w:type="pct"/>
          </w:tcPr>
          <w:p w14:paraId="2473FF06" w14:textId="77777777" w:rsidR="00F133B9" w:rsidRDefault="00F133B9">
            <w:pPr>
              <w:jc w:val="center"/>
            </w:pPr>
            <w:r>
              <w:t>0</w:t>
            </w:r>
          </w:p>
        </w:tc>
        <w:tc>
          <w:tcPr>
            <w:tcW w:w="1003" w:type="pct"/>
          </w:tcPr>
          <w:p w14:paraId="110B4473" w14:textId="77777777" w:rsidR="00F133B9" w:rsidRDefault="00F133B9">
            <w:pPr>
              <w:jc w:val="center"/>
            </w:pPr>
            <w:r>
              <w:t>4</w:t>
            </w:r>
          </w:p>
        </w:tc>
        <w:tc>
          <w:tcPr>
            <w:tcW w:w="1004" w:type="pct"/>
          </w:tcPr>
          <w:p w14:paraId="784DBD40" w14:textId="77777777" w:rsidR="00F133B9" w:rsidRDefault="00F133B9">
            <w:pPr>
              <w:jc w:val="center"/>
            </w:pPr>
            <w:r>
              <w:t>6</w:t>
            </w:r>
          </w:p>
        </w:tc>
      </w:tr>
      <w:tr w:rsidR="00F133B9" w14:paraId="3DD547F6" w14:textId="77777777">
        <w:tc>
          <w:tcPr>
            <w:tcW w:w="986" w:type="pct"/>
          </w:tcPr>
          <w:p w14:paraId="2841400C" w14:textId="77777777" w:rsidR="00F133B9" w:rsidRDefault="00F133B9">
            <w:r>
              <w:t>Simplicity</w:t>
            </w:r>
          </w:p>
        </w:tc>
        <w:tc>
          <w:tcPr>
            <w:tcW w:w="1003" w:type="pct"/>
          </w:tcPr>
          <w:p w14:paraId="6A42CA19" w14:textId="77777777" w:rsidR="00F133B9" w:rsidRDefault="00F133B9">
            <w:pPr>
              <w:jc w:val="center"/>
            </w:pPr>
            <w:r>
              <w:t>20%</w:t>
            </w:r>
          </w:p>
        </w:tc>
        <w:tc>
          <w:tcPr>
            <w:tcW w:w="1004" w:type="pct"/>
          </w:tcPr>
          <w:p w14:paraId="1F5014B3" w14:textId="77777777" w:rsidR="00F133B9" w:rsidRDefault="00F133B9">
            <w:pPr>
              <w:jc w:val="center"/>
            </w:pPr>
            <w:r>
              <w:t>0</w:t>
            </w:r>
          </w:p>
        </w:tc>
        <w:tc>
          <w:tcPr>
            <w:tcW w:w="1003" w:type="pct"/>
          </w:tcPr>
          <w:p w14:paraId="5E36D4EB" w14:textId="77777777" w:rsidR="00F133B9" w:rsidRPr="00C56E1A" w:rsidRDefault="00F133B9">
            <w:pPr>
              <w:jc w:val="center"/>
            </w:pPr>
            <w:r>
              <w:t>-1</w:t>
            </w:r>
          </w:p>
        </w:tc>
        <w:tc>
          <w:tcPr>
            <w:tcW w:w="1004" w:type="pct"/>
          </w:tcPr>
          <w:p w14:paraId="7893168E" w14:textId="77777777" w:rsidR="00F133B9" w:rsidRPr="00C56E1A" w:rsidRDefault="00F133B9">
            <w:pPr>
              <w:jc w:val="center"/>
            </w:pPr>
            <w:r>
              <w:t>-1.5</w:t>
            </w:r>
          </w:p>
        </w:tc>
      </w:tr>
      <w:tr w:rsidR="00F133B9" w14:paraId="29A6BD74" w14:textId="77777777">
        <w:tc>
          <w:tcPr>
            <w:tcW w:w="986" w:type="pct"/>
          </w:tcPr>
          <w:p w14:paraId="3A36844E" w14:textId="77777777" w:rsidR="00F133B9" w:rsidRPr="008A7E46" w:rsidRDefault="00F133B9">
            <w:pPr>
              <w:rPr>
                <w:b/>
                <w:bCs/>
              </w:rPr>
            </w:pPr>
            <w:r w:rsidRPr="008A7E46">
              <w:rPr>
                <w:b/>
                <w:bCs/>
              </w:rPr>
              <w:t>Weighted score</w:t>
            </w:r>
          </w:p>
        </w:tc>
        <w:tc>
          <w:tcPr>
            <w:tcW w:w="1003" w:type="pct"/>
          </w:tcPr>
          <w:p w14:paraId="587E794E" w14:textId="77777777" w:rsidR="00F133B9" w:rsidRPr="008A7E46" w:rsidRDefault="00F133B9">
            <w:pPr>
              <w:jc w:val="center"/>
              <w:rPr>
                <w:b/>
                <w:bCs/>
              </w:rPr>
            </w:pPr>
          </w:p>
        </w:tc>
        <w:tc>
          <w:tcPr>
            <w:tcW w:w="1004" w:type="pct"/>
          </w:tcPr>
          <w:p w14:paraId="07007E6E" w14:textId="77777777" w:rsidR="00F133B9" w:rsidRPr="008A7E46" w:rsidRDefault="00F133B9">
            <w:pPr>
              <w:jc w:val="center"/>
              <w:rPr>
                <w:b/>
                <w:bCs/>
              </w:rPr>
            </w:pPr>
            <w:r>
              <w:rPr>
                <w:b/>
                <w:bCs/>
              </w:rPr>
              <w:t>0</w:t>
            </w:r>
          </w:p>
        </w:tc>
        <w:tc>
          <w:tcPr>
            <w:tcW w:w="1003" w:type="pct"/>
          </w:tcPr>
          <w:p w14:paraId="38FEF450" w14:textId="77777777" w:rsidR="00F133B9" w:rsidRPr="008A7E46" w:rsidRDefault="00F133B9">
            <w:pPr>
              <w:jc w:val="center"/>
              <w:rPr>
                <w:b/>
                <w:bCs/>
              </w:rPr>
            </w:pPr>
            <w:r>
              <w:rPr>
                <w:b/>
                <w:bCs/>
              </w:rPr>
              <w:t>5.40</w:t>
            </w:r>
          </w:p>
        </w:tc>
        <w:tc>
          <w:tcPr>
            <w:tcW w:w="1004" w:type="pct"/>
          </w:tcPr>
          <w:p w14:paraId="27EF7D4D" w14:textId="77777777" w:rsidR="00F133B9" w:rsidRPr="008A7E46" w:rsidRDefault="00F133B9">
            <w:pPr>
              <w:jc w:val="center"/>
              <w:rPr>
                <w:b/>
                <w:bCs/>
              </w:rPr>
            </w:pPr>
            <w:r>
              <w:rPr>
                <w:b/>
                <w:bCs/>
              </w:rPr>
              <w:t>6.10</w:t>
            </w:r>
          </w:p>
        </w:tc>
      </w:tr>
    </w:tbl>
    <w:p w14:paraId="005AF926" w14:textId="32847161" w:rsidR="00E47D75" w:rsidRDefault="004A7023" w:rsidP="00F133B9">
      <w:pPr>
        <w:spacing w:before="120"/>
      </w:pPr>
      <w:r>
        <w:t xml:space="preserve">Table </w:t>
      </w:r>
      <w:r w:rsidR="00414520">
        <w:t>6.3</w:t>
      </w:r>
      <w:r>
        <w:t xml:space="preserve"> below outlines the proposed new fee structure compared to the current fees</w:t>
      </w:r>
      <w:r w:rsidR="00657FD2">
        <w:t xml:space="preserve"> for licence applications</w:t>
      </w:r>
      <w:r>
        <w:t>. The changes to the fee structure reflect the introduction of single-tier licencing system (and the removal of registrations)</w:t>
      </w:r>
      <w:r w:rsidR="004A72F8">
        <w:t>, which results in a consolidation of fee categories and an expansion in the number of activities that an individual or business can be licenced for</w:t>
      </w:r>
      <w:r w:rsidR="004A72F8" w:rsidRPr="00573CC0">
        <w:t>.</w:t>
      </w:r>
      <w:r w:rsidR="00657FD2" w:rsidRPr="00573CC0">
        <w:t xml:space="preserve"> In line with the approach to analysis of fee options, permits for interstate and international bodyguards working in Victoria temporarily </w:t>
      </w:r>
      <w:r w:rsidR="00311252">
        <w:t xml:space="preserve">and the fee for issuing a duplicate licence document </w:t>
      </w:r>
      <w:r w:rsidR="00657FD2" w:rsidRPr="00573CC0">
        <w:t xml:space="preserve">are not included in the table and these fee types would remain the same as in the </w:t>
      </w:r>
      <w:r w:rsidR="00657FD2" w:rsidRPr="00BA1625">
        <w:t>current Regulations.</w:t>
      </w:r>
      <w:r w:rsidR="00144AC4" w:rsidRPr="00BA1625">
        <w:t xml:space="preserve"> Additional fee tables </w:t>
      </w:r>
      <w:r w:rsidR="00FD7A86" w:rsidRPr="00BA1625">
        <w:t>t</w:t>
      </w:r>
      <w:r w:rsidR="00A8399B" w:rsidRPr="00BA1625">
        <w:t xml:space="preserve">hat provide a breakdown </w:t>
      </w:r>
      <w:r w:rsidR="00334751" w:rsidRPr="00BA1625">
        <w:t>of application</w:t>
      </w:r>
      <w:r w:rsidR="00B51669" w:rsidRPr="00BA1625">
        <w:t>, licence maintenance and other fee types are included in Appendix A.4.</w:t>
      </w:r>
      <w:r w:rsidR="00B51669">
        <w:t xml:space="preserve"> </w:t>
      </w:r>
    </w:p>
    <w:p w14:paraId="38777589" w14:textId="50CC40F2" w:rsidR="004A72F8" w:rsidRDefault="00414520" w:rsidP="00414520">
      <w:pPr>
        <w:pStyle w:val="Caption"/>
      </w:pPr>
      <w:r>
        <w:t xml:space="preserve">Table </w:t>
      </w:r>
      <w:r>
        <w:fldChar w:fldCharType="begin"/>
      </w:r>
      <w:r>
        <w:instrText xml:space="preserve"> STYLEREF 1 \s </w:instrText>
      </w:r>
      <w:r>
        <w:fldChar w:fldCharType="separate"/>
      </w:r>
      <w:r w:rsidR="009D133E">
        <w:rPr>
          <w:noProof/>
        </w:rPr>
        <w:t>6</w:t>
      </w:r>
      <w:r>
        <w:fldChar w:fldCharType="end"/>
      </w:r>
      <w:r>
        <w:t>.</w:t>
      </w:r>
      <w:r>
        <w:fldChar w:fldCharType="begin"/>
      </w:r>
      <w:r>
        <w:instrText xml:space="preserve"> SEQ Table \* ARABIC \s 1 </w:instrText>
      </w:r>
      <w:r>
        <w:fldChar w:fldCharType="separate"/>
      </w:r>
      <w:r w:rsidR="009D133E">
        <w:rPr>
          <w:noProof/>
        </w:rPr>
        <w:t>3</w:t>
      </w:r>
      <w:r>
        <w:fldChar w:fldCharType="end"/>
      </w:r>
      <w:r w:rsidR="004A72F8" w:rsidRPr="00E837D2">
        <w:t xml:space="preserve">: </w:t>
      </w:r>
      <w:r w:rsidR="004A72F8">
        <w:t xml:space="preserve">Proposed fees compared to existing fees </w:t>
      </w:r>
    </w:p>
    <w:tbl>
      <w:tblPr>
        <w:tblStyle w:val="Deloittetable"/>
        <w:tblW w:w="5000" w:type="pct"/>
        <w:tblLook w:val="04A0" w:firstRow="1" w:lastRow="0" w:firstColumn="1" w:lastColumn="0" w:noHBand="0" w:noVBand="1"/>
      </w:tblPr>
      <w:tblGrid>
        <w:gridCol w:w="1607"/>
        <w:gridCol w:w="1607"/>
        <w:gridCol w:w="1606"/>
        <w:gridCol w:w="1606"/>
        <w:gridCol w:w="1606"/>
        <w:gridCol w:w="1606"/>
      </w:tblGrid>
      <w:tr w:rsidR="00AF156B" w:rsidRPr="00294696" w14:paraId="531AE55F" w14:textId="5B31DB4C" w:rsidTr="00D13FCC">
        <w:trPr>
          <w:cnfStyle w:val="100000000000" w:firstRow="1" w:lastRow="0" w:firstColumn="0" w:lastColumn="0" w:oddVBand="0" w:evenVBand="0" w:oddHBand="0" w:evenHBand="0" w:firstRowFirstColumn="0" w:firstRowLastColumn="0" w:lastRowFirstColumn="0" w:lastRowLastColumn="0"/>
          <w:tblHeader/>
        </w:trPr>
        <w:tc>
          <w:tcPr>
            <w:tcW w:w="834" w:type="pct"/>
          </w:tcPr>
          <w:p w14:paraId="59E4DE7C" w14:textId="77777777" w:rsidR="00AF156B" w:rsidRPr="002F3D61" w:rsidRDefault="00AF156B">
            <w:pPr>
              <w:pStyle w:val="TabletextLeft"/>
              <w:ind w:left="0"/>
              <w:rPr>
                <w:b/>
                <w:bCs/>
              </w:rPr>
            </w:pPr>
            <w:r w:rsidRPr="002F3D61">
              <w:rPr>
                <w:b/>
                <w:bCs/>
              </w:rPr>
              <w:t>Category</w:t>
            </w:r>
          </w:p>
        </w:tc>
        <w:tc>
          <w:tcPr>
            <w:tcW w:w="834" w:type="pct"/>
            <w:vAlign w:val="center"/>
          </w:tcPr>
          <w:p w14:paraId="3C383375" w14:textId="47F60305" w:rsidR="00AF156B" w:rsidRPr="002F3D61" w:rsidRDefault="00AF156B" w:rsidP="00D13FCC">
            <w:pPr>
              <w:pStyle w:val="TabletextLeft"/>
              <w:jc w:val="center"/>
              <w:rPr>
                <w:b/>
                <w:bCs/>
              </w:rPr>
            </w:pPr>
            <w:r>
              <w:rPr>
                <w:b/>
                <w:bCs/>
              </w:rPr>
              <w:t>Current fee types</w:t>
            </w:r>
          </w:p>
        </w:tc>
        <w:tc>
          <w:tcPr>
            <w:tcW w:w="833" w:type="pct"/>
            <w:vAlign w:val="center"/>
          </w:tcPr>
          <w:p w14:paraId="6533A544" w14:textId="258798E6" w:rsidR="00AF156B" w:rsidRDefault="00AF156B" w:rsidP="00D13FCC">
            <w:pPr>
              <w:pStyle w:val="TabletextLeft"/>
              <w:jc w:val="center"/>
              <w:rPr>
                <w:b/>
                <w:bCs/>
              </w:rPr>
            </w:pPr>
            <w:r>
              <w:rPr>
                <w:b/>
                <w:bCs/>
              </w:rPr>
              <w:t>Current fee units</w:t>
            </w:r>
            <w:r>
              <w:rPr>
                <w:rStyle w:val="FootnoteReference"/>
                <w:b/>
                <w:bCs/>
              </w:rPr>
              <w:footnoteReference w:id="23"/>
            </w:r>
          </w:p>
        </w:tc>
        <w:tc>
          <w:tcPr>
            <w:tcW w:w="833" w:type="pct"/>
            <w:vAlign w:val="center"/>
          </w:tcPr>
          <w:p w14:paraId="12E6C21E" w14:textId="56B7D357" w:rsidR="00AF156B" w:rsidRDefault="00AF156B" w:rsidP="00D13FCC">
            <w:pPr>
              <w:pStyle w:val="TabletextLeft"/>
              <w:jc w:val="center"/>
              <w:rPr>
                <w:b/>
                <w:bCs/>
              </w:rPr>
            </w:pPr>
            <w:r>
              <w:rPr>
                <w:b/>
                <w:bCs/>
              </w:rPr>
              <w:t>Proposed fee types</w:t>
            </w:r>
          </w:p>
        </w:tc>
        <w:tc>
          <w:tcPr>
            <w:tcW w:w="833" w:type="pct"/>
            <w:vAlign w:val="center"/>
          </w:tcPr>
          <w:p w14:paraId="74F5CCD8" w14:textId="1EEC16DB" w:rsidR="00AF156B" w:rsidRDefault="00AF156B" w:rsidP="00D13FCC">
            <w:pPr>
              <w:pStyle w:val="TabletextLeft"/>
              <w:jc w:val="center"/>
              <w:rPr>
                <w:b/>
                <w:bCs/>
              </w:rPr>
            </w:pPr>
            <w:r>
              <w:rPr>
                <w:b/>
                <w:bCs/>
              </w:rPr>
              <w:t>Proposed fee units</w:t>
            </w:r>
          </w:p>
        </w:tc>
        <w:tc>
          <w:tcPr>
            <w:tcW w:w="833" w:type="pct"/>
            <w:vAlign w:val="center"/>
          </w:tcPr>
          <w:p w14:paraId="22B6E6D3" w14:textId="5E3AEDB9" w:rsidR="00AF156B" w:rsidRDefault="00AF156B" w:rsidP="00D13FCC">
            <w:pPr>
              <w:pStyle w:val="TabletextLeft"/>
              <w:jc w:val="center"/>
              <w:rPr>
                <w:b/>
                <w:bCs/>
              </w:rPr>
            </w:pPr>
            <w:r>
              <w:rPr>
                <w:b/>
                <w:bCs/>
              </w:rPr>
              <w:t>Percentage change</w:t>
            </w:r>
            <w:r w:rsidR="00D13FCC">
              <w:rPr>
                <w:b/>
                <w:bCs/>
              </w:rPr>
              <w:t xml:space="preserve"> in fee units</w:t>
            </w:r>
          </w:p>
        </w:tc>
      </w:tr>
      <w:tr w:rsidR="00582368" w:rsidRPr="00294696" w14:paraId="40BBEF93" w14:textId="43305938" w:rsidTr="00AF156B">
        <w:tc>
          <w:tcPr>
            <w:tcW w:w="834" w:type="pct"/>
            <w:vMerge w:val="restart"/>
          </w:tcPr>
          <w:p w14:paraId="49DE4D7F" w14:textId="77777777" w:rsidR="00582368" w:rsidRPr="00294696" w:rsidRDefault="00582368" w:rsidP="00AE5F7C">
            <w:pPr>
              <w:pStyle w:val="TabletextLeft"/>
            </w:pPr>
            <w:r>
              <w:t>Business licence – natural persons</w:t>
            </w:r>
          </w:p>
        </w:tc>
        <w:tc>
          <w:tcPr>
            <w:tcW w:w="834" w:type="pct"/>
            <w:shd w:val="clear" w:color="auto" w:fill="auto"/>
          </w:tcPr>
          <w:p w14:paraId="704FCEC3" w14:textId="77777777" w:rsidR="00582368" w:rsidRPr="00E24483" w:rsidRDefault="00582368" w:rsidP="00AE5F7C">
            <w:pPr>
              <w:pStyle w:val="TabletextLeft"/>
              <w:jc w:val="center"/>
              <w:rPr>
                <w:rFonts w:cs="Calibri Light"/>
              </w:rPr>
            </w:pPr>
            <w:r>
              <w:rPr>
                <w:rFonts w:cs="Calibri Light"/>
              </w:rPr>
              <w:t>Application/renewal fee – 1 activity</w:t>
            </w:r>
          </w:p>
        </w:tc>
        <w:tc>
          <w:tcPr>
            <w:tcW w:w="833" w:type="pct"/>
          </w:tcPr>
          <w:p w14:paraId="784961DE" w14:textId="77751B36" w:rsidR="00582368" w:rsidRDefault="00582368" w:rsidP="00AE5F7C">
            <w:pPr>
              <w:pStyle w:val="TabletextLeft"/>
              <w:jc w:val="center"/>
              <w:rPr>
                <w:rFonts w:cs="Calibri Light"/>
              </w:rPr>
            </w:pPr>
            <w:r w:rsidRPr="00B56C29">
              <w:t>65.84</w:t>
            </w:r>
          </w:p>
        </w:tc>
        <w:tc>
          <w:tcPr>
            <w:tcW w:w="833" w:type="pct"/>
          </w:tcPr>
          <w:p w14:paraId="5E1290A5" w14:textId="2506286B" w:rsidR="00582368" w:rsidRDefault="00582368" w:rsidP="00AE5F7C">
            <w:pPr>
              <w:pStyle w:val="TabletextLeft"/>
              <w:jc w:val="center"/>
              <w:rPr>
                <w:rFonts w:cs="Calibri Light"/>
              </w:rPr>
            </w:pPr>
            <w:r>
              <w:rPr>
                <w:rFonts w:cs="Calibri Light"/>
              </w:rPr>
              <w:t>Application/renewal fee – 1 activity</w:t>
            </w:r>
          </w:p>
        </w:tc>
        <w:tc>
          <w:tcPr>
            <w:tcW w:w="833" w:type="pct"/>
          </w:tcPr>
          <w:p w14:paraId="4BC11A02" w14:textId="065CEB64" w:rsidR="00582368" w:rsidRDefault="00582368" w:rsidP="00AE5F7C">
            <w:pPr>
              <w:pStyle w:val="TabletextLeft"/>
              <w:jc w:val="center"/>
              <w:rPr>
                <w:rFonts w:cs="Calibri Light"/>
              </w:rPr>
            </w:pPr>
            <w:r w:rsidRPr="00334E3C">
              <w:t>65.84</w:t>
            </w:r>
          </w:p>
        </w:tc>
        <w:tc>
          <w:tcPr>
            <w:tcW w:w="833" w:type="pct"/>
          </w:tcPr>
          <w:p w14:paraId="30DB9F79" w14:textId="42392C1E" w:rsidR="00582368" w:rsidRPr="00334E3C" w:rsidRDefault="00582368" w:rsidP="00AE5F7C">
            <w:pPr>
              <w:pStyle w:val="TabletextLeft"/>
              <w:jc w:val="center"/>
            </w:pPr>
            <w:r>
              <w:t>0%</w:t>
            </w:r>
          </w:p>
        </w:tc>
      </w:tr>
      <w:tr w:rsidR="00582368" w:rsidRPr="00294696" w14:paraId="74BDF38A" w14:textId="761434D8" w:rsidTr="00AF156B">
        <w:tc>
          <w:tcPr>
            <w:tcW w:w="834" w:type="pct"/>
            <w:vMerge/>
          </w:tcPr>
          <w:p w14:paraId="04E2A110" w14:textId="77777777" w:rsidR="00582368" w:rsidRDefault="00582368" w:rsidP="00AE5F7C">
            <w:pPr>
              <w:pStyle w:val="TabletextLeft"/>
            </w:pPr>
          </w:p>
        </w:tc>
        <w:tc>
          <w:tcPr>
            <w:tcW w:w="834" w:type="pct"/>
            <w:shd w:val="clear" w:color="auto" w:fill="auto"/>
          </w:tcPr>
          <w:p w14:paraId="0549A14E" w14:textId="77777777" w:rsidR="00582368" w:rsidRDefault="00582368" w:rsidP="00AE5F7C">
            <w:pPr>
              <w:pStyle w:val="TabletextLeft"/>
              <w:jc w:val="center"/>
              <w:rPr>
                <w:rFonts w:cs="Calibri Light"/>
              </w:rPr>
            </w:pPr>
            <w:r>
              <w:rPr>
                <w:rFonts w:cs="Calibri Light"/>
              </w:rPr>
              <w:t>Application/renewal fee – 2 activities</w:t>
            </w:r>
          </w:p>
        </w:tc>
        <w:tc>
          <w:tcPr>
            <w:tcW w:w="833" w:type="pct"/>
          </w:tcPr>
          <w:p w14:paraId="11D061BF" w14:textId="74A2E02E" w:rsidR="00582368" w:rsidRDefault="00582368" w:rsidP="00AE5F7C">
            <w:pPr>
              <w:pStyle w:val="TabletextLeft"/>
              <w:jc w:val="center"/>
              <w:rPr>
                <w:rFonts w:cs="Calibri Light"/>
              </w:rPr>
            </w:pPr>
            <w:r w:rsidRPr="00B56C29">
              <w:t>70.41</w:t>
            </w:r>
          </w:p>
        </w:tc>
        <w:tc>
          <w:tcPr>
            <w:tcW w:w="833" w:type="pct"/>
          </w:tcPr>
          <w:p w14:paraId="677F597E" w14:textId="01CF893C" w:rsidR="00582368" w:rsidRDefault="00582368" w:rsidP="00AE5F7C">
            <w:pPr>
              <w:pStyle w:val="TabletextLeft"/>
              <w:jc w:val="center"/>
              <w:rPr>
                <w:rFonts w:cs="Calibri Light"/>
              </w:rPr>
            </w:pPr>
            <w:r>
              <w:rPr>
                <w:rFonts w:cs="Calibri Light"/>
              </w:rPr>
              <w:t>Application/renewal fee – 2 activities</w:t>
            </w:r>
          </w:p>
        </w:tc>
        <w:tc>
          <w:tcPr>
            <w:tcW w:w="833" w:type="pct"/>
          </w:tcPr>
          <w:p w14:paraId="5FFD435A" w14:textId="7D1DCCB6" w:rsidR="00582368" w:rsidRDefault="00582368" w:rsidP="00AE5F7C">
            <w:pPr>
              <w:pStyle w:val="TabletextLeft"/>
              <w:jc w:val="center"/>
              <w:rPr>
                <w:rFonts w:cs="Calibri Light"/>
              </w:rPr>
            </w:pPr>
            <w:r w:rsidRPr="00334E3C">
              <w:t>70.41</w:t>
            </w:r>
          </w:p>
        </w:tc>
        <w:tc>
          <w:tcPr>
            <w:tcW w:w="833" w:type="pct"/>
          </w:tcPr>
          <w:p w14:paraId="003C3976" w14:textId="1ED8FEAF" w:rsidR="00582368" w:rsidRPr="00334E3C" w:rsidRDefault="00582368" w:rsidP="00AE5F7C">
            <w:pPr>
              <w:pStyle w:val="TabletextLeft"/>
              <w:jc w:val="center"/>
            </w:pPr>
            <w:r>
              <w:t>0%</w:t>
            </w:r>
          </w:p>
        </w:tc>
      </w:tr>
      <w:tr w:rsidR="00582368" w:rsidRPr="00294696" w14:paraId="397B725B" w14:textId="598A6E67" w:rsidTr="00AF156B">
        <w:tc>
          <w:tcPr>
            <w:tcW w:w="834" w:type="pct"/>
            <w:vMerge/>
          </w:tcPr>
          <w:p w14:paraId="3634FCE7" w14:textId="77777777" w:rsidR="00582368" w:rsidRDefault="00582368" w:rsidP="00AE5F7C">
            <w:pPr>
              <w:pStyle w:val="TabletextLeft"/>
            </w:pPr>
          </w:p>
        </w:tc>
        <w:tc>
          <w:tcPr>
            <w:tcW w:w="834" w:type="pct"/>
            <w:shd w:val="clear" w:color="auto" w:fill="auto"/>
          </w:tcPr>
          <w:p w14:paraId="29D708DB" w14:textId="77777777" w:rsidR="00582368" w:rsidRDefault="00582368" w:rsidP="00AE5F7C">
            <w:pPr>
              <w:pStyle w:val="TabletextLeft"/>
              <w:jc w:val="center"/>
              <w:rPr>
                <w:rFonts w:cs="Calibri Light"/>
              </w:rPr>
            </w:pPr>
            <w:r w:rsidRPr="008D34C7">
              <w:rPr>
                <w:rFonts w:cs="Calibri Light"/>
              </w:rPr>
              <w:t xml:space="preserve">Application/renewal fee – </w:t>
            </w:r>
            <w:r>
              <w:rPr>
                <w:rFonts w:cs="Calibri Light"/>
              </w:rPr>
              <w:t>3</w:t>
            </w:r>
            <w:r w:rsidRPr="008D34C7">
              <w:rPr>
                <w:rFonts w:cs="Calibri Light"/>
              </w:rPr>
              <w:t xml:space="preserve"> activities</w:t>
            </w:r>
          </w:p>
        </w:tc>
        <w:tc>
          <w:tcPr>
            <w:tcW w:w="833" w:type="pct"/>
          </w:tcPr>
          <w:p w14:paraId="2D25982E" w14:textId="550B5ECA" w:rsidR="00582368" w:rsidRPr="008D34C7" w:rsidRDefault="00582368" w:rsidP="00AE5F7C">
            <w:pPr>
              <w:pStyle w:val="TabletextLeft"/>
              <w:jc w:val="center"/>
              <w:rPr>
                <w:rFonts w:cs="Calibri Light"/>
              </w:rPr>
            </w:pPr>
            <w:r w:rsidRPr="00B56C29">
              <w:t>78.57</w:t>
            </w:r>
          </w:p>
        </w:tc>
        <w:tc>
          <w:tcPr>
            <w:tcW w:w="833" w:type="pct"/>
          </w:tcPr>
          <w:p w14:paraId="24C7C883" w14:textId="4B1CDBB5"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3</w:t>
            </w:r>
            <w:r w:rsidRPr="008D34C7">
              <w:rPr>
                <w:rFonts w:cs="Calibri Light"/>
              </w:rPr>
              <w:t xml:space="preserve"> activities</w:t>
            </w:r>
          </w:p>
        </w:tc>
        <w:tc>
          <w:tcPr>
            <w:tcW w:w="833" w:type="pct"/>
          </w:tcPr>
          <w:p w14:paraId="45C7BD3B" w14:textId="63F46BF7" w:rsidR="00582368" w:rsidRPr="008D34C7" w:rsidRDefault="00582368" w:rsidP="00AE5F7C">
            <w:pPr>
              <w:pStyle w:val="TabletextLeft"/>
              <w:jc w:val="center"/>
              <w:rPr>
                <w:rFonts w:cs="Calibri Light"/>
              </w:rPr>
            </w:pPr>
            <w:r w:rsidRPr="00334E3C">
              <w:t>78.57</w:t>
            </w:r>
          </w:p>
        </w:tc>
        <w:tc>
          <w:tcPr>
            <w:tcW w:w="833" w:type="pct"/>
          </w:tcPr>
          <w:p w14:paraId="2EBA5DE7" w14:textId="33ED7246" w:rsidR="00582368" w:rsidRPr="00334E3C" w:rsidRDefault="00582368" w:rsidP="00AE5F7C">
            <w:pPr>
              <w:pStyle w:val="TabletextLeft"/>
              <w:jc w:val="center"/>
            </w:pPr>
            <w:r>
              <w:t>0%</w:t>
            </w:r>
          </w:p>
        </w:tc>
      </w:tr>
      <w:tr w:rsidR="00582368" w:rsidRPr="00294696" w14:paraId="175AA32D" w14:textId="418E2AD2" w:rsidTr="00AF156B">
        <w:tc>
          <w:tcPr>
            <w:tcW w:w="834" w:type="pct"/>
            <w:vMerge/>
          </w:tcPr>
          <w:p w14:paraId="4FDEDAC2" w14:textId="77777777" w:rsidR="00582368" w:rsidRDefault="00582368" w:rsidP="00AE5F7C">
            <w:pPr>
              <w:pStyle w:val="TabletextLeft"/>
            </w:pPr>
          </w:p>
        </w:tc>
        <w:tc>
          <w:tcPr>
            <w:tcW w:w="834" w:type="pct"/>
            <w:shd w:val="clear" w:color="auto" w:fill="auto"/>
          </w:tcPr>
          <w:p w14:paraId="337B2C2E" w14:textId="77777777" w:rsidR="00582368" w:rsidRDefault="00582368" w:rsidP="00AE5F7C">
            <w:pPr>
              <w:pStyle w:val="TabletextLeft"/>
              <w:jc w:val="center"/>
              <w:rPr>
                <w:rFonts w:cs="Calibri Light"/>
              </w:rPr>
            </w:pPr>
            <w:r w:rsidRPr="008D34C7">
              <w:rPr>
                <w:rFonts w:cs="Calibri Light"/>
              </w:rPr>
              <w:t xml:space="preserve">Application/renewal fee – </w:t>
            </w:r>
            <w:r>
              <w:rPr>
                <w:rFonts w:cs="Calibri Light"/>
              </w:rPr>
              <w:t>4</w:t>
            </w:r>
            <w:r w:rsidRPr="008D34C7">
              <w:rPr>
                <w:rFonts w:cs="Calibri Light"/>
              </w:rPr>
              <w:t xml:space="preserve"> activities</w:t>
            </w:r>
          </w:p>
        </w:tc>
        <w:tc>
          <w:tcPr>
            <w:tcW w:w="833" w:type="pct"/>
          </w:tcPr>
          <w:p w14:paraId="179CF78C" w14:textId="2FCE694C" w:rsidR="00582368" w:rsidRPr="008D34C7" w:rsidRDefault="00582368" w:rsidP="00AE5F7C">
            <w:pPr>
              <w:pStyle w:val="TabletextLeft"/>
              <w:jc w:val="center"/>
              <w:rPr>
                <w:rFonts w:cs="Calibri Light"/>
              </w:rPr>
            </w:pPr>
            <w:r w:rsidRPr="00B56C29">
              <w:t>83.14</w:t>
            </w:r>
          </w:p>
        </w:tc>
        <w:tc>
          <w:tcPr>
            <w:tcW w:w="833" w:type="pct"/>
          </w:tcPr>
          <w:p w14:paraId="1A826E85" w14:textId="6DE8D0BE"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4</w:t>
            </w:r>
            <w:r w:rsidRPr="008D34C7">
              <w:rPr>
                <w:rFonts w:cs="Calibri Light"/>
              </w:rPr>
              <w:t xml:space="preserve"> activities</w:t>
            </w:r>
          </w:p>
        </w:tc>
        <w:tc>
          <w:tcPr>
            <w:tcW w:w="833" w:type="pct"/>
          </w:tcPr>
          <w:p w14:paraId="6B3CBB43" w14:textId="273CAFF8" w:rsidR="00582368" w:rsidRPr="008D34C7" w:rsidRDefault="00582368" w:rsidP="00AE5F7C">
            <w:pPr>
              <w:pStyle w:val="TabletextLeft"/>
              <w:jc w:val="center"/>
              <w:rPr>
                <w:rFonts w:cs="Calibri Light"/>
              </w:rPr>
            </w:pPr>
            <w:r w:rsidRPr="00334E3C">
              <w:t>83.14</w:t>
            </w:r>
          </w:p>
        </w:tc>
        <w:tc>
          <w:tcPr>
            <w:tcW w:w="833" w:type="pct"/>
          </w:tcPr>
          <w:p w14:paraId="060D9781" w14:textId="264DD94C" w:rsidR="00582368" w:rsidRPr="00334E3C" w:rsidRDefault="00582368" w:rsidP="00AE5F7C">
            <w:pPr>
              <w:pStyle w:val="TabletextLeft"/>
              <w:jc w:val="center"/>
            </w:pPr>
            <w:r>
              <w:t>0%</w:t>
            </w:r>
          </w:p>
        </w:tc>
      </w:tr>
      <w:tr w:rsidR="00582368" w:rsidRPr="00294696" w14:paraId="05E64918" w14:textId="47C8015E" w:rsidTr="00AF156B">
        <w:tc>
          <w:tcPr>
            <w:tcW w:w="834" w:type="pct"/>
            <w:vMerge/>
          </w:tcPr>
          <w:p w14:paraId="0B32AD3F" w14:textId="77777777" w:rsidR="00582368" w:rsidRDefault="00582368" w:rsidP="00AE5F7C">
            <w:pPr>
              <w:pStyle w:val="TabletextLeft"/>
            </w:pPr>
          </w:p>
        </w:tc>
        <w:tc>
          <w:tcPr>
            <w:tcW w:w="834" w:type="pct"/>
            <w:shd w:val="clear" w:color="auto" w:fill="auto"/>
          </w:tcPr>
          <w:p w14:paraId="322D10B2" w14:textId="77777777" w:rsidR="00582368" w:rsidRDefault="00582368" w:rsidP="00AE5F7C">
            <w:pPr>
              <w:pStyle w:val="TabletextLeft"/>
              <w:jc w:val="center"/>
              <w:rPr>
                <w:rFonts w:cs="Calibri Light"/>
              </w:rPr>
            </w:pPr>
            <w:r w:rsidRPr="008D34C7">
              <w:rPr>
                <w:rFonts w:cs="Calibri Light"/>
              </w:rPr>
              <w:t xml:space="preserve">Application/renewal fee – </w:t>
            </w:r>
            <w:r>
              <w:rPr>
                <w:rFonts w:cs="Calibri Light"/>
              </w:rPr>
              <w:t>5</w:t>
            </w:r>
            <w:r w:rsidRPr="008D34C7">
              <w:rPr>
                <w:rFonts w:cs="Calibri Light"/>
              </w:rPr>
              <w:t xml:space="preserve"> activities</w:t>
            </w:r>
          </w:p>
        </w:tc>
        <w:tc>
          <w:tcPr>
            <w:tcW w:w="833" w:type="pct"/>
          </w:tcPr>
          <w:p w14:paraId="318AB1E9" w14:textId="4FA98649" w:rsidR="00582368" w:rsidRPr="008D34C7" w:rsidRDefault="00582368" w:rsidP="00AE5F7C">
            <w:pPr>
              <w:pStyle w:val="TabletextLeft"/>
              <w:jc w:val="center"/>
              <w:rPr>
                <w:rFonts w:cs="Calibri Light"/>
              </w:rPr>
            </w:pPr>
            <w:r w:rsidRPr="00B56C29">
              <w:t>87.71</w:t>
            </w:r>
          </w:p>
        </w:tc>
        <w:tc>
          <w:tcPr>
            <w:tcW w:w="833" w:type="pct"/>
          </w:tcPr>
          <w:p w14:paraId="4F200509" w14:textId="322E33EC"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5</w:t>
            </w:r>
            <w:r w:rsidRPr="008D34C7">
              <w:rPr>
                <w:rFonts w:cs="Calibri Light"/>
              </w:rPr>
              <w:t xml:space="preserve"> activities</w:t>
            </w:r>
          </w:p>
        </w:tc>
        <w:tc>
          <w:tcPr>
            <w:tcW w:w="833" w:type="pct"/>
          </w:tcPr>
          <w:p w14:paraId="1426DC22" w14:textId="142AB192" w:rsidR="00582368" w:rsidRPr="008D34C7" w:rsidRDefault="00582368" w:rsidP="00AE5F7C">
            <w:pPr>
              <w:pStyle w:val="TabletextLeft"/>
              <w:jc w:val="center"/>
              <w:rPr>
                <w:rFonts w:cs="Calibri Light"/>
              </w:rPr>
            </w:pPr>
            <w:r w:rsidRPr="00334E3C">
              <w:t>87.71</w:t>
            </w:r>
          </w:p>
        </w:tc>
        <w:tc>
          <w:tcPr>
            <w:tcW w:w="833" w:type="pct"/>
          </w:tcPr>
          <w:p w14:paraId="5EE9603E" w14:textId="1E8E01C7" w:rsidR="00582368" w:rsidRPr="00334E3C" w:rsidRDefault="00582368" w:rsidP="00AE5F7C">
            <w:pPr>
              <w:pStyle w:val="TabletextLeft"/>
              <w:jc w:val="center"/>
            </w:pPr>
            <w:r>
              <w:t>0%</w:t>
            </w:r>
          </w:p>
        </w:tc>
      </w:tr>
      <w:tr w:rsidR="00582368" w:rsidRPr="00294696" w14:paraId="71389FF9" w14:textId="1504E8A8" w:rsidTr="00AF156B">
        <w:tc>
          <w:tcPr>
            <w:tcW w:w="834" w:type="pct"/>
            <w:vMerge/>
          </w:tcPr>
          <w:p w14:paraId="6E8EDBAF" w14:textId="77777777" w:rsidR="00582368" w:rsidRDefault="00582368" w:rsidP="00AE5F7C">
            <w:pPr>
              <w:pStyle w:val="TabletextLeft"/>
            </w:pPr>
          </w:p>
        </w:tc>
        <w:tc>
          <w:tcPr>
            <w:tcW w:w="834" w:type="pct"/>
            <w:shd w:val="clear" w:color="auto" w:fill="auto"/>
          </w:tcPr>
          <w:p w14:paraId="798EAABA" w14:textId="61879F0A" w:rsidR="00582368" w:rsidRDefault="00582368" w:rsidP="00AE5F7C">
            <w:pPr>
              <w:pStyle w:val="TabletextLeft"/>
              <w:jc w:val="center"/>
              <w:rPr>
                <w:rFonts w:cs="Calibri Light"/>
              </w:rPr>
            </w:pPr>
          </w:p>
        </w:tc>
        <w:tc>
          <w:tcPr>
            <w:tcW w:w="833" w:type="pct"/>
          </w:tcPr>
          <w:p w14:paraId="68F8DC6C" w14:textId="77777777" w:rsidR="00582368" w:rsidRPr="008D34C7" w:rsidRDefault="00582368" w:rsidP="00AE5F7C">
            <w:pPr>
              <w:pStyle w:val="TabletextLeft"/>
              <w:jc w:val="center"/>
              <w:rPr>
                <w:rFonts w:cs="Calibri Light"/>
              </w:rPr>
            </w:pPr>
          </w:p>
        </w:tc>
        <w:tc>
          <w:tcPr>
            <w:tcW w:w="833" w:type="pct"/>
          </w:tcPr>
          <w:p w14:paraId="7D25A747" w14:textId="7C8DDA33"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6</w:t>
            </w:r>
            <w:r w:rsidRPr="008D34C7">
              <w:rPr>
                <w:rFonts w:cs="Calibri Light"/>
              </w:rPr>
              <w:t xml:space="preserve"> activities</w:t>
            </w:r>
          </w:p>
        </w:tc>
        <w:tc>
          <w:tcPr>
            <w:tcW w:w="833" w:type="pct"/>
          </w:tcPr>
          <w:p w14:paraId="60933458" w14:textId="622E1BD2" w:rsidR="00582368" w:rsidRPr="00374FEF" w:rsidRDefault="00582368" w:rsidP="00AE5F7C">
            <w:pPr>
              <w:pStyle w:val="TabletextLeft"/>
              <w:jc w:val="center"/>
              <w:rPr>
                <w:rFonts w:cs="Calibri Light"/>
                <w:highlight w:val="yellow"/>
              </w:rPr>
            </w:pPr>
            <w:r w:rsidRPr="00334E3C">
              <w:t>92.28</w:t>
            </w:r>
          </w:p>
        </w:tc>
        <w:tc>
          <w:tcPr>
            <w:tcW w:w="833" w:type="pct"/>
          </w:tcPr>
          <w:p w14:paraId="785E2A14" w14:textId="3DA84C8C" w:rsidR="00582368" w:rsidRPr="00334E3C" w:rsidRDefault="00582368" w:rsidP="00AE5F7C">
            <w:pPr>
              <w:pStyle w:val="TabletextLeft"/>
              <w:jc w:val="center"/>
            </w:pPr>
            <w:r>
              <w:t>n/a – new</w:t>
            </w:r>
          </w:p>
        </w:tc>
      </w:tr>
      <w:tr w:rsidR="00582368" w:rsidRPr="00294696" w14:paraId="07FED95E" w14:textId="00150A46" w:rsidTr="00AF156B">
        <w:tc>
          <w:tcPr>
            <w:tcW w:w="834" w:type="pct"/>
            <w:vMerge/>
          </w:tcPr>
          <w:p w14:paraId="245DFDC8" w14:textId="77777777" w:rsidR="00582368" w:rsidRDefault="00582368" w:rsidP="00AE5F7C">
            <w:pPr>
              <w:pStyle w:val="TabletextLeft"/>
            </w:pPr>
          </w:p>
        </w:tc>
        <w:tc>
          <w:tcPr>
            <w:tcW w:w="834" w:type="pct"/>
            <w:shd w:val="clear" w:color="auto" w:fill="auto"/>
          </w:tcPr>
          <w:p w14:paraId="44DDB1E8" w14:textId="48BD21DE" w:rsidR="00582368" w:rsidRDefault="00582368" w:rsidP="00AE5F7C">
            <w:pPr>
              <w:pStyle w:val="TabletextLeft"/>
              <w:jc w:val="center"/>
              <w:rPr>
                <w:rFonts w:cs="Calibri Light"/>
              </w:rPr>
            </w:pPr>
          </w:p>
        </w:tc>
        <w:tc>
          <w:tcPr>
            <w:tcW w:w="833" w:type="pct"/>
          </w:tcPr>
          <w:p w14:paraId="29CD1A9D" w14:textId="77777777" w:rsidR="00582368" w:rsidRPr="008D34C7" w:rsidRDefault="00582368" w:rsidP="00AE5F7C">
            <w:pPr>
              <w:pStyle w:val="TabletextLeft"/>
              <w:jc w:val="center"/>
              <w:rPr>
                <w:rFonts w:cs="Calibri Light"/>
              </w:rPr>
            </w:pPr>
          </w:p>
        </w:tc>
        <w:tc>
          <w:tcPr>
            <w:tcW w:w="833" w:type="pct"/>
          </w:tcPr>
          <w:p w14:paraId="190C85DD" w14:textId="73DABE8D"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7</w:t>
            </w:r>
            <w:r w:rsidRPr="008D34C7">
              <w:rPr>
                <w:rFonts w:cs="Calibri Light"/>
              </w:rPr>
              <w:t xml:space="preserve"> activities</w:t>
            </w:r>
          </w:p>
        </w:tc>
        <w:tc>
          <w:tcPr>
            <w:tcW w:w="833" w:type="pct"/>
          </w:tcPr>
          <w:p w14:paraId="12500876" w14:textId="648B05ED" w:rsidR="00582368" w:rsidRPr="00374FEF" w:rsidRDefault="00582368" w:rsidP="00AE5F7C">
            <w:pPr>
              <w:pStyle w:val="TabletextLeft"/>
              <w:jc w:val="center"/>
              <w:rPr>
                <w:rFonts w:cs="Calibri Light"/>
                <w:highlight w:val="yellow"/>
              </w:rPr>
            </w:pPr>
            <w:r w:rsidRPr="00334E3C">
              <w:t>96.85</w:t>
            </w:r>
          </w:p>
        </w:tc>
        <w:tc>
          <w:tcPr>
            <w:tcW w:w="833" w:type="pct"/>
          </w:tcPr>
          <w:p w14:paraId="4237C378" w14:textId="42A4F680" w:rsidR="00582368" w:rsidRPr="00334E3C" w:rsidRDefault="00582368" w:rsidP="00AE5F7C">
            <w:pPr>
              <w:pStyle w:val="TabletextLeft"/>
              <w:jc w:val="center"/>
            </w:pPr>
            <w:r>
              <w:t>n/a – new</w:t>
            </w:r>
          </w:p>
        </w:tc>
      </w:tr>
      <w:tr w:rsidR="00582368" w:rsidRPr="00294696" w14:paraId="56BECB26" w14:textId="4DE438E6" w:rsidTr="00AF156B">
        <w:tc>
          <w:tcPr>
            <w:tcW w:w="834" w:type="pct"/>
            <w:vMerge/>
          </w:tcPr>
          <w:p w14:paraId="56E59495" w14:textId="77777777" w:rsidR="00582368" w:rsidRDefault="00582368" w:rsidP="00AE5F7C">
            <w:pPr>
              <w:pStyle w:val="TabletextLeft"/>
            </w:pPr>
          </w:p>
        </w:tc>
        <w:tc>
          <w:tcPr>
            <w:tcW w:w="834" w:type="pct"/>
            <w:shd w:val="clear" w:color="auto" w:fill="auto"/>
          </w:tcPr>
          <w:p w14:paraId="40820320" w14:textId="77777777" w:rsidR="00582368" w:rsidRDefault="00582368" w:rsidP="00AE5F7C">
            <w:pPr>
              <w:pStyle w:val="TabletextLeft"/>
              <w:jc w:val="center"/>
              <w:rPr>
                <w:rFonts w:cs="Calibri Light"/>
              </w:rPr>
            </w:pPr>
            <w:r>
              <w:rPr>
                <w:rFonts w:cs="Calibri Light"/>
              </w:rPr>
              <w:t>Variation fee</w:t>
            </w:r>
          </w:p>
        </w:tc>
        <w:tc>
          <w:tcPr>
            <w:tcW w:w="833" w:type="pct"/>
          </w:tcPr>
          <w:p w14:paraId="3A5E7D97" w14:textId="28E2D1AC" w:rsidR="00582368" w:rsidRDefault="00582368" w:rsidP="00AE5F7C">
            <w:pPr>
              <w:pStyle w:val="TabletextLeft"/>
              <w:jc w:val="center"/>
              <w:rPr>
                <w:rFonts w:cs="Calibri Light"/>
              </w:rPr>
            </w:pPr>
            <w:r w:rsidRPr="00B56C29">
              <w:t>18.70</w:t>
            </w:r>
          </w:p>
        </w:tc>
        <w:tc>
          <w:tcPr>
            <w:tcW w:w="833" w:type="pct"/>
          </w:tcPr>
          <w:p w14:paraId="21F04DC8" w14:textId="54D9960E" w:rsidR="00582368" w:rsidRDefault="00582368" w:rsidP="00AE5F7C">
            <w:pPr>
              <w:pStyle w:val="TabletextLeft"/>
              <w:jc w:val="center"/>
              <w:rPr>
                <w:rFonts w:cs="Calibri Light"/>
              </w:rPr>
            </w:pPr>
            <w:r>
              <w:rPr>
                <w:rFonts w:cs="Calibri Light"/>
              </w:rPr>
              <w:t>Variation fee</w:t>
            </w:r>
          </w:p>
        </w:tc>
        <w:tc>
          <w:tcPr>
            <w:tcW w:w="833" w:type="pct"/>
          </w:tcPr>
          <w:p w14:paraId="0DD44064" w14:textId="49F09E75" w:rsidR="00582368" w:rsidRDefault="00582368" w:rsidP="00AE5F7C">
            <w:pPr>
              <w:pStyle w:val="TabletextLeft"/>
              <w:jc w:val="center"/>
              <w:rPr>
                <w:rFonts w:cs="Calibri Light"/>
              </w:rPr>
            </w:pPr>
            <w:r w:rsidRPr="00334E3C">
              <w:t>18.70</w:t>
            </w:r>
          </w:p>
        </w:tc>
        <w:tc>
          <w:tcPr>
            <w:tcW w:w="833" w:type="pct"/>
          </w:tcPr>
          <w:p w14:paraId="4767B010" w14:textId="36D25668" w:rsidR="00582368" w:rsidRPr="00334E3C" w:rsidRDefault="00582368" w:rsidP="00AE5F7C">
            <w:pPr>
              <w:pStyle w:val="TabletextLeft"/>
              <w:jc w:val="center"/>
            </w:pPr>
            <w:r>
              <w:t>0%</w:t>
            </w:r>
          </w:p>
        </w:tc>
      </w:tr>
      <w:tr w:rsidR="00582368" w:rsidRPr="00294696" w14:paraId="05C801A5" w14:textId="77777777" w:rsidTr="00AF156B">
        <w:tc>
          <w:tcPr>
            <w:tcW w:w="834" w:type="pct"/>
            <w:vMerge/>
          </w:tcPr>
          <w:p w14:paraId="5F1746FE" w14:textId="77777777" w:rsidR="00582368" w:rsidRDefault="00582368" w:rsidP="00AE5F7C">
            <w:pPr>
              <w:pStyle w:val="TabletextLeft"/>
            </w:pPr>
          </w:p>
        </w:tc>
        <w:tc>
          <w:tcPr>
            <w:tcW w:w="834" w:type="pct"/>
            <w:shd w:val="clear" w:color="auto" w:fill="auto"/>
          </w:tcPr>
          <w:p w14:paraId="1B0B65E7" w14:textId="038C256F" w:rsidR="00582368" w:rsidRDefault="00582368" w:rsidP="00AE5F7C">
            <w:pPr>
              <w:pStyle w:val="TabletextLeft"/>
              <w:jc w:val="center"/>
              <w:rPr>
                <w:rFonts w:cs="Calibri Light"/>
              </w:rPr>
            </w:pPr>
            <w:r>
              <w:rPr>
                <w:rFonts w:cs="Calibri Light"/>
              </w:rPr>
              <w:t>Vary/revoke licence condition fee</w:t>
            </w:r>
          </w:p>
        </w:tc>
        <w:tc>
          <w:tcPr>
            <w:tcW w:w="833" w:type="pct"/>
          </w:tcPr>
          <w:p w14:paraId="1F510A6A" w14:textId="02D9984A" w:rsidR="00582368" w:rsidRPr="00B56C29" w:rsidRDefault="00582368" w:rsidP="00AE5F7C">
            <w:pPr>
              <w:pStyle w:val="TabletextLeft"/>
              <w:jc w:val="center"/>
            </w:pPr>
            <w:r>
              <w:t>2.25</w:t>
            </w:r>
          </w:p>
        </w:tc>
        <w:tc>
          <w:tcPr>
            <w:tcW w:w="833" w:type="pct"/>
          </w:tcPr>
          <w:p w14:paraId="03094088" w14:textId="36138F05" w:rsidR="00582368" w:rsidRDefault="00582368" w:rsidP="00AE5F7C">
            <w:pPr>
              <w:pStyle w:val="TabletextLeft"/>
              <w:jc w:val="center"/>
              <w:rPr>
                <w:rFonts w:cs="Calibri Light"/>
              </w:rPr>
            </w:pPr>
            <w:r>
              <w:rPr>
                <w:rFonts w:cs="Calibri Light"/>
              </w:rPr>
              <w:t>Vary/revoke licence condition fee</w:t>
            </w:r>
          </w:p>
        </w:tc>
        <w:tc>
          <w:tcPr>
            <w:tcW w:w="833" w:type="pct"/>
          </w:tcPr>
          <w:p w14:paraId="14FD417B" w14:textId="2220A64A" w:rsidR="00582368" w:rsidRPr="00334E3C" w:rsidRDefault="00582368" w:rsidP="00AE5F7C">
            <w:pPr>
              <w:pStyle w:val="TabletextLeft"/>
              <w:jc w:val="center"/>
            </w:pPr>
            <w:r>
              <w:t>2.25</w:t>
            </w:r>
          </w:p>
        </w:tc>
        <w:tc>
          <w:tcPr>
            <w:tcW w:w="833" w:type="pct"/>
          </w:tcPr>
          <w:p w14:paraId="52C5B545" w14:textId="697B373D" w:rsidR="00582368" w:rsidRDefault="00582368" w:rsidP="00AE5F7C">
            <w:pPr>
              <w:pStyle w:val="TabletextLeft"/>
              <w:jc w:val="center"/>
            </w:pPr>
            <w:r>
              <w:t>0%</w:t>
            </w:r>
          </w:p>
        </w:tc>
      </w:tr>
      <w:tr w:rsidR="00582368" w:rsidRPr="00294696" w14:paraId="7BA649BD" w14:textId="375154C5" w:rsidTr="00AF156B">
        <w:tc>
          <w:tcPr>
            <w:tcW w:w="834" w:type="pct"/>
            <w:vMerge w:val="restart"/>
          </w:tcPr>
          <w:p w14:paraId="7084598D" w14:textId="77777777" w:rsidR="00582368" w:rsidRDefault="00582368" w:rsidP="00AE5F7C">
            <w:pPr>
              <w:pStyle w:val="TabletextLeft"/>
            </w:pPr>
            <w:r>
              <w:t>Business licence – body corporates</w:t>
            </w:r>
          </w:p>
        </w:tc>
        <w:tc>
          <w:tcPr>
            <w:tcW w:w="834" w:type="pct"/>
            <w:shd w:val="clear" w:color="auto" w:fill="auto"/>
          </w:tcPr>
          <w:p w14:paraId="206C73E1" w14:textId="77777777" w:rsidR="00582368" w:rsidRDefault="00582368" w:rsidP="00AE5F7C">
            <w:pPr>
              <w:pStyle w:val="TabletextLeft"/>
              <w:jc w:val="center"/>
              <w:rPr>
                <w:rFonts w:cs="Calibri Light"/>
              </w:rPr>
            </w:pPr>
            <w:r>
              <w:rPr>
                <w:rFonts w:cs="Calibri Light"/>
              </w:rPr>
              <w:t>Application/renewal fee – 1 activity</w:t>
            </w:r>
          </w:p>
        </w:tc>
        <w:tc>
          <w:tcPr>
            <w:tcW w:w="833" w:type="pct"/>
          </w:tcPr>
          <w:p w14:paraId="6C682F7A" w14:textId="3027E7A1" w:rsidR="00582368" w:rsidRDefault="00582368" w:rsidP="00AE5F7C">
            <w:pPr>
              <w:pStyle w:val="TabletextLeft"/>
              <w:jc w:val="center"/>
              <w:rPr>
                <w:rFonts w:cs="Calibri Light"/>
              </w:rPr>
            </w:pPr>
            <w:r w:rsidRPr="00B56C29">
              <w:t>107.57</w:t>
            </w:r>
          </w:p>
        </w:tc>
        <w:tc>
          <w:tcPr>
            <w:tcW w:w="833" w:type="pct"/>
          </w:tcPr>
          <w:p w14:paraId="0576814E" w14:textId="53C5F581" w:rsidR="00582368" w:rsidRDefault="00582368" w:rsidP="00AE5F7C">
            <w:pPr>
              <w:pStyle w:val="TabletextLeft"/>
              <w:jc w:val="center"/>
              <w:rPr>
                <w:rFonts w:cs="Calibri Light"/>
              </w:rPr>
            </w:pPr>
            <w:r>
              <w:rPr>
                <w:rFonts w:cs="Calibri Light"/>
              </w:rPr>
              <w:t>Application/renewal fee – 1 activity</w:t>
            </w:r>
          </w:p>
        </w:tc>
        <w:tc>
          <w:tcPr>
            <w:tcW w:w="833" w:type="pct"/>
          </w:tcPr>
          <w:p w14:paraId="7FADE603" w14:textId="0E978EBF" w:rsidR="00582368" w:rsidRDefault="00582368" w:rsidP="00AE5F7C">
            <w:pPr>
              <w:pStyle w:val="TabletextLeft"/>
              <w:jc w:val="center"/>
              <w:rPr>
                <w:rFonts w:cs="Calibri Light"/>
              </w:rPr>
            </w:pPr>
            <w:r w:rsidRPr="00334E3C">
              <w:t>107.57</w:t>
            </w:r>
          </w:p>
        </w:tc>
        <w:tc>
          <w:tcPr>
            <w:tcW w:w="833" w:type="pct"/>
          </w:tcPr>
          <w:p w14:paraId="462DDCBD" w14:textId="6D7B55F2" w:rsidR="00582368" w:rsidRPr="00334E3C" w:rsidRDefault="00582368" w:rsidP="00AE5F7C">
            <w:pPr>
              <w:pStyle w:val="TabletextLeft"/>
              <w:jc w:val="center"/>
            </w:pPr>
            <w:r>
              <w:t>0%</w:t>
            </w:r>
          </w:p>
        </w:tc>
      </w:tr>
      <w:tr w:rsidR="00582368" w:rsidRPr="00294696" w14:paraId="1A968E58" w14:textId="37EC0A96" w:rsidTr="00AF156B">
        <w:tc>
          <w:tcPr>
            <w:tcW w:w="834" w:type="pct"/>
            <w:vMerge/>
          </w:tcPr>
          <w:p w14:paraId="3567D10C" w14:textId="77777777" w:rsidR="00582368" w:rsidRDefault="00582368" w:rsidP="00AE5F7C">
            <w:pPr>
              <w:pStyle w:val="TabletextLeft"/>
            </w:pPr>
          </w:p>
        </w:tc>
        <w:tc>
          <w:tcPr>
            <w:tcW w:w="834" w:type="pct"/>
            <w:shd w:val="clear" w:color="auto" w:fill="auto"/>
          </w:tcPr>
          <w:p w14:paraId="6ACB76B9" w14:textId="77777777" w:rsidR="00582368" w:rsidRDefault="00582368" w:rsidP="00AE5F7C">
            <w:pPr>
              <w:pStyle w:val="TabletextLeft"/>
              <w:jc w:val="center"/>
              <w:rPr>
                <w:rFonts w:cs="Calibri Light"/>
              </w:rPr>
            </w:pPr>
            <w:r>
              <w:rPr>
                <w:rFonts w:cs="Calibri Light"/>
              </w:rPr>
              <w:t>Application/renewal fee – 2 activities</w:t>
            </w:r>
          </w:p>
        </w:tc>
        <w:tc>
          <w:tcPr>
            <w:tcW w:w="833" w:type="pct"/>
          </w:tcPr>
          <w:p w14:paraId="177B704F" w14:textId="3A82CAEE" w:rsidR="00582368" w:rsidRDefault="00582368" w:rsidP="00AE5F7C">
            <w:pPr>
              <w:pStyle w:val="TabletextLeft"/>
              <w:jc w:val="center"/>
              <w:rPr>
                <w:rFonts w:cs="Calibri Light"/>
              </w:rPr>
            </w:pPr>
            <w:r w:rsidRPr="00B56C29">
              <w:t>119.62</w:t>
            </w:r>
          </w:p>
        </w:tc>
        <w:tc>
          <w:tcPr>
            <w:tcW w:w="833" w:type="pct"/>
          </w:tcPr>
          <w:p w14:paraId="149D855D" w14:textId="10F4B975" w:rsidR="00582368" w:rsidRDefault="00582368" w:rsidP="00AE5F7C">
            <w:pPr>
              <w:pStyle w:val="TabletextLeft"/>
              <w:jc w:val="center"/>
              <w:rPr>
                <w:rFonts w:cs="Calibri Light"/>
              </w:rPr>
            </w:pPr>
            <w:r>
              <w:rPr>
                <w:rFonts w:cs="Calibri Light"/>
              </w:rPr>
              <w:t>Application/renewal fee – 2 activities</w:t>
            </w:r>
          </w:p>
        </w:tc>
        <w:tc>
          <w:tcPr>
            <w:tcW w:w="833" w:type="pct"/>
          </w:tcPr>
          <w:p w14:paraId="395362BD" w14:textId="64260F7E" w:rsidR="00582368" w:rsidRDefault="00582368" w:rsidP="00AE5F7C">
            <w:pPr>
              <w:pStyle w:val="TabletextLeft"/>
              <w:jc w:val="center"/>
              <w:rPr>
                <w:rFonts w:cs="Calibri Light"/>
              </w:rPr>
            </w:pPr>
            <w:r w:rsidRPr="00334E3C">
              <w:t>119.62</w:t>
            </w:r>
          </w:p>
        </w:tc>
        <w:tc>
          <w:tcPr>
            <w:tcW w:w="833" w:type="pct"/>
          </w:tcPr>
          <w:p w14:paraId="755EEEC3" w14:textId="6DBD8267" w:rsidR="00582368" w:rsidRPr="00334E3C" w:rsidRDefault="00582368" w:rsidP="00AE5F7C">
            <w:pPr>
              <w:pStyle w:val="TabletextLeft"/>
              <w:jc w:val="center"/>
            </w:pPr>
            <w:r>
              <w:t>0%</w:t>
            </w:r>
          </w:p>
        </w:tc>
      </w:tr>
      <w:tr w:rsidR="00582368" w:rsidRPr="00294696" w14:paraId="066E23E7" w14:textId="0870AEA8" w:rsidTr="00AF156B">
        <w:tc>
          <w:tcPr>
            <w:tcW w:w="834" w:type="pct"/>
            <w:vMerge/>
          </w:tcPr>
          <w:p w14:paraId="1CDF989E" w14:textId="77777777" w:rsidR="00582368" w:rsidRDefault="00582368" w:rsidP="00AE5F7C">
            <w:pPr>
              <w:pStyle w:val="TabletextLeft"/>
            </w:pPr>
          </w:p>
        </w:tc>
        <w:tc>
          <w:tcPr>
            <w:tcW w:w="834" w:type="pct"/>
            <w:shd w:val="clear" w:color="auto" w:fill="auto"/>
          </w:tcPr>
          <w:p w14:paraId="48EEA649" w14:textId="77777777" w:rsidR="00582368" w:rsidRDefault="00582368" w:rsidP="00AE5F7C">
            <w:pPr>
              <w:pStyle w:val="TabletextLeft"/>
              <w:jc w:val="center"/>
              <w:rPr>
                <w:rFonts w:cs="Calibri Light"/>
              </w:rPr>
            </w:pPr>
            <w:r w:rsidRPr="008D34C7">
              <w:rPr>
                <w:rFonts w:cs="Calibri Light"/>
              </w:rPr>
              <w:t xml:space="preserve">Application/renewal fee – </w:t>
            </w:r>
            <w:r>
              <w:rPr>
                <w:rFonts w:cs="Calibri Light"/>
              </w:rPr>
              <w:t>3</w:t>
            </w:r>
            <w:r w:rsidRPr="008D34C7">
              <w:rPr>
                <w:rFonts w:cs="Calibri Light"/>
              </w:rPr>
              <w:t xml:space="preserve"> activities</w:t>
            </w:r>
          </w:p>
        </w:tc>
        <w:tc>
          <w:tcPr>
            <w:tcW w:w="833" w:type="pct"/>
          </w:tcPr>
          <w:p w14:paraId="5FC8F64B" w14:textId="640EF60F" w:rsidR="00582368" w:rsidRPr="008D34C7" w:rsidRDefault="00582368" w:rsidP="00AE5F7C">
            <w:pPr>
              <w:pStyle w:val="TabletextLeft"/>
              <w:jc w:val="center"/>
              <w:rPr>
                <w:rFonts w:cs="Calibri Light"/>
              </w:rPr>
            </w:pPr>
            <w:r w:rsidRPr="00B56C29">
              <w:t>130.23</w:t>
            </w:r>
          </w:p>
        </w:tc>
        <w:tc>
          <w:tcPr>
            <w:tcW w:w="833" w:type="pct"/>
          </w:tcPr>
          <w:p w14:paraId="76ACD51C" w14:textId="010CB6AF"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3</w:t>
            </w:r>
            <w:r w:rsidRPr="008D34C7">
              <w:rPr>
                <w:rFonts w:cs="Calibri Light"/>
              </w:rPr>
              <w:t xml:space="preserve"> activities</w:t>
            </w:r>
          </w:p>
        </w:tc>
        <w:tc>
          <w:tcPr>
            <w:tcW w:w="833" w:type="pct"/>
          </w:tcPr>
          <w:p w14:paraId="1643202D" w14:textId="1A7B6B04" w:rsidR="00582368" w:rsidRPr="008D34C7" w:rsidRDefault="00582368" w:rsidP="00AE5F7C">
            <w:pPr>
              <w:pStyle w:val="TabletextLeft"/>
              <w:jc w:val="center"/>
              <w:rPr>
                <w:rFonts w:cs="Calibri Light"/>
              </w:rPr>
            </w:pPr>
            <w:r w:rsidRPr="00334E3C">
              <w:t>130.23</w:t>
            </w:r>
          </w:p>
        </w:tc>
        <w:tc>
          <w:tcPr>
            <w:tcW w:w="833" w:type="pct"/>
          </w:tcPr>
          <w:p w14:paraId="65E90EB6" w14:textId="5837E00D" w:rsidR="00582368" w:rsidRPr="00334E3C" w:rsidRDefault="00582368" w:rsidP="00AE5F7C">
            <w:pPr>
              <w:pStyle w:val="TabletextLeft"/>
              <w:jc w:val="center"/>
            </w:pPr>
            <w:r>
              <w:t>0%</w:t>
            </w:r>
          </w:p>
        </w:tc>
      </w:tr>
      <w:tr w:rsidR="00582368" w:rsidRPr="00294696" w14:paraId="5917D49F" w14:textId="3B75A70D" w:rsidTr="00AF156B">
        <w:tc>
          <w:tcPr>
            <w:tcW w:w="834" w:type="pct"/>
            <w:vMerge/>
          </w:tcPr>
          <w:p w14:paraId="4A63FF2D" w14:textId="77777777" w:rsidR="00582368" w:rsidRDefault="00582368" w:rsidP="00AE5F7C">
            <w:pPr>
              <w:pStyle w:val="TabletextLeft"/>
            </w:pPr>
          </w:p>
        </w:tc>
        <w:tc>
          <w:tcPr>
            <w:tcW w:w="834" w:type="pct"/>
            <w:shd w:val="clear" w:color="auto" w:fill="auto"/>
          </w:tcPr>
          <w:p w14:paraId="79414C44" w14:textId="77777777" w:rsidR="00582368" w:rsidRDefault="00582368" w:rsidP="00AE5F7C">
            <w:pPr>
              <w:pStyle w:val="TabletextLeft"/>
              <w:jc w:val="center"/>
              <w:rPr>
                <w:rFonts w:cs="Calibri Light"/>
              </w:rPr>
            </w:pPr>
            <w:r w:rsidRPr="008D34C7">
              <w:rPr>
                <w:rFonts w:cs="Calibri Light"/>
              </w:rPr>
              <w:t xml:space="preserve">Application/renewal fee – </w:t>
            </w:r>
            <w:r>
              <w:rPr>
                <w:rFonts w:cs="Calibri Light"/>
              </w:rPr>
              <w:t>4</w:t>
            </w:r>
            <w:r w:rsidRPr="008D34C7">
              <w:rPr>
                <w:rFonts w:cs="Calibri Light"/>
              </w:rPr>
              <w:t xml:space="preserve"> activities</w:t>
            </w:r>
          </w:p>
        </w:tc>
        <w:tc>
          <w:tcPr>
            <w:tcW w:w="833" w:type="pct"/>
          </w:tcPr>
          <w:p w14:paraId="1314CF60" w14:textId="5461CFA3" w:rsidR="00582368" w:rsidRPr="008D34C7" w:rsidRDefault="00582368" w:rsidP="00AE5F7C">
            <w:pPr>
              <w:pStyle w:val="TabletextLeft"/>
              <w:jc w:val="center"/>
              <w:rPr>
                <w:rFonts w:cs="Calibri Light"/>
              </w:rPr>
            </w:pPr>
            <w:r w:rsidRPr="00B56C29">
              <w:t>140.49</w:t>
            </w:r>
          </w:p>
        </w:tc>
        <w:tc>
          <w:tcPr>
            <w:tcW w:w="833" w:type="pct"/>
          </w:tcPr>
          <w:p w14:paraId="0A060B29" w14:textId="6D989EE6"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4</w:t>
            </w:r>
            <w:r w:rsidRPr="008D34C7">
              <w:rPr>
                <w:rFonts w:cs="Calibri Light"/>
              </w:rPr>
              <w:t xml:space="preserve"> activities</w:t>
            </w:r>
          </w:p>
        </w:tc>
        <w:tc>
          <w:tcPr>
            <w:tcW w:w="833" w:type="pct"/>
          </w:tcPr>
          <w:p w14:paraId="0D892580" w14:textId="282744A2" w:rsidR="00582368" w:rsidRPr="008D34C7" w:rsidRDefault="00582368" w:rsidP="00AE5F7C">
            <w:pPr>
              <w:pStyle w:val="TabletextLeft"/>
              <w:jc w:val="center"/>
              <w:rPr>
                <w:rFonts w:cs="Calibri Light"/>
              </w:rPr>
            </w:pPr>
            <w:r w:rsidRPr="00334E3C">
              <w:t>140.49</w:t>
            </w:r>
          </w:p>
        </w:tc>
        <w:tc>
          <w:tcPr>
            <w:tcW w:w="833" w:type="pct"/>
          </w:tcPr>
          <w:p w14:paraId="2B967E75" w14:textId="0DD6B43E" w:rsidR="00582368" w:rsidRPr="00334E3C" w:rsidRDefault="00582368" w:rsidP="00AE5F7C">
            <w:pPr>
              <w:pStyle w:val="TabletextLeft"/>
              <w:jc w:val="center"/>
            </w:pPr>
            <w:r>
              <w:t>0%</w:t>
            </w:r>
          </w:p>
        </w:tc>
      </w:tr>
      <w:tr w:rsidR="00582368" w:rsidRPr="00294696" w14:paraId="1F3294CD" w14:textId="38A2E411" w:rsidTr="00AF156B">
        <w:tc>
          <w:tcPr>
            <w:tcW w:w="834" w:type="pct"/>
            <w:vMerge/>
          </w:tcPr>
          <w:p w14:paraId="0244C4C9" w14:textId="77777777" w:rsidR="00582368" w:rsidRDefault="00582368" w:rsidP="00AE5F7C">
            <w:pPr>
              <w:pStyle w:val="TabletextLeft"/>
            </w:pPr>
          </w:p>
        </w:tc>
        <w:tc>
          <w:tcPr>
            <w:tcW w:w="834" w:type="pct"/>
            <w:shd w:val="clear" w:color="auto" w:fill="auto"/>
          </w:tcPr>
          <w:p w14:paraId="233E1183" w14:textId="77777777" w:rsidR="00582368" w:rsidRDefault="00582368" w:rsidP="00AE5F7C">
            <w:pPr>
              <w:pStyle w:val="TabletextLeft"/>
              <w:jc w:val="center"/>
              <w:rPr>
                <w:rFonts w:cs="Calibri Light"/>
              </w:rPr>
            </w:pPr>
            <w:r w:rsidRPr="008D34C7">
              <w:rPr>
                <w:rFonts w:cs="Calibri Light"/>
              </w:rPr>
              <w:t xml:space="preserve">Application/renewal fee – </w:t>
            </w:r>
            <w:r>
              <w:rPr>
                <w:rFonts w:cs="Calibri Light"/>
              </w:rPr>
              <w:t>5</w:t>
            </w:r>
            <w:r w:rsidRPr="008D34C7">
              <w:rPr>
                <w:rFonts w:cs="Calibri Light"/>
              </w:rPr>
              <w:t xml:space="preserve"> activities</w:t>
            </w:r>
          </w:p>
        </w:tc>
        <w:tc>
          <w:tcPr>
            <w:tcW w:w="833" w:type="pct"/>
          </w:tcPr>
          <w:p w14:paraId="6D81316F" w14:textId="6A519F45" w:rsidR="00582368" w:rsidRPr="008D34C7" w:rsidRDefault="00582368" w:rsidP="00AE5F7C">
            <w:pPr>
              <w:pStyle w:val="TabletextLeft"/>
              <w:jc w:val="center"/>
              <w:rPr>
                <w:rFonts w:cs="Calibri Light"/>
              </w:rPr>
            </w:pPr>
            <w:r w:rsidRPr="00B56C29">
              <w:t>150.75</w:t>
            </w:r>
          </w:p>
        </w:tc>
        <w:tc>
          <w:tcPr>
            <w:tcW w:w="833" w:type="pct"/>
          </w:tcPr>
          <w:p w14:paraId="518266E3" w14:textId="56C56359"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5</w:t>
            </w:r>
            <w:r w:rsidRPr="008D34C7">
              <w:rPr>
                <w:rFonts w:cs="Calibri Light"/>
              </w:rPr>
              <w:t xml:space="preserve"> activities</w:t>
            </w:r>
          </w:p>
        </w:tc>
        <w:tc>
          <w:tcPr>
            <w:tcW w:w="833" w:type="pct"/>
          </w:tcPr>
          <w:p w14:paraId="2384E32F" w14:textId="36618A88" w:rsidR="00582368" w:rsidRPr="008D34C7" w:rsidRDefault="00582368" w:rsidP="00AE5F7C">
            <w:pPr>
              <w:pStyle w:val="TabletextLeft"/>
              <w:jc w:val="center"/>
              <w:rPr>
                <w:rFonts w:cs="Calibri Light"/>
              </w:rPr>
            </w:pPr>
            <w:r w:rsidRPr="00334E3C">
              <w:t>150.75</w:t>
            </w:r>
          </w:p>
        </w:tc>
        <w:tc>
          <w:tcPr>
            <w:tcW w:w="833" w:type="pct"/>
          </w:tcPr>
          <w:p w14:paraId="5C144135" w14:textId="125D0A65" w:rsidR="00582368" w:rsidRPr="00334E3C" w:rsidRDefault="00582368" w:rsidP="00AE5F7C">
            <w:pPr>
              <w:pStyle w:val="TabletextLeft"/>
              <w:jc w:val="center"/>
            </w:pPr>
            <w:r>
              <w:t>0%</w:t>
            </w:r>
          </w:p>
        </w:tc>
      </w:tr>
      <w:tr w:rsidR="00582368" w:rsidRPr="00294696" w14:paraId="5EC15D35" w14:textId="2DCF9125" w:rsidTr="00AF156B">
        <w:tc>
          <w:tcPr>
            <w:tcW w:w="834" w:type="pct"/>
            <w:vMerge/>
          </w:tcPr>
          <w:p w14:paraId="72834E84" w14:textId="77777777" w:rsidR="00582368" w:rsidRDefault="00582368" w:rsidP="00AE5F7C">
            <w:pPr>
              <w:pStyle w:val="TabletextLeft"/>
            </w:pPr>
          </w:p>
        </w:tc>
        <w:tc>
          <w:tcPr>
            <w:tcW w:w="834" w:type="pct"/>
            <w:shd w:val="clear" w:color="auto" w:fill="auto"/>
          </w:tcPr>
          <w:p w14:paraId="32681A2F" w14:textId="3DE794B5" w:rsidR="00582368" w:rsidRDefault="00582368" w:rsidP="00AE5F7C">
            <w:pPr>
              <w:pStyle w:val="TabletextLeft"/>
              <w:jc w:val="center"/>
              <w:rPr>
                <w:rFonts w:cs="Calibri Light"/>
              </w:rPr>
            </w:pPr>
          </w:p>
        </w:tc>
        <w:tc>
          <w:tcPr>
            <w:tcW w:w="833" w:type="pct"/>
          </w:tcPr>
          <w:p w14:paraId="1361A911" w14:textId="77777777" w:rsidR="00582368" w:rsidRPr="008D34C7" w:rsidRDefault="00582368" w:rsidP="00AE5F7C">
            <w:pPr>
              <w:pStyle w:val="TabletextLeft"/>
              <w:jc w:val="center"/>
              <w:rPr>
                <w:rFonts w:cs="Calibri Light"/>
              </w:rPr>
            </w:pPr>
          </w:p>
        </w:tc>
        <w:tc>
          <w:tcPr>
            <w:tcW w:w="833" w:type="pct"/>
          </w:tcPr>
          <w:p w14:paraId="2C2828CB" w14:textId="7D6B2B1B"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6</w:t>
            </w:r>
            <w:r w:rsidRPr="008D34C7">
              <w:rPr>
                <w:rFonts w:cs="Calibri Light"/>
              </w:rPr>
              <w:t xml:space="preserve"> activities</w:t>
            </w:r>
          </w:p>
        </w:tc>
        <w:tc>
          <w:tcPr>
            <w:tcW w:w="833" w:type="pct"/>
          </w:tcPr>
          <w:p w14:paraId="7A8DD0AE" w14:textId="0E6DE211" w:rsidR="00582368" w:rsidRPr="008D34C7" w:rsidRDefault="00582368" w:rsidP="00AE5F7C">
            <w:pPr>
              <w:pStyle w:val="TabletextLeft"/>
              <w:jc w:val="center"/>
              <w:rPr>
                <w:rFonts w:cs="Calibri Light"/>
              </w:rPr>
            </w:pPr>
            <w:r w:rsidRPr="00334E3C">
              <w:t>161.01</w:t>
            </w:r>
          </w:p>
        </w:tc>
        <w:tc>
          <w:tcPr>
            <w:tcW w:w="833" w:type="pct"/>
          </w:tcPr>
          <w:p w14:paraId="0F000B64" w14:textId="7AADD333" w:rsidR="00582368" w:rsidRPr="00334E3C" w:rsidRDefault="00582368" w:rsidP="00AE5F7C">
            <w:pPr>
              <w:pStyle w:val="TabletextLeft"/>
              <w:jc w:val="center"/>
            </w:pPr>
            <w:r>
              <w:t>n/a – new</w:t>
            </w:r>
          </w:p>
        </w:tc>
      </w:tr>
      <w:tr w:rsidR="00582368" w:rsidRPr="00294696" w14:paraId="6BC30F33" w14:textId="71610459" w:rsidTr="00AF156B">
        <w:tc>
          <w:tcPr>
            <w:tcW w:w="834" w:type="pct"/>
            <w:vMerge/>
          </w:tcPr>
          <w:p w14:paraId="3B2195D1" w14:textId="77777777" w:rsidR="00582368" w:rsidRDefault="00582368" w:rsidP="00AE5F7C">
            <w:pPr>
              <w:pStyle w:val="TabletextLeft"/>
            </w:pPr>
          </w:p>
        </w:tc>
        <w:tc>
          <w:tcPr>
            <w:tcW w:w="834" w:type="pct"/>
            <w:shd w:val="clear" w:color="auto" w:fill="auto"/>
          </w:tcPr>
          <w:p w14:paraId="127D4B6B" w14:textId="6836320E" w:rsidR="00582368" w:rsidRDefault="00582368" w:rsidP="00AE5F7C">
            <w:pPr>
              <w:pStyle w:val="TabletextLeft"/>
              <w:jc w:val="center"/>
              <w:rPr>
                <w:rFonts w:cs="Calibri Light"/>
              </w:rPr>
            </w:pPr>
          </w:p>
        </w:tc>
        <w:tc>
          <w:tcPr>
            <w:tcW w:w="833" w:type="pct"/>
          </w:tcPr>
          <w:p w14:paraId="3FB591C2" w14:textId="77777777" w:rsidR="00582368" w:rsidRPr="008D34C7" w:rsidRDefault="00582368" w:rsidP="00AE5F7C">
            <w:pPr>
              <w:pStyle w:val="TabletextLeft"/>
              <w:jc w:val="center"/>
              <w:rPr>
                <w:rFonts w:cs="Calibri Light"/>
              </w:rPr>
            </w:pPr>
          </w:p>
        </w:tc>
        <w:tc>
          <w:tcPr>
            <w:tcW w:w="833" w:type="pct"/>
          </w:tcPr>
          <w:p w14:paraId="07475C11" w14:textId="34AF2F47" w:rsidR="00582368" w:rsidRPr="008D34C7" w:rsidRDefault="00582368" w:rsidP="00AE5F7C">
            <w:pPr>
              <w:pStyle w:val="TabletextLeft"/>
              <w:jc w:val="center"/>
              <w:rPr>
                <w:rFonts w:cs="Calibri Light"/>
              </w:rPr>
            </w:pPr>
            <w:r w:rsidRPr="008D34C7">
              <w:rPr>
                <w:rFonts w:cs="Calibri Light"/>
              </w:rPr>
              <w:t xml:space="preserve">Application/renewal fee – </w:t>
            </w:r>
            <w:r>
              <w:rPr>
                <w:rFonts w:cs="Calibri Light"/>
              </w:rPr>
              <w:t>7</w:t>
            </w:r>
            <w:r w:rsidRPr="008D34C7">
              <w:rPr>
                <w:rFonts w:cs="Calibri Light"/>
              </w:rPr>
              <w:t xml:space="preserve"> activities</w:t>
            </w:r>
          </w:p>
        </w:tc>
        <w:tc>
          <w:tcPr>
            <w:tcW w:w="833" w:type="pct"/>
          </w:tcPr>
          <w:p w14:paraId="12A1B9F5" w14:textId="4352C28D" w:rsidR="00582368" w:rsidRPr="008D34C7" w:rsidRDefault="00582368" w:rsidP="00AE5F7C">
            <w:pPr>
              <w:pStyle w:val="TabletextLeft"/>
              <w:jc w:val="center"/>
              <w:rPr>
                <w:rFonts w:cs="Calibri Light"/>
              </w:rPr>
            </w:pPr>
            <w:r w:rsidRPr="00334E3C">
              <w:t>171.27</w:t>
            </w:r>
          </w:p>
        </w:tc>
        <w:tc>
          <w:tcPr>
            <w:tcW w:w="833" w:type="pct"/>
          </w:tcPr>
          <w:p w14:paraId="31F0CD88" w14:textId="3821A130" w:rsidR="00582368" w:rsidRPr="00334E3C" w:rsidRDefault="00582368" w:rsidP="00AE5F7C">
            <w:pPr>
              <w:pStyle w:val="TabletextLeft"/>
              <w:jc w:val="center"/>
            </w:pPr>
            <w:r>
              <w:t>n/a – new</w:t>
            </w:r>
          </w:p>
        </w:tc>
      </w:tr>
      <w:tr w:rsidR="00582368" w:rsidRPr="00294696" w14:paraId="05B691F2" w14:textId="3B3A2A6D" w:rsidTr="00AF156B">
        <w:tc>
          <w:tcPr>
            <w:tcW w:w="834" w:type="pct"/>
            <w:vMerge/>
          </w:tcPr>
          <w:p w14:paraId="352B14BC" w14:textId="77777777" w:rsidR="00582368" w:rsidRDefault="00582368" w:rsidP="00AE5F7C">
            <w:pPr>
              <w:pStyle w:val="TabletextLeft"/>
            </w:pPr>
          </w:p>
        </w:tc>
        <w:tc>
          <w:tcPr>
            <w:tcW w:w="834" w:type="pct"/>
            <w:shd w:val="clear" w:color="auto" w:fill="auto"/>
          </w:tcPr>
          <w:p w14:paraId="50C737DA" w14:textId="77777777" w:rsidR="00582368" w:rsidRDefault="00582368" w:rsidP="00AE5F7C">
            <w:pPr>
              <w:pStyle w:val="TabletextLeft"/>
              <w:jc w:val="center"/>
              <w:rPr>
                <w:rFonts w:cs="Calibri Light"/>
              </w:rPr>
            </w:pPr>
            <w:r>
              <w:rPr>
                <w:rFonts w:cs="Calibri Light"/>
              </w:rPr>
              <w:t>Variation fee</w:t>
            </w:r>
          </w:p>
        </w:tc>
        <w:tc>
          <w:tcPr>
            <w:tcW w:w="833" w:type="pct"/>
          </w:tcPr>
          <w:p w14:paraId="296D2F91" w14:textId="440EFC1B" w:rsidR="00582368" w:rsidRDefault="00582368" w:rsidP="00AE5F7C">
            <w:pPr>
              <w:pStyle w:val="TabletextLeft"/>
              <w:jc w:val="center"/>
              <w:rPr>
                <w:rFonts w:cs="Calibri Light"/>
              </w:rPr>
            </w:pPr>
            <w:r w:rsidRPr="00B56C29">
              <w:t>31.15</w:t>
            </w:r>
          </w:p>
        </w:tc>
        <w:tc>
          <w:tcPr>
            <w:tcW w:w="833" w:type="pct"/>
          </w:tcPr>
          <w:p w14:paraId="29167C18" w14:textId="6CB651CE" w:rsidR="00582368" w:rsidRDefault="00582368" w:rsidP="00AE5F7C">
            <w:pPr>
              <w:pStyle w:val="TabletextLeft"/>
              <w:jc w:val="center"/>
              <w:rPr>
                <w:rFonts w:cs="Calibri Light"/>
              </w:rPr>
            </w:pPr>
            <w:r>
              <w:rPr>
                <w:rFonts w:cs="Calibri Light"/>
              </w:rPr>
              <w:t>Variation fee</w:t>
            </w:r>
          </w:p>
        </w:tc>
        <w:tc>
          <w:tcPr>
            <w:tcW w:w="833" w:type="pct"/>
          </w:tcPr>
          <w:p w14:paraId="566E702C" w14:textId="3299129C" w:rsidR="00582368" w:rsidRDefault="00582368" w:rsidP="00AE5F7C">
            <w:pPr>
              <w:pStyle w:val="TabletextLeft"/>
              <w:jc w:val="center"/>
              <w:rPr>
                <w:rFonts w:cs="Calibri Light"/>
              </w:rPr>
            </w:pPr>
            <w:r w:rsidRPr="00334E3C">
              <w:t>31.15</w:t>
            </w:r>
          </w:p>
        </w:tc>
        <w:tc>
          <w:tcPr>
            <w:tcW w:w="833" w:type="pct"/>
          </w:tcPr>
          <w:p w14:paraId="417A7E40" w14:textId="1FE33145" w:rsidR="00582368" w:rsidRPr="00334E3C" w:rsidRDefault="00582368" w:rsidP="00AE5F7C">
            <w:pPr>
              <w:pStyle w:val="TabletextLeft"/>
              <w:jc w:val="center"/>
            </w:pPr>
            <w:r>
              <w:t>0%</w:t>
            </w:r>
          </w:p>
        </w:tc>
      </w:tr>
      <w:tr w:rsidR="00582368" w:rsidRPr="00294696" w14:paraId="14FC6C98" w14:textId="77777777" w:rsidTr="00AF156B">
        <w:tc>
          <w:tcPr>
            <w:tcW w:w="834" w:type="pct"/>
            <w:vMerge/>
          </w:tcPr>
          <w:p w14:paraId="76AA5AA6" w14:textId="77777777" w:rsidR="00582368" w:rsidRDefault="00582368" w:rsidP="00582368">
            <w:pPr>
              <w:pStyle w:val="TabletextLeft"/>
            </w:pPr>
          </w:p>
        </w:tc>
        <w:tc>
          <w:tcPr>
            <w:tcW w:w="834" w:type="pct"/>
            <w:shd w:val="clear" w:color="auto" w:fill="auto"/>
          </w:tcPr>
          <w:p w14:paraId="00647CB5" w14:textId="217A9078" w:rsidR="00582368" w:rsidRDefault="00582368" w:rsidP="00582368">
            <w:pPr>
              <w:pStyle w:val="TabletextLeft"/>
              <w:jc w:val="center"/>
              <w:rPr>
                <w:rFonts w:cs="Calibri Light"/>
              </w:rPr>
            </w:pPr>
            <w:r>
              <w:rPr>
                <w:rFonts w:cs="Calibri Light"/>
              </w:rPr>
              <w:t>Vary/revoke licence condition fee</w:t>
            </w:r>
          </w:p>
        </w:tc>
        <w:tc>
          <w:tcPr>
            <w:tcW w:w="833" w:type="pct"/>
          </w:tcPr>
          <w:p w14:paraId="2A10DC89" w14:textId="76051911" w:rsidR="00582368" w:rsidRPr="00B56C29" w:rsidRDefault="00582368" w:rsidP="00582368">
            <w:pPr>
              <w:pStyle w:val="TabletextLeft"/>
              <w:jc w:val="center"/>
            </w:pPr>
            <w:r>
              <w:t>2.25</w:t>
            </w:r>
          </w:p>
        </w:tc>
        <w:tc>
          <w:tcPr>
            <w:tcW w:w="833" w:type="pct"/>
          </w:tcPr>
          <w:p w14:paraId="63E930C3" w14:textId="3C9F9A56" w:rsidR="00582368" w:rsidRDefault="00582368" w:rsidP="00582368">
            <w:pPr>
              <w:pStyle w:val="TabletextLeft"/>
              <w:jc w:val="center"/>
              <w:rPr>
                <w:rFonts w:cs="Calibri Light"/>
              </w:rPr>
            </w:pPr>
            <w:r>
              <w:rPr>
                <w:rFonts w:cs="Calibri Light"/>
              </w:rPr>
              <w:t>Vary/revoke licence condition fee</w:t>
            </w:r>
          </w:p>
        </w:tc>
        <w:tc>
          <w:tcPr>
            <w:tcW w:w="833" w:type="pct"/>
          </w:tcPr>
          <w:p w14:paraId="04008B86" w14:textId="51F0A424" w:rsidR="00582368" w:rsidRPr="00334E3C" w:rsidRDefault="00582368" w:rsidP="00582368">
            <w:pPr>
              <w:pStyle w:val="TabletextLeft"/>
              <w:jc w:val="center"/>
            </w:pPr>
            <w:r>
              <w:t>2.25</w:t>
            </w:r>
          </w:p>
        </w:tc>
        <w:tc>
          <w:tcPr>
            <w:tcW w:w="833" w:type="pct"/>
          </w:tcPr>
          <w:p w14:paraId="23F54FA0" w14:textId="17D5DD2F" w:rsidR="00582368" w:rsidRDefault="00582368" w:rsidP="00582368">
            <w:pPr>
              <w:pStyle w:val="TabletextLeft"/>
              <w:jc w:val="center"/>
            </w:pPr>
            <w:r>
              <w:t>0%</w:t>
            </w:r>
          </w:p>
        </w:tc>
      </w:tr>
      <w:tr w:rsidR="00582368" w:rsidRPr="00294696" w14:paraId="0E6EA43E" w14:textId="397A8576" w:rsidTr="00AF156B">
        <w:tc>
          <w:tcPr>
            <w:tcW w:w="834" w:type="pct"/>
            <w:vMerge w:val="restart"/>
          </w:tcPr>
          <w:p w14:paraId="4809AC08" w14:textId="77777777" w:rsidR="00582368" w:rsidRDefault="00582368" w:rsidP="00582368">
            <w:pPr>
              <w:pStyle w:val="TabletextLeft"/>
            </w:pPr>
            <w:r>
              <w:t>Individual operator licence</w:t>
            </w:r>
          </w:p>
        </w:tc>
        <w:tc>
          <w:tcPr>
            <w:tcW w:w="834" w:type="pct"/>
            <w:shd w:val="clear" w:color="auto" w:fill="auto"/>
          </w:tcPr>
          <w:p w14:paraId="361994CF" w14:textId="77777777" w:rsidR="00582368" w:rsidRDefault="00582368" w:rsidP="00582368">
            <w:pPr>
              <w:pStyle w:val="TabletextLeft"/>
              <w:jc w:val="center"/>
              <w:rPr>
                <w:rFonts w:cs="Calibri Light"/>
              </w:rPr>
            </w:pPr>
            <w:r>
              <w:rPr>
                <w:rFonts w:cs="Calibri Light"/>
              </w:rPr>
              <w:t>Application/renewal fee – 1 activity</w:t>
            </w:r>
          </w:p>
        </w:tc>
        <w:tc>
          <w:tcPr>
            <w:tcW w:w="833" w:type="pct"/>
          </w:tcPr>
          <w:p w14:paraId="0EF408DA" w14:textId="7461D2A2" w:rsidR="00582368" w:rsidRDefault="00582368" w:rsidP="00582368">
            <w:pPr>
              <w:pStyle w:val="TabletextLeft"/>
              <w:jc w:val="center"/>
              <w:rPr>
                <w:rFonts w:cs="Calibri Light"/>
              </w:rPr>
            </w:pPr>
            <w:r w:rsidRPr="00B56C29">
              <w:t>28.88</w:t>
            </w:r>
          </w:p>
        </w:tc>
        <w:tc>
          <w:tcPr>
            <w:tcW w:w="833" w:type="pct"/>
          </w:tcPr>
          <w:p w14:paraId="78CBCD92" w14:textId="35F4E4A3" w:rsidR="00582368" w:rsidRDefault="00582368" w:rsidP="00582368">
            <w:pPr>
              <w:pStyle w:val="TabletextLeft"/>
              <w:jc w:val="center"/>
              <w:rPr>
                <w:rFonts w:cs="Calibri Light"/>
              </w:rPr>
            </w:pPr>
            <w:r>
              <w:rPr>
                <w:rFonts w:cs="Calibri Light"/>
              </w:rPr>
              <w:t>Application/renewal fee – 1 activity</w:t>
            </w:r>
          </w:p>
        </w:tc>
        <w:tc>
          <w:tcPr>
            <w:tcW w:w="833" w:type="pct"/>
          </w:tcPr>
          <w:p w14:paraId="6F5E7714" w14:textId="0092BBF5" w:rsidR="00582368" w:rsidRDefault="00582368" w:rsidP="00582368">
            <w:pPr>
              <w:pStyle w:val="TabletextLeft"/>
              <w:jc w:val="center"/>
              <w:rPr>
                <w:rFonts w:cs="Calibri Light"/>
              </w:rPr>
            </w:pPr>
            <w:r w:rsidRPr="00334E3C">
              <w:t>28.88</w:t>
            </w:r>
          </w:p>
        </w:tc>
        <w:tc>
          <w:tcPr>
            <w:tcW w:w="833" w:type="pct"/>
          </w:tcPr>
          <w:p w14:paraId="2C5ED73C" w14:textId="3ECD7CF8" w:rsidR="00582368" w:rsidRPr="00334E3C" w:rsidRDefault="00582368" w:rsidP="00582368">
            <w:pPr>
              <w:pStyle w:val="TabletextLeft"/>
              <w:jc w:val="center"/>
            </w:pPr>
            <w:r>
              <w:t>0%</w:t>
            </w:r>
          </w:p>
        </w:tc>
      </w:tr>
      <w:tr w:rsidR="00582368" w:rsidRPr="00294696" w14:paraId="1BB93E0B" w14:textId="4D758D72" w:rsidTr="00AF156B">
        <w:tc>
          <w:tcPr>
            <w:tcW w:w="834" w:type="pct"/>
            <w:vMerge/>
          </w:tcPr>
          <w:p w14:paraId="459F863C" w14:textId="77777777" w:rsidR="00582368" w:rsidRDefault="00582368" w:rsidP="00582368">
            <w:pPr>
              <w:pStyle w:val="TabletextLeft"/>
            </w:pPr>
          </w:p>
        </w:tc>
        <w:tc>
          <w:tcPr>
            <w:tcW w:w="834" w:type="pct"/>
            <w:shd w:val="clear" w:color="auto" w:fill="auto"/>
          </w:tcPr>
          <w:p w14:paraId="13ED8FFB" w14:textId="77777777" w:rsidR="00582368" w:rsidRDefault="00582368" w:rsidP="00582368">
            <w:pPr>
              <w:pStyle w:val="TabletextLeft"/>
              <w:jc w:val="center"/>
              <w:rPr>
                <w:rFonts w:cs="Calibri Light"/>
              </w:rPr>
            </w:pPr>
            <w:r>
              <w:rPr>
                <w:rFonts w:cs="Calibri Light"/>
              </w:rPr>
              <w:t>Application/renewal fee – 2 activities</w:t>
            </w:r>
          </w:p>
        </w:tc>
        <w:tc>
          <w:tcPr>
            <w:tcW w:w="833" w:type="pct"/>
          </w:tcPr>
          <w:p w14:paraId="7A949875" w14:textId="430D8519" w:rsidR="00582368" w:rsidRDefault="00582368" w:rsidP="00582368">
            <w:pPr>
              <w:pStyle w:val="TabletextLeft"/>
              <w:jc w:val="center"/>
              <w:rPr>
                <w:rFonts w:cs="Calibri Light"/>
              </w:rPr>
            </w:pPr>
            <w:r w:rsidRPr="00B56C29">
              <w:t>32.92</w:t>
            </w:r>
          </w:p>
        </w:tc>
        <w:tc>
          <w:tcPr>
            <w:tcW w:w="833" w:type="pct"/>
          </w:tcPr>
          <w:p w14:paraId="1CDF6DB8" w14:textId="292E919A" w:rsidR="00582368" w:rsidRDefault="00582368" w:rsidP="00582368">
            <w:pPr>
              <w:pStyle w:val="TabletextLeft"/>
              <w:jc w:val="center"/>
              <w:rPr>
                <w:rFonts w:cs="Calibri Light"/>
              </w:rPr>
            </w:pPr>
            <w:r>
              <w:rPr>
                <w:rFonts w:cs="Calibri Light"/>
              </w:rPr>
              <w:t>Application/renewal fee – 2 activities</w:t>
            </w:r>
          </w:p>
        </w:tc>
        <w:tc>
          <w:tcPr>
            <w:tcW w:w="833" w:type="pct"/>
          </w:tcPr>
          <w:p w14:paraId="4D594A9C" w14:textId="1F1549B8" w:rsidR="00582368" w:rsidRDefault="00582368" w:rsidP="00582368">
            <w:pPr>
              <w:pStyle w:val="TabletextLeft"/>
              <w:jc w:val="center"/>
              <w:rPr>
                <w:rFonts w:cs="Calibri Light"/>
              </w:rPr>
            </w:pPr>
            <w:r w:rsidRPr="00334E3C">
              <w:t>32.92</w:t>
            </w:r>
          </w:p>
        </w:tc>
        <w:tc>
          <w:tcPr>
            <w:tcW w:w="833" w:type="pct"/>
          </w:tcPr>
          <w:p w14:paraId="31C01B5E" w14:textId="5591BBF4" w:rsidR="00582368" w:rsidRPr="00334E3C" w:rsidRDefault="00582368" w:rsidP="00582368">
            <w:pPr>
              <w:pStyle w:val="TabletextLeft"/>
              <w:jc w:val="center"/>
            </w:pPr>
            <w:r>
              <w:t>0%</w:t>
            </w:r>
          </w:p>
        </w:tc>
      </w:tr>
      <w:tr w:rsidR="00582368" w:rsidRPr="00294696" w14:paraId="569716B1" w14:textId="70ADE9FE" w:rsidTr="00AF156B">
        <w:tc>
          <w:tcPr>
            <w:tcW w:w="834" w:type="pct"/>
            <w:vMerge/>
          </w:tcPr>
          <w:p w14:paraId="2C8DE5C4" w14:textId="77777777" w:rsidR="00582368" w:rsidRDefault="00582368" w:rsidP="00582368">
            <w:pPr>
              <w:pStyle w:val="TabletextLeft"/>
            </w:pPr>
          </w:p>
        </w:tc>
        <w:tc>
          <w:tcPr>
            <w:tcW w:w="834" w:type="pct"/>
            <w:shd w:val="clear" w:color="auto" w:fill="auto"/>
          </w:tcPr>
          <w:p w14:paraId="5AB46BC4" w14:textId="77777777" w:rsidR="00582368" w:rsidRDefault="00582368" w:rsidP="00582368">
            <w:pPr>
              <w:pStyle w:val="TabletextLeft"/>
              <w:jc w:val="center"/>
              <w:rPr>
                <w:rFonts w:cs="Calibri Light"/>
              </w:rPr>
            </w:pPr>
            <w:r w:rsidRPr="008D34C7">
              <w:rPr>
                <w:rFonts w:cs="Calibri Light"/>
              </w:rPr>
              <w:t xml:space="preserve">Application/renewal fee – </w:t>
            </w:r>
            <w:r>
              <w:rPr>
                <w:rFonts w:cs="Calibri Light"/>
              </w:rPr>
              <w:t>3</w:t>
            </w:r>
            <w:r w:rsidRPr="008D34C7">
              <w:rPr>
                <w:rFonts w:cs="Calibri Light"/>
              </w:rPr>
              <w:t xml:space="preserve"> activities</w:t>
            </w:r>
          </w:p>
        </w:tc>
        <w:tc>
          <w:tcPr>
            <w:tcW w:w="833" w:type="pct"/>
          </w:tcPr>
          <w:p w14:paraId="3459E140" w14:textId="413FC3CC" w:rsidR="00582368" w:rsidRPr="008D34C7" w:rsidRDefault="00582368" w:rsidP="00582368">
            <w:pPr>
              <w:pStyle w:val="TabletextLeft"/>
              <w:jc w:val="center"/>
              <w:rPr>
                <w:rFonts w:cs="Calibri Light"/>
              </w:rPr>
            </w:pPr>
            <w:r w:rsidRPr="00B56C29">
              <w:t>35.16</w:t>
            </w:r>
          </w:p>
        </w:tc>
        <w:tc>
          <w:tcPr>
            <w:tcW w:w="833" w:type="pct"/>
          </w:tcPr>
          <w:p w14:paraId="688C42F2" w14:textId="6D71731C" w:rsidR="00582368" w:rsidRPr="008D34C7" w:rsidRDefault="00582368" w:rsidP="00582368">
            <w:pPr>
              <w:pStyle w:val="TabletextLeft"/>
              <w:jc w:val="center"/>
              <w:rPr>
                <w:rFonts w:cs="Calibri Light"/>
              </w:rPr>
            </w:pPr>
            <w:r w:rsidRPr="008D34C7">
              <w:rPr>
                <w:rFonts w:cs="Calibri Light"/>
              </w:rPr>
              <w:t xml:space="preserve">Application/renewal fee – </w:t>
            </w:r>
            <w:r>
              <w:rPr>
                <w:rFonts w:cs="Calibri Light"/>
              </w:rPr>
              <w:t>3</w:t>
            </w:r>
            <w:r w:rsidRPr="008D34C7">
              <w:rPr>
                <w:rFonts w:cs="Calibri Light"/>
              </w:rPr>
              <w:t xml:space="preserve"> activities</w:t>
            </w:r>
          </w:p>
        </w:tc>
        <w:tc>
          <w:tcPr>
            <w:tcW w:w="833" w:type="pct"/>
          </w:tcPr>
          <w:p w14:paraId="67909B1D" w14:textId="0C4A8167" w:rsidR="00582368" w:rsidRPr="008D34C7" w:rsidRDefault="00582368" w:rsidP="00582368">
            <w:pPr>
              <w:pStyle w:val="TabletextLeft"/>
              <w:jc w:val="center"/>
              <w:rPr>
                <w:rFonts w:cs="Calibri Light"/>
              </w:rPr>
            </w:pPr>
            <w:r w:rsidRPr="00334E3C">
              <w:t>35.16</w:t>
            </w:r>
          </w:p>
        </w:tc>
        <w:tc>
          <w:tcPr>
            <w:tcW w:w="833" w:type="pct"/>
          </w:tcPr>
          <w:p w14:paraId="5AF69F4C" w14:textId="33CA1518" w:rsidR="00582368" w:rsidRPr="00334E3C" w:rsidRDefault="00582368" w:rsidP="00582368">
            <w:pPr>
              <w:pStyle w:val="TabletextLeft"/>
              <w:jc w:val="center"/>
            </w:pPr>
            <w:r>
              <w:t>0%</w:t>
            </w:r>
          </w:p>
        </w:tc>
      </w:tr>
      <w:tr w:rsidR="00582368" w:rsidRPr="00294696" w14:paraId="2B9CA83E" w14:textId="445DC4DB" w:rsidTr="00AF156B">
        <w:tc>
          <w:tcPr>
            <w:tcW w:w="834" w:type="pct"/>
            <w:vMerge/>
          </w:tcPr>
          <w:p w14:paraId="7D4E71FE" w14:textId="77777777" w:rsidR="00582368" w:rsidRDefault="00582368" w:rsidP="00582368">
            <w:pPr>
              <w:pStyle w:val="TabletextLeft"/>
            </w:pPr>
          </w:p>
        </w:tc>
        <w:tc>
          <w:tcPr>
            <w:tcW w:w="834" w:type="pct"/>
            <w:shd w:val="clear" w:color="auto" w:fill="auto"/>
          </w:tcPr>
          <w:p w14:paraId="45781A7B" w14:textId="77777777" w:rsidR="00582368" w:rsidRDefault="00582368" w:rsidP="00582368">
            <w:pPr>
              <w:pStyle w:val="TabletextLeft"/>
              <w:jc w:val="center"/>
              <w:rPr>
                <w:rFonts w:cs="Calibri Light"/>
              </w:rPr>
            </w:pPr>
            <w:r w:rsidRPr="008D34C7">
              <w:rPr>
                <w:rFonts w:cs="Calibri Light"/>
              </w:rPr>
              <w:t xml:space="preserve">Application/renewal fee – </w:t>
            </w:r>
            <w:r>
              <w:rPr>
                <w:rFonts w:cs="Calibri Light"/>
              </w:rPr>
              <w:t>4</w:t>
            </w:r>
            <w:r w:rsidRPr="008D34C7">
              <w:rPr>
                <w:rFonts w:cs="Calibri Light"/>
              </w:rPr>
              <w:t xml:space="preserve"> activities</w:t>
            </w:r>
          </w:p>
        </w:tc>
        <w:tc>
          <w:tcPr>
            <w:tcW w:w="833" w:type="pct"/>
          </w:tcPr>
          <w:p w14:paraId="1A1BF176" w14:textId="3592C4F4" w:rsidR="00582368" w:rsidRPr="008D34C7" w:rsidRDefault="00582368" w:rsidP="00582368">
            <w:pPr>
              <w:pStyle w:val="TabletextLeft"/>
              <w:jc w:val="center"/>
              <w:rPr>
                <w:rFonts w:cs="Calibri Light"/>
              </w:rPr>
            </w:pPr>
            <w:r w:rsidRPr="00B56C29">
              <w:t>37.40</w:t>
            </w:r>
          </w:p>
        </w:tc>
        <w:tc>
          <w:tcPr>
            <w:tcW w:w="833" w:type="pct"/>
          </w:tcPr>
          <w:p w14:paraId="68AB9A0E" w14:textId="792BA312" w:rsidR="00582368" w:rsidRPr="008D34C7" w:rsidRDefault="00582368" w:rsidP="00582368">
            <w:pPr>
              <w:pStyle w:val="TabletextLeft"/>
              <w:jc w:val="center"/>
              <w:rPr>
                <w:rFonts w:cs="Calibri Light"/>
              </w:rPr>
            </w:pPr>
            <w:r w:rsidRPr="008D34C7">
              <w:rPr>
                <w:rFonts w:cs="Calibri Light"/>
              </w:rPr>
              <w:t xml:space="preserve">Application/renewal fee – </w:t>
            </w:r>
            <w:r>
              <w:rPr>
                <w:rFonts w:cs="Calibri Light"/>
              </w:rPr>
              <w:t>4</w:t>
            </w:r>
            <w:r w:rsidRPr="008D34C7">
              <w:rPr>
                <w:rFonts w:cs="Calibri Light"/>
              </w:rPr>
              <w:t xml:space="preserve"> activities</w:t>
            </w:r>
          </w:p>
        </w:tc>
        <w:tc>
          <w:tcPr>
            <w:tcW w:w="833" w:type="pct"/>
          </w:tcPr>
          <w:p w14:paraId="5A89DFBF" w14:textId="0A61BC95" w:rsidR="00582368" w:rsidRPr="008D34C7" w:rsidRDefault="00582368" w:rsidP="00582368">
            <w:pPr>
              <w:pStyle w:val="TabletextLeft"/>
              <w:jc w:val="center"/>
              <w:rPr>
                <w:rFonts w:cs="Calibri Light"/>
              </w:rPr>
            </w:pPr>
            <w:r w:rsidRPr="00334E3C">
              <w:t>37.40</w:t>
            </w:r>
          </w:p>
        </w:tc>
        <w:tc>
          <w:tcPr>
            <w:tcW w:w="833" w:type="pct"/>
          </w:tcPr>
          <w:p w14:paraId="5C55D847" w14:textId="4847C017" w:rsidR="00582368" w:rsidRPr="00334E3C" w:rsidRDefault="00582368" w:rsidP="00582368">
            <w:pPr>
              <w:pStyle w:val="TabletextLeft"/>
              <w:jc w:val="center"/>
            </w:pPr>
            <w:r>
              <w:t>0%</w:t>
            </w:r>
          </w:p>
        </w:tc>
      </w:tr>
      <w:tr w:rsidR="00582368" w:rsidRPr="00294696" w14:paraId="01AB1EBF" w14:textId="6A228554" w:rsidTr="00AF156B">
        <w:tc>
          <w:tcPr>
            <w:tcW w:w="834" w:type="pct"/>
            <w:vMerge/>
          </w:tcPr>
          <w:p w14:paraId="33EF17E8" w14:textId="77777777" w:rsidR="00582368" w:rsidRDefault="00582368" w:rsidP="00582368">
            <w:pPr>
              <w:pStyle w:val="TabletextLeft"/>
            </w:pPr>
          </w:p>
        </w:tc>
        <w:tc>
          <w:tcPr>
            <w:tcW w:w="834" w:type="pct"/>
            <w:shd w:val="clear" w:color="auto" w:fill="auto"/>
          </w:tcPr>
          <w:p w14:paraId="767500C3" w14:textId="77777777" w:rsidR="00582368" w:rsidRDefault="00582368" w:rsidP="00582368">
            <w:pPr>
              <w:pStyle w:val="TabletextLeft"/>
              <w:jc w:val="center"/>
              <w:rPr>
                <w:rFonts w:cs="Calibri Light"/>
              </w:rPr>
            </w:pPr>
            <w:r w:rsidRPr="008D34C7">
              <w:rPr>
                <w:rFonts w:cs="Calibri Light"/>
              </w:rPr>
              <w:t xml:space="preserve">Application/renewal fee – </w:t>
            </w:r>
            <w:r>
              <w:rPr>
                <w:rFonts w:cs="Calibri Light"/>
              </w:rPr>
              <w:t>5</w:t>
            </w:r>
            <w:r w:rsidRPr="008D34C7">
              <w:rPr>
                <w:rFonts w:cs="Calibri Light"/>
              </w:rPr>
              <w:t xml:space="preserve"> activities</w:t>
            </w:r>
          </w:p>
        </w:tc>
        <w:tc>
          <w:tcPr>
            <w:tcW w:w="833" w:type="pct"/>
          </w:tcPr>
          <w:p w14:paraId="4438DC3A" w14:textId="75940AD3" w:rsidR="00582368" w:rsidRPr="008D34C7" w:rsidRDefault="00582368" w:rsidP="00582368">
            <w:pPr>
              <w:pStyle w:val="TabletextLeft"/>
              <w:jc w:val="center"/>
              <w:rPr>
                <w:rFonts w:cs="Calibri Light"/>
              </w:rPr>
            </w:pPr>
            <w:r w:rsidRPr="00B56C29">
              <w:t>39.64</w:t>
            </w:r>
          </w:p>
        </w:tc>
        <w:tc>
          <w:tcPr>
            <w:tcW w:w="833" w:type="pct"/>
          </w:tcPr>
          <w:p w14:paraId="4B9C262B" w14:textId="673054FA" w:rsidR="00582368" w:rsidRPr="008D34C7" w:rsidRDefault="00582368" w:rsidP="00582368">
            <w:pPr>
              <w:pStyle w:val="TabletextLeft"/>
              <w:jc w:val="center"/>
              <w:rPr>
                <w:rFonts w:cs="Calibri Light"/>
              </w:rPr>
            </w:pPr>
            <w:r w:rsidRPr="008D34C7">
              <w:rPr>
                <w:rFonts w:cs="Calibri Light"/>
              </w:rPr>
              <w:t xml:space="preserve">Application/renewal fee – </w:t>
            </w:r>
            <w:r>
              <w:rPr>
                <w:rFonts w:cs="Calibri Light"/>
              </w:rPr>
              <w:t>5</w:t>
            </w:r>
            <w:r w:rsidRPr="008D34C7">
              <w:rPr>
                <w:rFonts w:cs="Calibri Light"/>
              </w:rPr>
              <w:t xml:space="preserve"> activities</w:t>
            </w:r>
          </w:p>
        </w:tc>
        <w:tc>
          <w:tcPr>
            <w:tcW w:w="833" w:type="pct"/>
          </w:tcPr>
          <w:p w14:paraId="58CEE2A6" w14:textId="3F3D62B7" w:rsidR="00582368" w:rsidRPr="008D34C7" w:rsidRDefault="00582368" w:rsidP="00582368">
            <w:pPr>
              <w:pStyle w:val="TabletextLeft"/>
              <w:jc w:val="center"/>
              <w:rPr>
                <w:rFonts w:cs="Calibri Light"/>
              </w:rPr>
            </w:pPr>
            <w:r w:rsidRPr="00334E3C">
              <w:t>39.64</w:t>
            </w:r>
          </w:p>
        </w:tc>
        <w:tc>
          <w:tcPr>
            <w:tcW w:w="833" w:type="pct"/>
          </w:tcPr>
          <w:p w14:paraId="4961CEFE" w14:textId="72E01328" w:rsidR="00582368" w:rsidRPr="00334E3C" w:rsidRDefault="00582368" w:rsidP="00582368">
            <w:pPr>
              <w:pStyle w:val="TabletextLeft"/>
              <w:jc w:val="center"/>
            </w:pPr>
            <w:r>
              <w:t>0%</w:t>
            </w:r>
          </w:p>
        </w:tc>
      </w:tr>
      <w:tr w:rsidR="00582368" w:rsidRPr="00294696" w14:paraId="258510A6" w14:textId="1E671F49" w:rsidTr="00AF156B">
        <w:tc>
          <w:tcPr>
            <w:tcW w:w="834" w:type="pct"/>
            <w:vMerge/>
          </w:tcPr>
          <w:p w14:paraId="1CC73A10" w14:textId="77777777" w:rsidR="00582368" w:rsidRDefault="00582368" w:rsidP="00582368">
            <w:pPr>
              <w:pStyle w:val="TabletextLeft"/>
            </w:pPr>
          </w:p>
        </w:tc>
        <w:tc>
          <w:tcPr>
            <w:tcW w:w="834" w:type="pct"/>
            <w:shd w:val="clear" w:color="auto" w:fill="auto"/>
          </w:tcPr>
          <w:p w14:paraId="220B45E4" w14:textId="32406FD3" w:rsidR="00582368" w:rsidRDefault="00582368" w:rsidP="00582368">
            <w:pPr>
              <w:pStyle w:val="TabletextLeft"/>
              <w:jc w:val="center"/>
              <w:rPr>
                <w:rFonts w:cs="Calibri Light"/>
              </w:rPr>
            </w:pPr>
          </w:p>
        </w:tc>
        <w:tc>
          <w:tcPr>
            <w:tcW w:w="833" w:type="pct"/>
          </w:tcPr>
          <w:p w14:paraId="0F5EE3F1" w14:textId="77777777" w:rsidR="00582368" w:rsidRPr="008D34C7" w:rsidRDefault="00582368" w:rsidP="00582368">
            <w:pPr>
              <w:pStyle w:val="TabletextLeft"/>
              <w:jc w:val="center"/>
              <w:rPr>
                <w:rFonts w:cs="Calibri Light"/>
              </w:rPr>
            </w:pPr>
          </w:p>
        </w:tc>
        <w:tc>
          <w:tcPr>
            <w:tcW w:w="833" w:type="pct"/>
          </w:tcPr>
          <w:p w14:paraId="603249AB" w14:textId="11D40F62" w:rsidR="00582368" w:rsidRPr="008D34C7" w:rsidRDefault="00582368" w:rsidP="00582368">
            <w:pPr>
              <w:pStyle w:val="TabletextLeft"/>
              <w:jc w:val="center"/>
              <w:rPr>
                <w:rFonts w:cs="Calibri Light"/>
              </w:rPr>
            </w:pPr>
            <w:r w:rsidRPr="008D34C7">
              <w:rPr>
                <w:rFonts w:cs="Calibri Light"/>
              </w:rPr>
              <w:t xml:space="preserve">Application/renewal fee – </w:t>
            </w:r>
            <w:r>
              <w:rPr>
                <w:rFonts w:cs="Calibri Light"/>
              </w:rPr>
              <w:t>6</w:t>
            </w:r>
            <w:r w:rsidRPr="008D34C7">
              <w:rPr>
                <w:rFonts w:cs="Calibri Light"/>
              </w:rPr>
              <w:t xml:space="preserve"> activities</w:t>
            </w:r>
          </w:p>
        </w:tc>
        <w:tc>
          <w:tcPr>
            <w:tcW w:w="833" w:type="pct"/>
          </w:tcPr>
          <w:p w14:paraId="212649FC" w14:textId="07DBB049" w:rsidR="00582368" w:rsidRPr="008D34C7" w:rsidRDefault="00582368" w:rsidP="00582368">
            <w:pPr>
              <w:pStyle w:val="TabletextLeft"/>
              <w:jc w:val="center"/>
              <w:rPr>
                <w:rFonts w:cs="Calibri Light"/>
              </w:rPr>
            </w:pPr>
            <w:r w:rsidRPr="00334E3C">
              <w:t>41.88</w:t>
            </w:r>
          </w:p>
        </w:tc>
        <w:tc>
          <w:tcPr>
            <w:tcW w:w="833" w:type="pct"/>
          </w:tcPr>
          <w:p w14:paraId="7527E425" w14:textId="02C92E55" w:rsidR="00582368" w:rsidRPr="00334E3C" w:rsidRDefault="00582368" w:rsidP="00582368">
            <w:pPr>
              <w:pStyle w:val="TabletextLeft"/>
              <w:jc w:val="center"/>
            </w:pPr>
            <w:r>
              <w:t>n/a – new</w:t>
            </w:r>
          </w:p>
        </w:tc>
      </w:tr>
      <w:tr w:rsidR="00582368" w:rsidRPr="00294696" w14:paraId="0DAC4282" w14:textId="27450EE1" w:rsidTr="00AF156B">
        <w:tc>
          <w:tcPr>
            <w:tcW w:w="834" w:type="pct"/>
            <w:vMerge/>
          </w:tcPr>
          <w:p w14:paraId="7CDC7B74" w14:textId="77777777" w:rsidR="00582368" w:rsidRDefault="00582368" w:rsidP="00582368">
            <w:pPr>
              <w:pStyle w:val="TabletextLeft"/>
            </w:pPr>
          </w:p>
        </w:tc>
        <w:tc>
          <w:tcPr>
            <w:tcW w:w="834" w:type="pct"/>
            <w:shd w:val="clear" w:color="auto" w:fill="auto"/>
          </w:tcPr>
          <w:p w14:paraId="31791876" w14:textId="13CC6F4B" w:rsidR="00582368" w:rsidRDefault="00582368" w:rsidP="00582368">
            <w:pPr>
              <w:pStyle w:val="TabletextLeft"/>
              <w:jc w:val="center"/>
              <w:rPr>
                <w:rFonts w:cs="Calibri Light"/>
              </w:rPr>
            </w:pPr>
          </w:p>
        </w:tc>
        <w:tc>
          <w:tcPr>
            <w:tcW w:w="833" w:type="pct"/>
          </w:tcPr>
          <w:p w14:paraId="4B9EC44A" w14:textId="77777777" w:rsidR="00582368" w:rsidRPr="008D34C7" w:rsidRDefault="00582368" w:rsidP="00582368">
            <w:pPr>
              <w:pStyle w:val="TabletextLeft"/>
              <w:jc w:val="center"/>
              <w:rPr>
                <w:rFonts w:cs="Calibri Light"/>
              </w:rPr>
            </w:pPr>
          </w:p>
        </w:tc>
        <w:tc>
          <w:tcPr>
            <w:tcW w:w="833" w:type="pct"/>
          </w:tcPr>
          <w:p w14:paraId="3EDE439F" w14:textId="7EE8FF80" w:rsidR="00582368" w:rsidRPr="008D34C7" w:rsidRDefault="00582368" w:rsidP="00582368">
            <w:pPr>
              <w:pStyle w:val="TabletextLeft"/>
              <w:jc w:val="center"/>
              <w:rPr>
                <w:rFonts w:cs="Calibri Light"/>
              </w:rPr>
            </w:pPr>
            <w:r w:rsidRPr="008D34C7">
              <w:rPr>
                <w:rFonts w:cs="Calibri Light"/>
              </w:rPr>
              <w:t xml:space="preserve">Application/renewal fee – </w:t>
            </w:r>
            <w:r>
              <w:rPr>
                <w:rFonts w:cs="Calibri Light"/>
              </w:rPr>
              <w:t>7</w:t>
            </w:r>
            <w:r w:rsidRPr="008D34C7">
              <w:rPr>
                <w:rFonts w:cs="Calibri Light"/>
              </w:rPr>
              <w:t xml:space="preserve"> activities</w:t>
            </w:r>
          </w:p>
        </w:tc>
        <w:tc>
          <w:tcPr>
            <w:tcW w:w="833" w:type="pct"/>
          </w:tcPr>
          <w:p w14:paraId="5EF020AD" w14:textId="23093C8F" w:rsidR="00582368" w:rsidRPr="008D34C7" w:rsidRDefault="00582368" w:rsidP="00582368">
            <w:pPr>
              <w:pStyle w:val="TabletextLeft"/>
              <w:jc w:val="center"/>
              <w:rPr>
                <w:rFonts w:cs="Calibri Light"/>
              </w:rPr>
            </w:pPr>
            <w:r w:rsidRPr="00334E3C">
              <w:t>44.12</w:t>
            </w:r>
          </w:p>
        </w:tc>
        <w:tc>
          <w:tcPr>
            <w:tcW w:w="833" w:type="pct"/>
          </w:tcPr>
          <w:p w14:paraId="1F5885DD" w14:textId="54F9687B" w:rsidR="00582368" w:rsidRPr="00334E3C" w:rsidRDefault="00582368" w:rsidP="00582368">
            <w:pPr>
              <w:pStyle w:val="TabletextLeft"/>
              <w:jc w:val="center"/>
            </w:pPr>
            <w:r>
              <w:t>n/a – new</w:t>
            </w:r>
          </w:p>
        </w:tc>
      </w:tr>
      <w:tr w:rsidR="00582368" w:rsidRPr="00294696" w14:paraId="4D6E6C00" w14:textId="78AB263E" w:rsidTr="00AF156B">
        <w:tc>
          <w:tcPr>
            <w:tcW w:w="834" w:type="pct"/>
            <w:vMerge/>
          </w:tcPr>
          <w:p w14:paraId="24802E53" w14:textId="77777777" w:rsidR="00582368" w:rsidRDefault="00582368" w:rsidP="00582368">
            <w:pPr>
              <w:pStyle w:val="TabletextLeft"/>
            </w:pPr>
          </w:p>
        </w:tc>
        <w:tc>
          <w:tcPr>
            <w:tcW w:w="834" w:type="pct"/>
            <w:shd w:val="clear" w:color="auto" w:fill="auto"/>
          </w:tcPr>
          <w:p w14:paraId="647DE95C" w14:textId="77777777" w:rsidR="00582368" w:rsidRDefault="00582368" w:rsidP="00582368">
            <w:pPr>
              <w:pStyle w:val="TabletextLeft"/>
              <w:jc w:val="center"/>
              <w:rPr>
                <w:rFonts w:cs="Calibri Light"/>
              </w:rPr>
            </w:pPr>
            <w:r>
              <w:rPr>
                <w:rFonts w:cs="Calibri Light"/>
              </w:rPr>
              <w:t>Variation fee</w:t>
            </w:r>
          </w:p>
        </w:tc>
        <w:tc>
          <w:tcPr>
            <w:tcW w:w="833" w:type="pct"/>
          </w:tcPr>
          <w:p w14:paraId="1166579B" w14:textId="285312E6" w:rsidR="00582368" w:rsidRDefault="00582368" w:rsidP="00582368">
            <w:pPr>
              <w:pStyle w:val="TabletextLeft"/>
              <w:jc w:val="center"/>
              <w:rPr>
                <w:rFonts w:cs="Calibri Light"/>
              </w:rPr>
            </w:pPr>
            <w:r w:rsidRPr="00B56C29">
              <w:t>8.43</w:t>
            </w:r>
          </w:p>
        </w:tc>
        <w:tc>
          <w:tcPr>
            <w:tcW w:w="833" w:type="pct"/>
          </w:tcPr>
          <w:p w14:paraId="059D8350" w14:textId="5D1BDFD2" w:rsidR="00582368" w:rsidRDefault="00582368" w:rsidP="00582368">
            <w:pPr>
              <w:pStyle w:val="TabletextLeft"/>
              <w:jc w:val="center"/>
              <w:rPr>
                <w:rFonts w:cs="Calibri Light"/>
              </w:rPr>
            </w:pPr>
            <w:r>
              <w:rPr>
                <w:rFonts w:cs="Calibri Light"/>
              </w:rPr>
              <w:t>Variation fee</w:t>
            </w:r>
          </w:p>
        </w:tc>
        <w:tc>
          <w:tcPr>
            <w:tcW w:w="833" w:type="pct"/>
          </w:tcPr>
          <w:p w14:paraId="62D92670" w14:textId="2153C4FC" w:rsidR="00582368" w:rsidRDefault="00582368" w:rsidP="00582368">
            <w:pPr>
              <w:pStyle w:val="TabletextLeft"/>
              <w:jc w:val="center"/>
              <w:rPr>
                <w:rFonts w:cs="Calibri Light"/>
              </w:rPr>
            </w:pPr>
            <w:r w:rsidRPr="00334E3C">
              <w:t>8.43</w:t>
            </w:r>
          </w:p>
        </w:tc>
        <w:tc>
          <w:tcPr>
            <w:tcW w:w="833" w:type="pct"/>
          </w:tcPr>
          <w:p w14:paraId="58E716A0" w14:textId="28BDF1C3" w:rsidR="00582368" w:rsidRPr="00334E3C" w:rsidRDefault="00582368" w:rsidP="00582368">
            <w:pPr>
              <w:pStyle w:val="TabletextLeft"/>
              <w:jc w:val="center"/>
            </w:pPr>
            <w:r>
              <w:t>0%</w:t>
            </w:r>
          </w:p>
        </w:tc>
      </w:tr>
      <w:tr w:rsidR="00582368" w:rsidRPr="00294696" w14:paraId="09253031" w14:textId="77777777" w:rsidTr="00AF156B">
        <w:tc>
          <w:tcPr>
            <w:tcW w:w="834" w:type="pct"/>
            <w:vMerge/>
          </w:tcPr>
          <w:p w14:paraId="067DB29B" w14:textId="77777777" w:rsidR="00582368" w:rsidRDefault="00582368" w:rsidP="00582368">
            <w:pPr>
              <w:pStyle w:val="TabletextLeft"/>
            </w:pPr>
          </w:p>
        </w:tc>
        <w:tc>
          <w:tcPr>
            <w:tcW w:w="834" w:type="pct"/>
            <w:shd w:val="clear" w:color="auto" w:fill="auto"/>
          </w:tcPr>
          <w:p w14:paraId="1F399A1C" w14:textId="79DB37DD" w:rsidR="00582368" w:rsidRDefault="00582368" w:rsidP="00582368">
            <w:pPr>
              <w:pStyle w:val="TabletextLeft"/>
              <w:jc w:val="center"/>
              <w:rPr>
                <w:rFonts w:cs="Calibri Light"/>
              </w:rPr>
            </w:pPr>
            <w:r>
              <w:rPr>
                <w:rFonts w:cs="Calibri Light"/>
              </w:rPr>
              <w:t>Vary/revoke licence condition fee</w:t>
            </w:r>
          </w:p>
        </w:tc>
        <w:tc>
          <w:tcPr>
            <w:tcW w:w="833" w:type="pct"/>
          </w:tcPr>
          <w:p w14:paraId="7FD9E7AE" w14:textId="69FB1C7B" w:rsidR="00582368" w:rsidRPr="00B56C29" w:rsidRDefault="00582368" w:rsidP="00582368">
            <w:pPr>
              <w:pStyle w:val="TabletextLeft"/>
              <w:jc w:val="center"/>
            </w:pPr>
            <w:r>
              <w:t>2.25</w:t>
            </w:r>
          </w:p>
        </w:tc>
        <w:tc>
          <w:tcPr>
            <w:tcW w:w="833" w:type="pct"/>
          </w:tcPr>
          <w:p w14:paraId="6599F14C" w14:textId="61809CFB" w:rsidR="00582368" w:rsidRDefault="00582368" w:rsidP="00582368">
            <w:pPr>
              <w:pStyle w:val="TabletextLeft"/>
              <w:jc w:val="center"/>
              <w:rPr>
                <w:rFonts w:cs="Calibri Light"/>
              </w:rPr>
            </w:pPr>
            <w:r>
              <w:rPr>
                <w:rFonts w:cs="Calibri Light"/>
              </w:rPr>
              <w:t>Vary/revoke licence condition fee</w:t>
            </w:r>
          </w:p>
        </w:tc>
        <w:tc>
          <w:tcPr>
            <w:tcW w:w="833" w:type="pct"/>
          </w:tcPr>
          <w:p w14:paraId="5DCAF0CF" w14:textId="1E134485" w:rsidR="00582368" w:rsidRPr="00334E3C" w:rsidRDefault="00582368" w:rsidP="00582368">
            <w:pPr>
              <w:pStyle w:val="TabletextLeft"/>
              <w:jc w:val="center"/>
            </w:pPr>
            <w:r>
              <w:t>2.25</w:t>
            </w:r>
          </w:p>
        </w:tc>
        <w:tc>
          <w:tcPr>
            <w:tcW w:w="833" w:type="pct"/>
          </w:tcPr>
          <w:p w14:paraId="4D852D3C" w14:textId="6438550A" w:rsidR="00582368" w:rsidRDefault="00582368" w:rsidP="00582368">
            <w:pPr>
              <w:pStyle w:val="TabletextLeft"/>
              <w:jc w:val="center"/>
            </w:pPr>
            <w:r>
              <w:t>0%</w:t>
            </w:r>
          </w:p>
        </w:tc>
      </w:tr>
      <w:tr w:rsidR="00582368" w:rsidRPr="00294696" w14:paraId="7EBF4365" w14:textId="493DAB72" w:rsidTr="00AF156B">
        <w:tc>
          <w:tcPr>
            <w:tcW w:w="834" w:type="pct"/>
          </w:tcPr>
          <w:p w14:paraId="228D5A54" w14:textId="064B94C3" w:rsidR="00582368" w:rsidRDefault="00582368" w:rsidP="00582368">
            <w:pPr>
              <w:pStyle w:val="TabletextLeft"/>
            </w:pPr>
            <w:r>
              <w:t>Business registration – natural persons</w:t>
            </w:r>
          </w:p>
        </w:tc>
        <w:tc>
          <w:tcPr>
            <w:tcW w:w="834" w:type="pct"/>
            <w:shd w:val="clear" w:color="auto" w:fill="auto"/>
          </w:tcPr>
          <w:p w14:paraId="23CF000A" w14:textId="0B33FEE1" w:rsidR="00582368" w:rsidRDefault="00582368" w:rsidP="00582368">
            <w:pPr>
              <w:pStyle w:val="TabletextLeft"/>
              <w:jc w:val="center"/>
              <w:rPr>
                <w:rFonts w:cs="Calibri Light"/>
              </w:rPr>
            </w:pPr>
            <w:r>
              <w:rPr>
                <w:rFonts w:cs="Calibri Light"/>
              </w:rPr>
              <w:t>Application/renewal fee – 1 activity</w:t>
            </w:r>
          </w:p>
        </w:tc>
        <w:tc>
          <w:tcPr>
            <w:tcW w:w="833" w:type="pct"/>
          </w:tcPr>
          <w:p w14:paraId="287BD8E5" w14:textId="6B1DB726" w:rsidR="00582368" w:rsidRDefault="00582368" w:rsidP="00582368">
            <w:pPr>
              <w:pStyle w:val="TabletextLeft"/>
              <w:jc w:val="center"/>
              <w:rPr>
                <w:rFonts w:cs="Calibri Light"/>
              </w:rPr>
            </w:pPr>
            <w:r w:rsidRPr="00B56C29">
              <w:t>49.35</w:t>
            </w:r>
          </w:p>
        </w:tc>
        <w:tc>
          <w:tcPr>
            <w:tcW w:w="833" w:type="pct"/>
          </w:tcPr>
          <w:p w14:paraId="574149F6" w14:textId="42B803F0" w:rsidR="00582368" w:rsidRDefault="00582368" w:rsidP="00582368">
            <w:pPr>
              <w:pStyle w:val="TabletextLeft"/>
              <w:jc w:val="center"/>
              <w:rPr>
                <w:rFonts w:cs="Calibri Light"/>
              </w:rPr>
            </w:pPr>
            <w:r>
              <w:rPr>
                <w:rFonts w:cs="Calibri Light"/>
              </w:rPr>
              <w:t>n/a</w:t>
            </w:r>
          </w:p>
        </w:tc>
        <w:tc>
          <w:tcPr>
            <w:tcW w:w="833" w:type="pct"/>
          </w:tcPr>
          <w:p w14:paraId="06E4D3AE" w14:textId="3A602183" w:rsidR="00582368" w:rsidRDefault="00582368" w:rsidP="00582368">
            <w:pPr>
              <w:pStyle w:val="TabletextLeft"/>
              <w:jc w:val="center"/>
              <w:rPr>
                <w:rFonts w:cs="Calibri Light"/>
              </w:rPr>
            </w:pPr>
            <w:r w:rsidRPr="00334E3C">
              <w:t>n/a</w:t>
            </w:r>
          </w:p>
        </w:tc>
        <w:tc>
          <w:tcPr>
            <w:tcW w:w="833" w:type="pct"/>
          </w:tcPr>
          <w:p w14:paraId="5DE7166B" w14:textId="0585CAF1" w:rsidR="00582368" w:rsidRPr="00334E3C" w:rsidRDefault="00582368" w:rsidP="00582368">
            <w:pPr>
              <w:pStyle w:val="TabletextLeft"/>
              <w:jc w:val="center"/>
            </w:pPr>
            <w:r>
              <w:t xml:space="preserve">n/a – removed </w:t>
            </w:r>
          </w:p>
        </w:tc>
      </w:tr>
      <w:tr w:rsidR="00582368" w:rsidRPr="00294696" w14:paraId="3118391D" w14:textId="61E470F8" w:rsidTr="00AF156B">
        <w:tc>
          <w:tcPr>
            <w:tcW w:w="834" w:type="pct"/>
          </w:tcPr>
          <w:p w14:paraId="3F3B050F" w14:textId="77777777" w:rsidR="00582368" w:rsidRDefault="00582368" w:rsidP="00582368">
            <w:pPr>
              <w:pStyle w:val="TabletextLeft"/>
            </w:pPr>
          </w:p>
        </w:tc>
        <w:tc>
          <w:tcPr>
            <w:tcW w:w="834" w:type="pct"/>
            <w:shd w:val="clear" w:color="auto" w:fill="auto"/>
          </w:tcPr>
          <w:p w14:paraId="563DE1F8" w14:textId="64C5BEA0" w:rsidR="00582368" w:rsidRDefault="00582368" w:rsidP="00582368">
            <w:pPr>
              <w:pStyle w:val="TabletextLeft"/>
              <w:jc w:val="center"/>
              <w:rPr>
                <w:rFonts w:cs="Calibri Light"/>
              </w:rPr>
            </w:pPr>
            <w:r>
              <w:rPr>
                <w:rFonts w:cs="Calibri Light"/>
              </w:rPr>
              <w:t>Application/renewal fee – 2 activities</w:t>
            </w:r>
          </w:p>
        </w:tc>
        <w:tc>
          <w:tcPr>
            <w:tcW w:w="833" w:type="pct"/>
          </w:tcPr>
          <w:p w14:paraId="794D9CDF" w14:textId="47637D8D" w:rsidR="00582368" w:rsidRDefault="00582368" w:rsidP="00582368">
            <w:pPr>
              <w:pStyle w:val="TabletextLeft"/>
              <w:jc w:val="center"/>
              <w:rPr>
                <w:rFonts w:cs="Calibri Light"/>
              </w:rPr>
            </w:pPr>
            <w:r w:rsidRPr="00B56C29">
              <w:t>53.68</w:t>
            </w:r>
          </w:p>
        </w:tc>
        <w:tc>
          <w:tcPr>
            <w:tcW w:w="833" w:type="pct"/>
          </w:tcPr>
          <w:p w14:paraId="1F12D8EA" w14:textId="656BF2C7" w:rsidR="00582368" w:rsidRDefault="00582368" w:rsidP="00582368">
            <w:pPr>
              <w:pStyle w:val="TabletextLeft"/>
              <w:jc w:val="center"/>
              <w:rPr>
                <w:rFonts w:cs="Calibri Light"/>
              </w:rPr>
            </w:pPr>
            <w:r>
              <w:rPr>
                <w:rFonts w:cs="Calibri Light"/>
              </w:rPr>
              <w:t>n/a</w:t>
            </w:r>
          </w:p>
        </w:tc>
        <w:tc>
          <w:tcPr>
            <w:tcW w:w="833" w:type="pct"/>
          </w:tcPr>
          <w:p w14:paraId="0B34BD2F" w14:textId="3686F42D" w:rsidR="00582368" w:rsidRDefault="00582368" w:rsidP="00582368">
            <w:pPr>
              <w:pStyle w:val="TabletextLeft"/>
              <w:jc w:val="center"/>
              <w:rPr>
                <w:rFonts w:cs="Calibri Light"/>
              </w:rPr>
            </w:pPr>
            <w:r w:rsidRPr="00334E3C">
              <w:t>n/a</w:t>
            </w:r>
          </w:p>
        </w:tc>
        <w:tc>
          <w:tcPr>
            <w:tcW w:w="833" w:type="pct"/>
          </w:tcPr>
          <w:p w14:paraId="13CECBFD" w14:textId="3296F523" w:rsidR="00582368" w:rsidRPr="00334E3C" w:rsidRDefault="00582368" w:rsidP="00582368">
            <w:pPr>
              <w:pStyle w:val="TabletextLeft"/>
              <w:jc w:val="center"/>
            </w:pPr>
            <w:r w:rsidRPr="00CE6661">
              <w:t xml:space="preserve">n/a – removed </w:t>
            </w:r>
          </w:p>
        </w:tc>
      </w:tr>
      <w:tr w:rsidR="00582368" w:rsidRPr="00294696" w14:paraId="31B9D0B1" w14:textId="428C51B4" w:rsidTr="00AF156B">
        <w:tc>
          <w:tcPr>
            <w:tcW w:w="834" w:type="pct"/>
          </w:tcPr>
          <w:p w14:paraId="15757818" w14:textId="77777777" w:rsidR="00582368" w:rsidRDefault="00582368" w:rsidP="00582368">
            <w:pPr>
              <w:pStyle w:val="TabletextLeft"/>
            </w:pPr>
          </w:p>
        </w:tc>
        <w:tc>
          <w:tcPr>
            <w:tcW w:w="834" w:type="pct"/>
            <w:shd w:val="clear" w:color="auto" w:fill="auto"/>
          </w:tcPr>
          <w:p w14:paraId="568CDFB3" w14:textId="16EF5B93" w:rsidR="00582368" w:rsidRDefault="00582368" w:rsidP="00582368">
            <w:pPr>
              <w:pStyle w:val="TabletextLeft"/>
              <w:jc w:val="center"/>
              <w:rPr>
                <w:rFonts w:cs="Calibri Light"/>
              </w:rPr>
            </w:pPr>
            <w:r>
              <w:rPr>
                <w:rFonts w:cs="Calibri Light"/>
              </w:rPr>
              <w:t>Variation fee</w:t>
            </w:r>
          </w:p>
        </w:tc>
        <w:tc>
          <w:tcPr>
            <w:tcW w:w="833" w:type="pct"/>
          </w:tcPr>
          <w:p w14:paraId="39DF45AA" w14:textId="5B4B175E" w:rsidR="00582368" w:rsidRDefault="00582368" w:rsidP="00582368">
            <w:pPr>
              <w:pStyle w:val="TabletextLeft"/>
              <w:jc w:val="center"/>
              <w:rPr>
                <w:rFonts w:cs="Calibri Light"/>
              </w:rPr>
            </w:pPr>
            <w:r w:rsidRPr="00B56C29">
              <w:t>14.01</w:t>
            </w:r>
          </w:p>
        </w:tc>
        <w:tc>
          <w:tcPr>
            <w:tcW w:w="833" w:type="pct"/>
          </w:tcPr>
          <w:p w14:paraId="756EAB98" w14:textId="50D5EC83" w:rsidR="00582368" w:rsidRDefault="00582368" w:rsidP="00582368">
            <w:pPr>
              <w:pStyle w:val="TabletextLeft"/>
              <w:jc w:val="center"/>
              <w:rPr>
                <w:rFonts w:cs="Calibri Light"/>
              </w:rPr>
            </w:pPr>
            <w:r>
              <w:rPr>
                <w:rFonts w:cs="Calibri Light"/>
              </w:rPr>
              <w:t>n/a</w:t>
            </w:r>
          </w:p>
        </w:tc>
        <w:tc>
          <w:tcPr>
            <w:tcW w:w="833" w:type="pct"/>
          </w:tcPr>
          <w:p w14:paraId="11ADB680" w14:textId="54E7D11F" w:rsidR="00582368" w:rsidRDefault="00582368" w:rsidP="00582368">
            <w:pPr>
              <w:pStyle w:val="TabletextLeft"/>
              <w:jc w:val="center"/>
              <w:rPr>
                <w:rFonts w:cs="Calibri Light"/>
              </w:rPr>
            </w:pPr>
            <w:r w:rsidRPr="00334E3C">
              <w:t>n/a</w:t>
            </w:r>
          </w:p>
        </w:tc>
        <w:tc>
          <w:tcPr>
            <w:tcW w:w="833" w:type="pct"/>
          </w:tcPr>
          <w:p w14:paraId="1C273A2A" w14:textId="6446FD27" w:rsidR="00582368" w:rsidRPr="00334E3C" w:rsidRDefault="00582368" w:rsidP="00582368">
            <w:pPr>
              <w:pStyle w:val="TabletextLeft"/>
              <w:jc w:val="center"/>
            </w:pPr>
            <w:r w:rsidRPr="00CE6661">
              <w:t xml:space="preserve">n/a – removed </w:t>
            </w:r>
          </w:p>
        </w:tc>
      </w:tr>
      <w:tr w:rsidR="00582368" w:rsidRPr="00294696" w14:paraId="43A92CAE" w14:textId="369B3454" w:rsidTr="00AF156B">
        <w:tc>
          <w:tcPr>
            <w:tcW w:w="834" w:type="pct"/>
          </w:tcPr>
          <w:p w14:paraId="26F019F3" w14:textId="39A75520" w:rsidR="00582368" w:rsidRDefault="00582368" w:rsidP="00582368">
            <w:pPr>
              <w:pStyle w:val="TabletextLeft"/>
            </w:pPr>
            <w:r>
              <w:t>Business registration – body corporates</w:t>
            </w:r>
          </w:p>
        </w:tc>
        <w:tc>
          <w:tcPr>
            <w:tcW w:w="834" w:type="pct"/>
            <w:shd w:val="clear" w:color="auto" w:fill="auto"/>
          </w:tcPr>
          <w:p w14:paraId="64203E37" w14:textId="4D33A5C8" w:rsidR="00582368" w:rsidRDefault="00582368" w:rsidP="00582368">
            <w:pPr>
              <w:pStyle w:val="TabletextLeft"/>
              <w:jc w:val="center"/>
              <w:rPr>
                <w:rFonts w:cs="Calibri Light"/>
              </w:rPr>
            </w:pPr>
            <w:r>
              <w:rPr>
                <w:rFonts w:cs="Calibri Light"/>
              </w:rPr>
              <w:t>Application/renewal fee – 1 activity</w:t>
            </w:r>
          </w:p>
        </w:tc>
        <w:tc>
          <w:tcPr>
            <w:tcW w:w="833" w:type="pct"/>
          </w:tcPr>
          <w:p w14:paraId="0EFDA9C4" w14:textId="3AF2773F" w:rsidR="00582368" w:rsidRDefault="00582368" w:rsidP="00582368">
            <w:pPr>
              <w:pStyle w:val="TabletextLeft"/>
              <w:jc w:val="center"/>
              <w:rPr>
                <w:rFonts w:cs="Calibri Light"/>
              </w:rPr>
            </w:pPr>
            <w:r w:rsidRPr="00B56C29">
              <w:t>82.68</w:t>
            </w:r>
          </w:p>
        </w:tc>
        <w:tc>
          <w:tcPr>
            <w:tcW w:w="833" w:type="pct"/>
          </w:tcPr>
          <w:p w14:paraId="43FFB400" w14:textId="2524C747" w:rsidR="00582368" w:rsidRDefault="00582368" w:rsidP="00582368">
            <w:pPr>
              <w:pStyle w:val="TabletextLeft"/>
              <w:jc w:val="center"/>
              <w:rPr>
                <w:rFonts w:cs="Calibri Light"/>
              </w:rPr>
            </w:pPr>
            <w:r>
              <w:rPr>
                <w:rFonts w:cs="Calibri Light"/>
              </w:rPr>
              <w:t>n/a</w:t>
            </w:r>
          </w:p>
        </w:tc>
        <w:tc>
          <w:tcPr>
            <w:tcW w:w="833" w:type="pct"/>
          </w:tcPr>
          <w:p w14:paraId="03EA3E87" w14:textId="48FA6315" w:rsidR="00582368" w:rsidRDefault="00582368" w:rsidP="00582368">
            <w:pPr>
              <w:pStyle w:val="TabletextLeft"/>
              <w:jc w:val="center"/>
              <w:rPr>
                <w:rFonts w:cs="Calibri Light"/>
              </w:rPr>
            </w:pPr>
            <w:r w:rsidRPr="00334E3C">
              <w:t>n/a</w:t>
            </w:r>
          </w:p>
        </w:tc>
        <w:tc>
          <w:tcPr>
            <w:tcW w:w="833" w:type="pct"/>
          </w:tcPr>
          <w:p w14:paraId="7B3356F9" w14:textId="126ABF46" w:rsidR="00582368" w:rsidRPr="00334E3C" w:rsidRDefault="00582368" w:rsidP="00582368">
            <w:pPr>
              <w:pStyle w:val="TabletextLeft"/>
              <w:jc w:val="center"/>
            </w:pPr>
            <w:r w:rsidRPr="00CE6661">
              <w:t xml:space="preserve">n/a – removed </w:t>
            </w:r>
          </w:p>
        </w:tc>
      </w:tr>
      <w:tr w:rsidR="00582368" w:rsidRPr="00294696" w14:paraId="7D3DBD3D" w14:textId="03C3DF12" w:rsidTr="00AF156B">
        <w:tc>
          <w:tcPr>
            <w:tcW w:w="834" w:type="pct"/>
          </w:tcPr>
          <w:p w14:paraId="403BCC26" w14:textId="4B2B79B0" w:rsidR="00582368" w:rsidRDefault="00582368" w:rsidP="00582368">
            <w:pPr>
              <w:pStyle w:val="TabletextLeft"/>
            </w:pPr>
          </w:p>
        </w:tc>
        <w:tc>
          <w:tcPr>
            <w:tcW w:w="834" w:type="pct"/>
            <w:shd w:val="clear" w:color="auto" w:fill="auto"/>
          </w:tcPr>
          <w:p w14:paraId="5113ADF0" w14:textId="516BD122" w:rsidR="00582368" w:rsidRDefault="00582368" w:rsidP="00582368">
            <w:pPr>
              <w:pStyle w:val="TabletextLeft"/>
              <w:jc w:val="center"/>
              <w:rPr>
                <w:rFonts w:cs="Calibri Light"/>
              </w:rPr>
            </w:pPr>
            <w:r>
              <w:rPr>
                <w:rFonts w:cs="Calibri Light"/>
              </w:rPr>
              <w:t>Application/renewal fee – 2 activities</w:t>
            </w:r>
          </w:p>
        </w:tc>
        <w:tc>
          <w:tcPr>
            <w:tcW w:w="833" w:type="pct"/>
          </w:tcPr>
          <w:p w14:paraId="63A3ACED" w14:textId="52E59459" w:rsidR="00582368" w:rsidRDefault="00582368" w:rsidP="00582368">
            <w:pPr>
              <w:pStyle w:val="TabletextLeft"/>
              <w:jc w:val="center"/>
              <w:rPr>
                <w:rFonts w:cs="Calibri Light"/>
              </w:rPr>
            </w:pPr>
            <w:r w:rsidRPr="00B56C29">
              <w:t>90.73</w:t>
            </w:r>
          </w:p>
        </w:tc>
        <w:tc>
          <w:tcPr>
            <w:tcW w:w="833" w:type="pct"/>
          </w:tcPr>
          <w:p w14:paraId="7B04ABBF" w14:textId="0C95A33A" w:rsidR="00582368" w:rsidRDefault="00582368" w:rsidP="00582368">
            <w:pPr>
              <w:pStyle w:val="TabletextLeft"/>
              <w:jc w:val="center"/>
              <w:rPr>
                <w:rFonts w:cs="Calibri Light"/>
              </w:rPr>
            </w:pPr>
            <w:r>
              <w:rPr>
                <w:rFonts w:cs="Calibri Light"/>
              </w:rPr>
              <w:t>n/a</w:t>
            </w:r>
          </w:p>
        </w:tc>
        <w:tc>
          <w:tcPr>
            <w:tcW w:w="833" w:type="pct"/>
          </w:tcPr>
          <w:p w14:paraId="4D0474C2" w14:textId="528E8140" w:rsidR="00582368" w:rsidRDefault="00582368" w:rsidP="00582368">
            <w:pPr>
              <w:pStyle w:val="TabletextLeft"/>
              <w:jc w:val="center"/>
              <w:rPr>
                <w:rFonts w:cs="Calibri Light"/>
              </w:rPr>
            </w:pPr>
            <w:r w:rsidRPr="00334E3C">
              <w:t>n/a</w:t>
            </w:r>
          </w:p>
        </w:tc>
        <w:tc>
          <w:tcPr>
            <w:tcW w:w="833" w:type="pct"/>
          </w:tcPr>
          <w:p w14:paraId="0C51601A" w14:textId="2438AECF" w:rsidR="00582368" w:rsidRPr="00334E3C" w:rsidRDefault="00582368" w:rsidP="00582368">
            <w:pPr>
              <w:pStyle w:val="TabletextLeft"/>
              <w:jc w:val="center"/>
            </w:pPr>
            <w:r w:rsidRPr="00CE6661">
              <w:t xml:space="preserve">n/a – removed </w:t>
            </w:r>
          </w:p>
        </w:tc>
      </w:tr>
      <w:tr w:rsidR="00582368" w:rsidRPr="00294696" w14:paraId="6BB2F3E9" w14:textId="63A2208C" w:rsidTr="00AF156B">
        <w:tc>
          <w:tcPr>
            <w:tcW w:w="834" w:type="pct"/>
          </w:tcPr>
          <w:p w14:paraId="2D518D20" w14:textId="77777777" w:rsidR="00582368" w:rsidRDefault="00582368" w:rsidP="00582368">
            <w:pPr>
              <w:pStyle w:val="TabletextLeft"/>
            </w:pPr>
          </w:p>
        </w:tc>
        <w:tc>
          <w:tcPr>
            <w:tcW w:w="834" w:type="pct"/>
            <w:shd w:val="clear" w:color="auto" w:fill="auto"/>
          </w:tcPr>
          <w:p w14:paraId="2C9FD733" w14:textId="3042D946" w:rsidR="00582368" w:rsidRDefault="00582368" w:rsidP="00582368">
            <w:pPr>
              <w:pStyle w:val="TabletextLeft"/>
              <w:jc w:val="center"/>
              <w:rPr>
                <w:rFonts w:cs="Calibri Light"/>
              </w:rPr>
            </w:pPr>
            <w:r>
              <w:rPr>
                <w:rFonts w:cs="Calibri Light"/>
              </w:rPr>
              <w:t>Variation fee</w:t>
            </w:r>
          </w:p>
        </w:tc>
        <w:tc>
          <w:tcPr>
            <w:tcW w:w="833" w:type="pct"/>
          </w:tcPr>
          <w:p w14:paraId="25BECD9B" w14:textId="576462D9" w:rsidR="00582368" w:rsidRDefault="00582368" w:rsidP="00582368">
            <w:pPr>
              <w:pStyle w:val="TabletextLeft"/>
              <w:jc w:val="center"/>
              <w:rPr>
                <w:rFonts w:cs="Calibri Light"/>
              </w:rPr>
            </w:pPr>
            <w:r w:rsidRPr="00B56C29">
              <w:t>23.38</w:t>
            </w:r>
          </w:p>
        </w:tc>
        <w:tc>
          <w:tcPr>
            <w:tcW w:w="833" w:type="pct"/>
          </w:tcPr>
          <w:p w14:paraId="0B0F7973" w14:textId="5B715460" w:rsidR="00582368" w:rsidRDefault="00582368" w:rsidP="00582368">
            <w:pPr>
              <w:pStyle w:val="TabletextLeft"/>
              <w:jc w:val="center"/>
              <w:rPr>
                <w:rFonts w:cs="Calibri Light"/>
              </w:rPr>
            </w:pPr>
            <w:r>
              <w:rPr>
                <w:rFonts w:cs="Calibri Light"/>
              </w:rPr>
              <w:t>n/a</w:t>
            </w:r>
          </w:p>
        </w:tc>
        <w:tc>
          <w:tcPr>
            <w:tcW w:w="833" w:type="pct"/>
          </w:tcPr>
          <w:p w14:paraId="5E65443E" w14:textId="0E8D897A" w:rsidR="00582368" w:rsidRDefault="00582368" w:rsidP="00582368">
            <w:pPr>
              <w:pStyle w:val="TabletextLeft"/>
              <w:jc w:val="center"/>
              <w:rPr>
                <w:rFonts w:cs="Calibri Light"/>
              </w:rPr>
            </w:pPr>
            <w:r w:rsidRPr="00334E3C">
              <w:t>n/a</w:t>
            </w:r>
          </w:p>
        </w:tc>
        <w:tc>
          <w:tcPr>
            <w:tcW w:w="833" w:type="pct"/>
          </w:tcPr>
          <w:p w14:paraId="5DC78A0D" w14:textId="2D96EE87" w:rsidR="00582368" w:rsidRPr="00334E3C" w:rsidRDefault="00582368" w:rsidP="00582368">
            <w:pPr>
              <w:pStyle w:val="TabletextLeft"/>
              <w:jc w:val="center"/>
            </w:pPr>
            <w:r w:rsidRPr="00CE6661">
              <w:t xml:space="preserve">n/a – removed </w:t>
            </w:r>
          </w:p>
        </w:tc>
      </w:tr>
      <w:tr w:rsidR="00582368" w:rsidRPr="00294696" w14:paraId="68203D03" w14:textId="3DBCA4E3" w:rsidTr="00AF156B">
        <w:tc>
          <w:tcPr>
            <w:tcW w:w="834" w:type="pct"/>
          </w:tcPr>
          <w:p w14:paraId="0742C6BF" w14:textId="1E139C81" w:rsidR="00582368" w:rsidRDefault="00582368" w:rsidP="00582368">
            <w:pPr>
              <w:pStyle w:val="TabletextLeft"/>
            </w:pPr>
            <w:r>
              <w:t>Individual operator registration</w:t>
            </w:r>
          </w:p>
        </w:tc>
        <w:tc>
          <w:tcPr>
            <w:tcW w:w="834" w:type="pct"/>
            <w:shd w:val="clear" w:color="auto" w:fill="auto"/>
          </w:tcPr>
          <w:p w14:paraId="27CF3A45" w14:textId="01054876" w:rsidR="00582368" w:rsidRDefault="00582368" w:rsidP="00582368">
            <w:pPr>
              <w:pStyle w:val="TabletextLeft"/>
              <w:jc w:val="center"/>
              <w:rPr>
                <w:rFonts w:cs="Calibri Light"/>
              </w:rPr>
            </w:pPr>
            <w:r>
              <w:rPr>
                <w:rFonts w:cs="Calibri Light"/>
              </w:rPr>
              <w:t>Application/renewal fee – 1 activity</w:t>
            </w:r>
          </w:p>
        </w:tc>
        <w:tc>
          <w:tcPr>
            <w:tcW w:w="833" w:type="pct"/>
          </w:tcPr>
          <w:p w14:paraId="3F09F891" w14:textId="102DBFBC" w:rsidR="00582368" w:rsidRDefault="00582368" w:rsidP="00582368">
            <w:pPr>
              <w:pStyle w:val="TabletextLeft"/>
              <w:jc w:val="center"/>
              <w:rPr>
                <w:rFonts w:cs="Calibri Light"/>
              </w:rPr>
            </w:pPr>
            <w:r w:rsidRPr="00B56C29">
              <w:t>21.32</w:t>
            </w:r>
          </w:p>
        </w:tc>
        <w:tc>
          <w:tcPr>
            <w:tcW w:w="833" w:type="pct"/>
          </w:tcPr>
          <w:p w14:paraId="53FB3B56" w14:textId="3B90DA0D" w:rsidR="00582368" w:rsidRDefault="00582368" w:rsidP="00582368">
            <w:pPr>
              <w:pStyle w:val="TabletextLeft"/>
              <w:jc w:val="center"/>
              <w:rPr>
                <w:rFonts w:cs="Calibri Light"/>
              </w:rPr>
            </w:pPr>
            <w:r>
              <w:rPr>
                <w:rFonts w:cs="Calibri Light"/>
              </w:rPr>
              <w:t>n/a</w:t>
            </w:r>
          </w:p>
        </w:tc>
        <w:tc>
          <w:tcPr>
            <w:tcW w:w="833" w:type="pct"/>
          </w:tcPr>
          <w:p w14:paraId="5B887601" w14:textId="3252D401" w:rsidR="00582368" w:rsidRDefault="00582368" w:rsidP="00582368">
            <w:pPr>
              <w:pStyle w:val="TabletextLeft"/>
              <w:jc w:val="center"/>
              <w:rPr>
                <w:rFonts w:cs="Calibri Light"/>
              </w:rPr>
            </w:pPr>
            <w:r w:rsidRPr="00334E3C">
              <w:t>n/a</w:t>
            </w:r>
          </w:p>
        </w:tc>
        <w:tc>
          <w:tcPr>
            <w:tcW w:w="833" w:type="pct"/>
          </w:tcPr>
          <w:p w14:paraId="090E5E01" w14:textId="124974C8" w:rsidR="00582368" w:rsidRPr="00334E3C" w:rsidRDefault="00582368" w:rsidP="00582368">
            <w:pPr>
              <w:pStyle w:val="TabletextLeft"/>
              <w:jc w:val="center"/>
            </w:pPr>
            <w:r w:rsidRPr="00CE6661">
              <w:t xml:space="preserve">n/a – removed </w:t>
            </w:r>
          </w:p>
        </w:tc>
      </w:tr>
      <w:tr w:rsidR="00582368" w:rsidRPr="00294696" w14:paraId="53ED6A93" w14:textId="2D43802D" w:rsidTr="00AF156B">
        <w:tc>
          <w:tcPr>
            <w:tcW w:w="834" w:type="pct"/>
          </w:tcPr>
          <w:p w14:paraId="39A542FC" w14:textId="77777777" w:rsidR="00582368" w:rsidRDefault="00582368" w:rsidP="00582368">
            <w:pPr>
              <w:pStyle w:val="TabletextLeft"/>
            </w:pPr>
          </w:p>
        </w:tc>
        <w:tc>
          <w:tcPr>
            <w:tcW w:w="834" w:type="pct"/>
            <w:shd w:val="clear" w:color="auto" w:fill="auto"/>
          </w:tcPr>
          <w:p w14:paraId="14077EBD" w14:textId="42B981BA" w:rsidR="00582368" w:rsidRDefault="00582368" w:rsidP="00582368">
            <w:pPr>
              <w:pStyle w:val="TabletextLeft"/>
              <w:jc w:val="center"/>
              <w:rPr>
                <w:rFonts w:cs="Calibri Light"/>
              </w:rPr>
            </w:pPr>
            <w:r>
              <w:rPr>
                <w:rFonts w:cs="Calibri Light"/>
              </w:rPr>
              <w:t>Application/renewal fee – 2 activities</w:t>
            </w:r>
          </w:p>
        </w:tc>
        <w:tc>
          <w:tcPr>
            <w:tcW w:w="833" w:type="pct"/>
          </w:tcPr>
          <w:p w14:paraId="24A8A4B0" w14:textId="070840B7" w:rsidR="00582368" w:rsidRDefault="00582368" w:rsidP="00582368">
            <w:pPr>
              <w:pStyle w:val="TabletextLeft"/>
              <w:jc w:val="center"/>
              <w:rPr>
                <w:rFonts w:cs="Calibri Light"/>
              </w:rPr>
            </w:pPr>
            <w:r w:rsidRPr="00B56C29">
              <w:t>23.10</w:t>
            </w:r>
          </w:p>
        </w:tc>
        <w:tc>
          <w:tcPr>
            <w:tcW w:w="833" w:type="pct"/>
          </w:tcPr>
          <w:p w14:paraId="7E95CD2E" w14:textId="6916A444" w:rsidR="00582368" w:rsidRDefault="00582368" w:rsidP="00582368">
            <w:pPr>
              <w:pStyle w:val="TabletextLeft"/>
              <w:jc w:val="center"/>
              <w:rPr>
                <w:rFonts w:cs="Calibri Light"/>
              </w:rPr>
            </w:pPr>
            <w:r>
              <w:rPr>
                <w:rFonts w:cs="Calibri Light"/>
              </w:rPr>
              <w:t>n/a</w:t>
            </w:r>
          </w:p>
        </w:tc>
        <w:tc>
          <w:tcPr>
            <w:tcW w:w="833" w:type="pct"/>
          </w:tcPr>
          <w:p w14:paraId="5291EEA2" w14:textId="31AD9853" w:rsidR="00582368" w:rsidRDefault="00582368" w:rsidP="00582368">
            <w:pPr>
              <w:pStyle w:val="TabletextLeft"/>
              <w:jc w:val="center"/>
              <w:rPr>
                <w:rFonts w:cs="Calibri Light"/>
              </w:rPr>
            </w:pPr>
            <w:r w:rsidRPr="00334E3C">
              <w:t>n/a</w:t>
            </w:r>
          </w:p>
        </w:tc>
        <w:tc>
          <w:tcPr>
            <w:tcW w:w="833" w:type="pct"/>
          </w:tcPr>
          <w:p w14:paraId="11990562" w14:textId="2711D7ED" w:rsidR="00582368" w:rsidRPr="00334E3C" w:rsidRDefault="00582368" w:rsidP="00582368">
            <w:pPr>
              <w:pStyle w:val="TabletextLeft"/>
              <w:jc w:val="center"/>
            </w:pPr>
            <w:r w:rsidRPr="00CE6661">
              <w:t xml:space="preserve">n/a – removed </w:t>
            </w:r>
          </w:p>
        </w:tc>
      </w:tr>
      <w:tr w:rsidR="00582368" w:rsidRPr="00294696" w14:paraId="3F13188E" w14:textId="3CCD91A5" w:rsidTr="00AF156B">
        <w:tc>
          <w:tcPr>
            <w:tcW w:w="834" w:type="pct"/>
          </w:tcPr>
          <w:p w14:paraId="27D0A37D" w14:textId="77777777" w:rsidR="00582368" w:rsidRDefault="00582368" w:rsidP="00582368">
            <w:pPr>
              <w:pStyle w:val="TabletextLeft"/>
            </w:pPr>
          </w:p>
        </w:tc>
        <w:tc>
          <w:tcPr>
            <w:tcW w:w="834" w:type="pct"/>
            <w:shd w:val="clear" w:color="auto" w:fill="auto"/>
          </w:tcPr>
          <w:p w14:paraId="0A1CBD91" w14:textId="61B29283" w:rsidR="00582368" w:rsidRDefault="00582368" w:rsidP="00582368">
            <w:pPr>
              <w:pStyle w:val="TabletextLeft"/>
              <w:jc w:val="center"/>
              <w:rPr>
                <w:rFonts w:cs="Calibri Light"/>
              </w:rPr>
            </w:pPr>
            <w:r>
              <w:rPr>
                <w:rFonts w:cs="Calibri Light"/>
              </w:rPr>
              <w:t>Variation fee</w:t>
            </w:r>
          </w:p>
        </w:tc>
        <w:tc>
          <w:tcPr>
            <w:tcW w:w="833" w:type="pct"/>
          </w:tcPr>
          <w:p w14:paraId="242F8762" w14:textId="49F3AD5B" w:rsidR="00582368" w:rsidRDefault="00582368" w:rsidP="00582368">
            <w:pPr>
              <w:pStyle w:val="TabletextLeft"/>
              <w:jc w:val="center"/>
              <w:rPr>
                <w:rFonts w:cs="Calibri Light"/>
              </w:rPr>
            </w:pPr>
            <w:r w:rsidRPr="00B56C29">
              <w:t>6.33</w:t>
            </w:r>
          </w:p>
        </w:tc>
        <w:tc>
          <w:tcPr>
            <w:tcW w:w="833" w:type="pct"/>
          </w:tcPr>
          <w:p w14:paraId="0BA11E46" w14:textId="08579D05" w:rsidR="00582368" w:rsidRDefault="00582368" w:rsidP="00582368">
            <w:pPr>
              <w:pStyle w:val="TabletextLeft"/>
              <w:jc w:val="center"/>
              <w:rPr>
                <w:rFonts w:cs="Calibri Light"/>
              </w:rPr>
            </w:pPr>
            <w:r>
              <w:rPr>
                <w:rFonts w:cs="Calibri Light"/>
              </w:rPr>
              <w:t>n/a</w:t>
            </w:r>
          </w:p>
        </w:tc>
        <w:tc>
          <w:tcPr>
            <w:tcW w:w="833" w:type="pct"/>
          </w:tcPr>
          <w:p w14:paraId="3C62CFEB" w14:textId="437B2473" w:rsidR="00582368" w:rsidRDefault="00582368" w:rsidP="00582368">
            <w:pPr>
              <w:pStyle w:val="TabletextLeft"/>
              <w:jc w:val="center"/>
              <w:rPr>
                <w:rFonts w:cs="Calibri Light"/>
              </w:rPr>
            </w:pPr>
            <w:r w:rsidRPr="00334E3C">
              <w:t>n/a</w:t>
            </w:r>
          </w:p>
        </w:tc>
        <w:tc>
          <w:tcPr>
            <w:tcW w:w="833" w:type="pct"/>
          </w:tcPr>
          <w:p w14:paraId="35593445" w14:textId="72956C92" w:rsidR="00582368" w:rsidRPr="00334E3C" w:rsidRDefault="00582368" w:rsidP="00582368">
            <w:pPr>
              <w:pStyle w:val="TabletextLeft"/>
              <w:jc w:val="center"/>
            </w:pPr>
            <w:r w:rsidRPr="00CE6661">
              <w:t xml:space="preserve">n/a – removed </w:t>
            </w:r>
          </w:p>
        </w:tc>
      </w:tr>
    </w:tbl>
    <w:p w14:paraId="7CBED3BE" w14:textId="340AED6E" w:rsidR="00F133B9" w:rsidRDefault="00D87BDA" w:rsidP="00F133B9">
      <w:pPr>
        <w:spacing w:before="120"/>
      </w:pPr>
      <w:r>
        <w:t xml:space="preserve">While changes to fee values were not considered as part of the options analysis, </w:t>
      </w:r>
      <w:r w:rsidR="00CC33D1">
        <w:t>existing fee values were used t</w:t>
      </w:r>
      <w:r w:rsidR="00F133B9" w:rsidRPr="00505E8B">
        <w:t>o estimate the expected on-going revenue received through individual and business application fees</w:t>
      </w:r>
      <w:r w:rsidR="00F133B9">
        <w:t xml:space="preserve"> under the Option 2 fee structure (using current fee values)</w:t>
      </w:r>
      <w:r w:rsidR="00F133B9" w:rsidRPr="00505E8B">
        <w:t>, a 10-year average annual revenue</w:t>
      </w:r>
      <w:r w:rsidR="00F133B9">
        <w:t xml:space="preserve"> estimate</w:t>
      </w:r>
      <w:r w:rsidR="00F133B9" w:rsidRPr="00505E8B">
        <w:t xml:space="preserve"> was calculated. The calculated </w:t>
      </w:r>
      <w:r w:rsidR="00F133B9">
        <w:t xml:space="preserve">revenue </w:t>
      </w:r>
      <w:r w:rsidR="00F133B9" w:rsidRPr="00505E8B">
        <w:t>assume</w:t>
      </w:r>
      <w:r w:rsidR="00F133B9">
        <w:t>s</w:t>
      </w:r>
      <w:r w:rsidR="00F133B9" w:rsidRPr="00505E8B">
        <w:t xml:space="preserve"> that application volumes </w:t>
      </w:r>
      <w:r w:rsidR="00F133B9" w:rsidRPr="00505E8B">
        <w:lastRenderedPageBreak/>
        <w:t>grow annually in alignment with Victorian population growth</w:t>
      </w:r>
      <w:r w:rsidR="00F133B9">
        <w:t>,</w:t>
      </w:r>
      <w:r w:rsidR="00F133B9" w:rsidRPr="00505E8B">
        <w:t xml:space="preserve"> that the proportion of approved application</w:t>
      </w:r>
      <w:r w:rsidR="00F133B9">
        <w:t>s</w:t>
      </w:r>
      <w:r w:rsidR="00F133B9" w:rsidRPr="00505E8B">
        <w:t xml:space="preserve"> remains constant over time and that registration-related fees are incorporated under a single-tier licen</w:t>
      </w:r>
      <w:r w:rsidR="00F133B9">
        <w:t>s</w:t>
      </w:r>
      <w:r w:rsidR="00F133B9" w:rsidRPr="00505E8B">
        <w:t>ing system</w:t>
      </w:r>
      <w:r w:rsidR="00F133B9">
        <w:t xml:space="preserve"> (with the same fee value as the current licence-related fees)</w:t>
      </w:r>
      <w:r w:rsidR="00F133B9" w:rsidRPr="00505E8B">
        <w:t xml:space="preserve">. </w:t>
      </w:r>
      <w:r w:rsidR="00F133B9">
        <w:t>Using</w:t>
      </w:r>
      <w:r w:rsidR="00F133B9" w:rsidRPr="00505E8B">
        <w:t xml:space="preserve"> these assumptions, the estimated 10-year average annual revenue is $13.86 million</w:t>
      </w:r>
      <w:r w:rsidR="00A0424D">
        <w:t xml:space="preserve">, which is equivalent to a NPV of </w:t>
      </w:r>
      <w:r w:rsidR="00EF2A73">
        <w:t>$1</w:t>
      </w:r>
      <w:r w:rsidR="004319D0">
        <w:t>0</w:t>
      </w:r>
      <w:r w:rsidR="00EF2A73">
        <w:t>2</w:t>
      </w:r>
      <w:r w:rsidR="00B1765D">
        <w:t xml:space="preserve"> million</w:t>
      </w:r>
      <w:r w:rsidR="00F133B9" w:rsidRPr="00505E8B">
        <w:t xml:space="preserve">. The underlying data and calculations of this estimate are detailed in Appendix </w:t>
      </w:r>
      <w:r w:rsidR="0064093B">
        <w:t>A</w:t>
      </w:r>
      <w:r w:rsidR="00F133B9">
        <w:t>.3</w:t>
      </w:r>
    </w:p>
    <w:p w14:paraId="3FCE209A" w14:textId="10EFF549" w:rsidR="00F133B9" w:rsidRPr="00917F4F" w:rsidRDefault="00F133B9" w:rsidP="00F133B9">
      <w:r>
        <w:t xml:space="preserve">The average annual cost of regulating the private security industry (as detailed previously in section 2.2.2) is $15.12 million. This results in an average annual cost-recovery position of 92%. While this percentage is slightly below full cost-recovery, due to the uncertainty </w:t>
      </w:r>
      <w:r w:rsidR="00B73EFA">
        <w:t xml:space="preserve">of </w:t>
      </w:r>
      <w:r>
        <w:t xml:space="preserve">future costs – that could be higher or lower based on implementation of the new legislative requirements under the amending Act and implementation of a new registry management system – DJCS prefers to keep fee units at their current level. DJCS plans to undertake a review of the on-going cost base within three years after implementation of the new legislation, as detailed in section </w:t>
      </w:r>
      <w:r w:rsidR="0064093B">
        <w:t>8</w:t>
      </w:r>
      <w:r>
        <w:t xml:space="preserve"> of this report.</w:t>
      </w:r>
    </w:p>
    <w:p w14:paraId="5E13C620" w14:textId="77777777" w:rsidR="00F133B9" w:rsidRPr="00F133B9" w:rsidRDefault="00F133B9" w:rsidP="00F133B9"/>
    <w:p w14:paraId="24A6A642" w14:textId="7541DD5C" w:rsidR="00DE708D" w:rsidRDefault="00A96D53" w:rsidP="00A96D53">
      <w:pPr>
        <w:pStyle w:val="Heading1"/>
      </w:pPr>
      <w:bookmarkStart w:id="106" w:name="_Toc189832265"/>
      <w:r>
        <w:lastRenderedPageBreak/>
        <w:t>Comp</w:t>
      </w:r>
      <w:r w:rsidR="00F3271C">
        <w:t>etition and small business</w:t>
      </w:r>
      <w:r w:rsidR="00DE708D">
        <w:t xml:space="preserve"> impacts</w:t>
      </w:r>
      <w:bookmarkEnd w:id="102"/>
      <w:bookmarkEnd w:id="106"/>
    </w:p>
    <w:p w14:paraId="3D4DC0D1" w14:textId="720457F0" w:rsidR="00193752" w:rsidRDefault="00436744" w:rsidP="00193752">
      <w:pPr>
        <w:pStyle w:val="Sectionintro"/>
      </w:pPr>
      <w:r>
        <w:t>This chapter assesses the small business and competition impacts from the preferred options.</w:t>
      </w:r>
    </w:p>
    <w:p w14:paraId="6E34EEE8" w14:textId="64EC33DD" w:rsidR="00436744" w:rsidRPr="00436744" w:rsidRDefault="00CC2B76" w:rsidP="00CC2B76">
      <w:pPr>
        <w:pStyle w:val="Heading2"/>
      </w:pPr>
      <w:bookmarkStart w:id="107" w:name="_Toc189832266"/>
      <w:r>
        <w:t>Competition impacts</w:t>
      </w:r>
      <w:bookmarkEnd w:id="107"/>
      <w:r>
        <w:t xml:space="preserve"> </w:t>
      </w:r>
    </w:p>
    <w:p w14:paraId="14738B88" w14:textId="515EFD81" w:rsidR="00CC2B76" w:rsidRDefault="008B39D7" w:rsidP="00CC2B76">
      <w:r>
        <w:t>As Victoria is party to the Competition Principles Agreement, regulation in Victoria is require</w:t>
      </w:r>
      <w:r w:rsidR="00FE4FBE">
        <w:t>d</w:t>
      </w:r>
      <w:r>
        <w:t xml:space="preserve"> to include a competition assessment.</w:t>
      </w:r>
      <w:r w:rsidR="00FE4FBE">
        <w:t xml:space="preserve"> The Co</w:t>
      </w:r>
      <w:r w:rsidR="00DF7249">
        <w:t>mpetition Principles Agreement sets out that any n</w:t>
      </w:r>
      <w:r w:rsidR="004F0566">
        <w:t>ew primary or subordinate regulation should not restrict competition except where:</w:t>
      </w:r>
    </w:p>
    <w:p w14:paraId="10862011" w14:textId="7BBC3585" w:rsidR="004F0566" w:rsidRDefault="00E544CD" w:rsidP="00557ACA">
      <w:pPr>
        <w:pStyle w:val="ListParagraph"/>
        <w:numPr>
          <w:ilvl w:val="0"/>
          <w:numId w:val="19"/>
        </w:numPr>
      </w:pPr>
      <w:r>
        <w:t>r</w:t>
      </w:r>
      <w:r w:rsidR="00EA195A">
        <w:t xml:space="preserve">estriction of competition is required to meet the government’s objectives; and </w:t>
      </w:r>
    </w:p>
    <w:p w14:paraId="505ED24C" w14:textId="09D510C6" w:rsidR="00EA195A" w:rsidRDefault="00E544CD" w:rsidP="00557ACA">
      <w:pPr>
        <w:pStyle w:val="ListParagraph"/>
        <w:numPr>
          <w:ilvl w:val="0"/>
          <w:numId w:val="19"/>
        </w:numPr>
        <w:ind w:left="357" w:hanging="357"/>
      </w:pPr>
      <w:r>
        <w:t>t</w:t>
      </w:r>
      <w:r w:rsidR="00EA195A">
        <w:t xml:space="preserve">he benefits of restriction outweigh the costs. </w:t>
      </w:r>
    </w:p>
    <w:p w14:paraId="51BD2C63" w14:textId="65574459" w:rsidR="00E544CD" w:rsidRDefault="00E1208A" w:rsidP="00E544CD">
      <w:r>
        <w:t>Restrictions on competition can be identified where there will be changes to the way a market functions due to the implementation of the proposed regulation</w:t>
      </w:r>
      <w:r w:rsidR="000C6284">
        <w:t>. Specifically, restriction can occur where:</w:t>
      </w:r>
    </w:p>
    <w:p w14:paraId="44212666" w14:textId="3F0FD652" w:rsidR="000C6284" w:rsidRDefault="000C6284" w:rsidP="00557ACA">
      <w:pPr>
        <w:pStyle w:val="ListParagraph"/>
        <w:numPr>
          <w:ilvl w:val="0"/>
          <w:numId w:val="20"/>
        </w:numPr>
      </w:pPr>
      <w:r>
        <w:t xml:space="preserve">the number or range of suppliers is limited </w:t>
      </w:r>
    </w:p>
    <w:p w14:paraId="40627F29" w14:textId="3334E8A6" w:rsidR="000C6284" w:rsidRDefault="008215A3" w:rsidP="00557ACA">
      <w:pPr>
        <w:pStyle w:val="ListParagraph"/>
        <w:numPr>
          <w:ilvl w:val="0"/>
          <w:numId w:val="20"/>
        </w:numPr>
      </w:pPr>
      <w:r>
        <w:t>the ability of suppliers to compete is limited</w:t>
      </w:r>
    </w:p>
    <w:p w14:paraId="4B598B7A" w14:textId="7BC83886" w:rsidR="008215A3" w:rsidRDefault="008215A3" w:rsidP="00557ACA">
      <w:pPr>
        <w:pStyle w:val="ListParagraph"/>
        <w:numPr>
          <w:ilvl w:val="0"/>
          <w:numId w:val="20"/>
        </w:numPr>
        <w:ind w:left="357" w:hanging="357"/>
      </w:pPr>
      <w:r>
        <w:t xml:space="preserve">the incentive of suppliers to compete vigorously is reduced. </w:t>
      </w:r>
    </w:p>
    <w:p w14:paraId="4A7E2E99" w14:textId="306BF2F3" w:rsidR="008215A3" w:rsidRDefault="00DB6623" w:rsidP="008215A3">
      <w:r>
        <w:t xml:space="preserve">Any affirmative answers to the following questions indicate that the </w:t>
      </w:r>
      <w:r w:rsidR="00CA649C">
        <w:t xml:space="preserve">regulation is considered to restrict competition: </w:t>
      </w:r>
    </w:p>
    <w:p w14:paraId="158DFFDE" w14:textId="748F728C" w:rsidR="00D60126" w:rsidRDefault="000E3F85" w:rsidP="000E3F85">
      <w:pPr>
        <w:pStyle w:val="Caption"/>
      </w:pPr>
      <w:r>
        <w:t xml:space="preserve">Table </w:t>
      </w:r>
      <w:r w:rsidR="00414520">
        <w:fldChar w:fldCharType="begin"/>
      </w:r>
      <w:r w:rsidR="00414520">
        <w:instrText xml:space="preserve"> STYLEREF 1 \s </w:instrText>
      </w:r>
      <w:r w:rsidR="00414520">
        <w:fldChar w:fldCharType="separate"/>
      </w:r>
      <w:r w:rsidR="009D133E">
        <w:rPr>
          <w:noProof/>
        </w:rPr>
        <w:t>7</w:t>
      </w:r>
      <w:r w:rsidR="00414520">
        <w:fldChar w:fldCharType="end"/>
      </w:r>
      <w:r w:rsidR="00414520">
        <w:t>.</w:t>
      </w:r>
      <w:r w:rsidR="00414520">
        <w:fldChar w:fldCharType="begin"/>
      </w:r>
      <w:r w:rsidR="00414520">
        <w:instrText xml:space="preserve"> SEQ Table \* ARABIC \s 1 </w:instrText>
      </w:r>
      <w:r w:rsidR="00414520">
        <w:fldChar w:fldCharType="separate"/>
      </w:r>
      <w:r w:rsidR="009D133E">
        <w:rPr>
          <w:noProof/>
        </w:rPr>
        <w:t>1</w:t>
      </w:r>
      <w:r w:rsidR="00414520">
        <w:fldChar w:fldCharType="end"/>
      </w:r>
      <w:r w:rsidRPr="00E26461">
        <w:t>:</w:t>
      </w:r>
      <w:r w:rsidR="00D60126">
        <w:t xml:space="preserve"> Competit</w:t>
      </w:r>
      <w:r w:rsidR="00507DDE">
        <w:t>ion assessment questions</w:t>
      </w:r>
    </w:p>
    <w:tbl>
      <w:tblPr>
        <w:tblStyle w:val="Deloittetable"/>
        <w:tblW w:w="9101" w:type="dxa"/>
        <w:tblLook w:val="04A0" w:firstRow="1" w:lastRow="0" w:firstColumn="1" w:lastColumn="0" w:noHBand="0" w:noVBand="1"/>
      </w:tblPr>
      <w:tblGrid>
        <w:gridCol w:w="3116"/>
        <w:gridCol w:w="840"/>
        <w:gridCol w:w="5145"/>
      </w:tblGrid>
      <w:tr w:rsidR="00D60126" w14:paraId="5486850E" w14:textId="77777777" w:rsidTr="00104EAB">
        <w:trPr>
          <w:cnfStyle w:val="100000000000" w:firstRow="1" w:lastRow="0" w:firstColumn="0" w:lastColumn="0" w:oddVBand="0" w:evenVBand="0" w:oddHBand="0" w:evenHBand="0" w:firstRowFirstColumn="0" w:firstRowLastColumn="0" w:lastRowFirstColumn="0" w:lastRowLastColumn="0"/>
          <w:tblHeader/>
        </w:trPr>
        <w:tc>
          <w:tcPr>
            <w:tcW w:w="3116" w:type="dxa"/>
          </w:tcPr>
          <w:p w14:paraId="19969EE5" w14:textId="77777777" w:rsidR="00D60126" w:rsidRPr="00104EAB" w:rsidRDefault="00D60126" w:rsidP="00104EAB">
            <w:pPr>
              <w:rPr>
                <w:b/>
                <w:bCs/>
              </w:rPr>
            </w:pPr>
            <w:r w:rsidRPr="00104EAB">
              <w:rPr>
                <w:b/>
                <w:bCs/>
              </w:rPr>
              <w:t>Test question</w:t>
            </w:r>
          </w:p>
        </w:tc>
        <w:tc>
          <w:tcPr>
            <w:tcW w:w="840" w:type="dxa"/>
          </w:tcPr>
          <w:p w14:paraId="425A8830" w14:textId="77777777" w:rsidR="00D60126" w:rsidRPr="00104EAB" w:rsidRDefault="00D60126" w:rsidP="00104EAB">
            <w:pPr>
              <w:rPr>
                <w:b/>
                <w:bCs/>
              </w:rPr>
            </w:pPr>
            <w:r w:rsidRPr="00104EAB">
              <w:rPr>
                <w:b/>
                <w:bCs/>
              </w:rPr>
              <w:t>Answer</w:t>
            </w:r>
          </w:p>
        </w:tc>
        <w:tc>
          <w:tcPr>
            <w:tcW w:w="5145" w:type="dxa"/>
          </w:tcPr>
          <w:p w14:paraId="262780D7" w14:textId="77777777" w:rsidR="00D60126" w:rsidRPr="00104EAB" w:rsidRDefault="00D60126" w:rsidP="00104EAB">
            <w:pPr>
              <w:rPr>
                <w:b/>
                <w:bCs/>
              </w:rPr>
            </w:pPr>
            <w:r w:rsidRPr="00104EAB">
              <w:rPr>
                <w:b/>
                <w:bCs/>
              </w:rPr>
              <w:t>Explanation</w:t>
            </w:r>
          </w:p>
        </w:tc>
      </w:tr>
      <w:tr w:rsidR="00D60126" w14:paraId="4E8B3843" w14:textId="77777777" w:rsidTr="00104EAB">
        <w:tc>
          <w:tcPr>
            <w:tcW w:w="3116" w:type="dxa"/>
          </w:tcPr>
          <w:p w14:paraId="47AB58D4" w14:textId="1C6935C3" w:rsidR="00D60126" w:rsidRPr="00065806" w:rsidRDefault="00544123" w:rsidP="00104EAB">
            <w:pPr>
              <w:ind w:left="0"/>
            </w:pPr>
            <w:r>
              <w:t>Are</w:t>
            </w:r>
            <w:r w:rsidR="00D60126" w:rsidRPr="00065806">
              <w:t xml:space="preserve"> the proposed measure</w:t>
            </w:r>
            <w:r>
              <w:t>s</w:t>
            </w:r>
            <w:r w:rsidR="00D60126" w:rsidRPr="00065806">
              <w:t xml:space="preserve"> likely to limit the numbers of producers or suppliers to:</w:t>
            </w:r>
          </w:p>
          <w:p w14:paraId="137BA8B1" w14:textId="77777777" w:rsidR="00D60126" w:rsidRPr="00065806" w:rsidRDefault="00D60126" w:rsidP="00557ACA">
            <w:pPr>
              <w:pStyle w:val="ListParagraph"/>
              <w:numPr>
                <w:ilvl w:val="0"/>
                <w:numId w:val="18"/>
              </w:numPr>
              <w:spacing w:after="170"/>
            </w:pPr>
            <w:r w:rsidRPr="00065806">
              <w:t>only one producer?</w:t>
            </w:r>
          </w:p>
          <w:p w14:paraId="0A034274" w14:textId="77777777" w:rsidR="00D60126" w:rsidRPr="00065806" w:rsidRDefault="00D60126" w:rsidP="00557ACA">
            <w:pPr>
              <w:pStyle w:val="ListParagraph"/>
              <w:numPr>
                <w:ilvl w:val="0"/>
                <w:numId w:val="18"/>
              </w:numPr>
              <w:spacing w:after="170"/>
            </w:pPr>
            <w:r w:rsidRPr="00065806">
              <w:t>only one buyer?</w:t>
            </w:r>
          </w:p>
          <w:p w14:paraId="3A191FCD" w14:textId="77777777" w:rsidR="00D60126" w:rsidRDefault="00D60126" w:rsidP="00557ACA">
            <w:pPr>
              <w:pStyle w:val="ListParagraph"/>
              <w:numPr>
                <w:ilvl w:val="0"/>
                <w:numId w:val="18"/>
              </w:numPr>
              <w:spacing w:after="170"/>
            </w:pPr>
            <w:r w:rsidRPr="00065806">
              <w:t>less than four producers?</w:t>
            </w:r>
          </w:p>
        </w:tc>
        <w:tc>
          <w:tcPr>
            <w:tcW w:w="840" w:type="dxa"/>
          </w:tcPr>
          <w:p w14:paraId="70E5D622" w14:textId="115F5F77" w:rsidR="00D60126" w:rsidRDefault="00F90DA4" w:rsidP="00104EAB">
            <w:r>
              <w:t>No</w:t>
            </w:r>
          </w:p>
        </w:tc>
        <w:tc>
          <w:tcPr>
            <w:tcW w:w="5145" w:type="dxa"/>
          </w:tcPr>
          <w:p w14:paraId="1C7BA590" w14:textId="50CD075E" w:rsidR="00D60126" w:rsidRDefault="00A102E1" w:rsidP="00104EAB">
            <w:pPr>
              <w:ind w:left="0"/>
            </w:pPr>
            <w:r>
              <w:t>The proposed Regulations do not impose any new restrictions on the suppliers of private security services</w:t>
            </w:r>
            <w:r w:rsidR="008E2E64">
              <w:t xml:space="preserve"> beyond what is already imposed by the Act itself</w:t>
            </w:r>
            <w:r>
              <w:t xml:space="preserve">. </w:t>
            </w:r>
            <w:r w:rsidR="00C5518E">
              <w:t xml:space="preserve">The slight increase in fees </w:t>
            </w:r>
            <w:r w:rsidR="008E2E64">
              <w:t xml:space="preserve">that is expected </w:t>
            </w:r>
            <w:r w:rsidR="00C5518E">
              <w:t xml:space="preserve">for the </w:t>
            </w:r>
            <w:r w:rsidR="007B1EA9">
              <w:t>private security technicians and private security advisers</w:t>
            </w:r>
            <w:r w:rsidR="008E2E64">
              <w:t xml:space="preserve"> (due to consolidation under a single-tier licen</w:t>
            </w:r>
            <w:r w:rsidR="00AE54EF">
              <w:t>s</w:t>
            </w:r>
            <w:r w:rsidR="008E2E64">
              <w:t>ing system)</w:t>
            </w:r>
            <w:r w:rsidR="009E7DF0">
              <w:t xml:space="preserve"> is unlikely to have a significant impact </w:t>
            </w:r>
            <w:r w:rsidR="000B2C17">
              <w:t xml:space="preserve">on the supply of </w:t>
            </w:r>
            <w:r w:rsidR="00A269B6">
              <w:t xml:space="preserve">these </w:t>
            </w:r>
            <w:r w:rsidR="000B2C17">
              <w:t xml:space="preserve">services. There are currently </w:t>
            </w:r>
            <w:r w:rsidR="002A25DF">
              <w:t xml:space="preserve">over 4,600 individual and nearly 1,000 businesses holding private security registrations. </w:t>
            </w:r>
            <w:r w:rsidR="00CB3B28">
              <w:t xml:space="preserve">It can be expected that the businesses will either absorb the </w:t>
            </w:r>
            <w:r w:rsidR="00A269B6">
              <w:t xml:space="preserve">minor additional </w:t>
            </w:r>
            <w:r w:rsidR="00CB3B28">
              <w:t>cost</w:t>
            </w:r>
            <w:r w:rsidR="00A269B6">
              <w:t>s</w:t>
            </w:r>
            <w:r w:rsidR="00CB3B28">
              <w:t xml:space="preserve"> themselves </w:t>
            </w:r>
            <w:r w:rsidR="00B4020D">
              <w:t xml:space="preserve">or pass it on their customers rather than leave the sector. </w:t>
            </w:r>
          </w:p>
        </w:tc>
      </w:tr>
      <w:tr w:rsidR="00D60126" w14:paraId="3A740BAB" w14:textId="77777777" w:rsidTr="00104EAB">
        <w:tc>
          <w:tcPr>
            <w:tcW w:w="3116" w:type="dxa"/>
          </w:tcPr>
          <w:p w14:paraId="4DFA4FF6" w14:textId="115B65EA" w:rsidR="00D60126" w:rsidRDefault="00D60126" w:rsidP="00104EAB">
            <w:pPr>
              <w:ind w:left="0"/>
            </w:pPr>
            <w:r>
              <w:t>W</w:t>
            </w:r>
            <w:r w:rsidRPr="00082F05">
              <w:t>ould the proposed measure</w:t>
            </w:r>
            <w:r w:rsidR="00544123">
              <w:t>s</w:t>
            </w:r>
            <w:r w:rsidRPr="00082F05">
              <w:t xml:space="preserve"> restrict the ability of businesses to choose their output, price or service quality?</w:t>
            </w:r>
          </w:p>
        </w:tc>
        <w:tc>
          <w:tcPr>
            <w:tcW w:w="840" w:type="dxa"/>
          </w:tcPr>
          <w:p w14:paraId="16DA603E" w14:textId="41DF4A4A" w:rsidR="00D60126" w:rsidRDefault="00B4020D" w:rsidP="00104EAB">
            <w:r>
              <w:t>No</w:t>
            </w:r>
          </w:p>
        </w:tc>
        <w:tc>
          <w:tcPr>
            <w:tcW w:w="5145" w:type="dxa"/>
          </w:tcPr>
          <w:p w14:paraId="03B10E08" w14:textId="64A07A63" w:rsidR="00FF0A89" w:rsidRDefault="00B4020D" w:rsidP="00104EAB">
            <w:pPr>
              <w:ind w:left="0"/>
            </w:pPr>
            <w:r>
              <w:t xml:space="preserve">The proposed Regulations do not impose any </w:t>
            </w:r>
            <w:r w:rsidR="00FF2E1F">
              <w:t>restrictions on</w:t>
            </w:r>
            <w:r w:rsidR="00AF5272">
              <w:t xml:space="preserve"> how</w:t>
            </w:r>
            <w:r w:rsidR="00FF2E1F">
              <w:t xml:space="preserve"> businesses and </w:t>
            </w:r>
            <w:r w:rsidR="00AF5272">
              <w:t>individuals</w:t>
            </w:r>
            <w:r w:rsidR="00FF2E1F">
              <w:t xml:space="preserve"> </w:t>
            </w:r>
            <w:r w:rsidR="00AF5272">
              <w:t>supply their services</w:t>
            </w:r>
            <w:r w:rsidR="00E04C8B">
              <w:t xml:space="preserve"> or on customers procuring these services. </w:t>
            </w:r>
            <w:r w:rsidR="00730A60">
              <w:t xml:space="preserve">Rather the Regulations seek to support the Act in ensuring those individuals and businesses that deliver the services have met necessary probity and competency standards. </w:t>
            </w:r>
            <w:r w:rsidR="00E04C8B">
              <w:t xml:space="preserve">Customers would be free to choose their </w:t>
            </w:r>
            <w:r w:rsidR="00BA4DAA">
              <w:t xml:space="preserve">preferred </w:t>
            </w:r>
            <w:r w:rsidR="00E04C8B">
              <w:t>service provide</w:t>
            </w:r>
            <w:r w:rsidR="00C57398">
              <w:t>r</w:t>
            </w:r>
            <w:r w:rsidR="00E04C8B">
              <w:t xml:space="preserve"> as they currently </w:t>
            </w:r>
            <w:r w:rsidR="00C57398">
              <w:t xml:space="preserve">do. </w:t>
            </w:r>
          </w:p>
        </w:tc>
      </w:tr>
      <w:tr w:rsidR="00D60126" w14:paraId="38FC67FB" w14:textId="77777777" w:rsidTr="00104EAB">
        <w:tc>
          <w:tcPr>
            <w:tcW w:w="3116" w:type="dxa"/>
          </w:tcPr>
          <w:p w14:paraId="10F072E5" w14:textId="20C8711D" w:rsidR="00D60126" w:rsidRDefault="00D60126" w:rsidP="00104EAB">
            <w:pPr>
              <w:ind w:left="0"/>
            </w:pPr>
            <w:r>
              <w:t>W</w:t>
            </w:r>
            <w:r w:rsidRPr="00082F05">
              <w:t>ould the proposed measure</w:t>
            </w:r>
            <w:r w:rsidR="00544123">
              <w:t>s</w:t>
            </w:r>
            <w:r w:rsidRPr="00082F05">
              <w:t xml:space="preserve"> discourage entry into the industry by new firms/individuals or </w:t>
            </w:r>
            <w:r w:rsidR="00D25BB8" w:rsidRPr="00082F05">
              <w:t>encourage exit from existing providers?</w:t>
            </w:r>
          </w:p>
        </w:tc>
        <w:tc>
          <w:tcPr>
            <w:tcW w:w="840" w:type="dxa"/>
          </w:tcPr>
          <w:p w14:paraId="73747183" w14:textId="775F91C8" w:rsidR="00D60126" w:rsidRDefault="00BA4DAA" w:rsidP="00104EAB">
            <w:r>
              <w:t>No</w:t>
            </w:r>
          </w:p>
        </w:tc>
        <w:tc>
          <w:tcPr>
            <w:tcW w:w="5145" w:type="dxa"/>
          </w:tcPr>
          <w:p w14:paraId="5533A2E1" w14:textId="49349621" w:rsidR="00740E2F" w:rsidRPr="00396C73" w:rsidRDefault="00044E37" w:rsidP="00104EAB">
            <w:r>
              <w:t xml:space="preserve">The proposed Regulations prescribe </w:t>
            </w:r>
            <w:r w:rsidR="009328D0">
              <w:t xml:space="preserve">relatively minor </w:t>
            </w:r>
            <w:r w:rsidR="00A315E9">
              <w:t xml:space="preserve">fees </w:t>
            </w:r>
            <w:r w:rsidR="00B16DD8">
              <w:t xml:space="preserve">on </w:t>
            </w:r>
            <w:r w:rsidR="00A315E9">
              <w:t>individuals and businesses and are not expected to discourage entry into the industry or encourage exit by existing providers.</w:t>
            </w:r>
            <w:r w:rsidR="0036598D">
              <w:t xml:space="preserve"> </w:t>
            </w:r>
          </w:p>
        </w:tc>
      </w:tr>
      <w:tr w:rsidR="00D60126" w14:paraId="14084CD1" w14:textId="77777777" w:rsidTr="00104EAB">
        <w:tc>
          <w:tcPr>
            <w:tcW w:w="3116" w:type="dxa"/>
          </w:tcPr>
          <w:p w14:paraId="462DE4A5" w14:textId="7EC6976D" w:rsidR="00D60126" w:rsidRDefault="00D60126" w:rsidP="00104EAB">
            <w:r>
              <w:t>W</w:t>
            </w:r>
            <w:r w:rsidRPr="00082F05">
              <w:t>ould the proposed measure</w:t>
            </w:r>
            <w:r w:rsidR="00544123">
              <w:t>s</w:t>
            </w:r>
            <w:r w:rsidRPr="00082F05">
              <w:t xml:space="preserve"> impose higher costs on a particular class or </w:t>
            </w:r>
            <w:r w:rsidRPr="00082F05">
              <w:lastRenderedPageBreak/>
              <w:t>business or type of service (e.g. small business)?</w:t>
            </w:r>
          </w:p>
        </w:tc>
        <w:tc>
          <w:tcPr>
            <w:tcW w:w="840" w:type="dxa"/>
          </w:tcPr>
          <w:p w14:paraId="69A96D53" w14:textId="1F89B131" w:rsidR="00D60126" w:rsidRDefault="00100119" w:rsidP="00104EAB">
            <w:r>
              <w:lastRenderedPageBreak/>
              <w:t>No</w:t>
            </w:r>
          </w:p>
        </w:tc>
        <w:tc>
          <w:tcPr>
            <w:tcW w:w="5145" w:type="dxa"/>
          </w:tcPr>
          <w:p w14:paraId="23D3EBC3" w14:textId="01704616" w:rsidR="00D60126" w:rsidRDefault="00E806B1" w:rsidP="00104EAB">
            <w:r>
              <w:t xml:space="preserve">The proposed Regulations </w:t>
            </w:r>
            <w:r w:rsidR="0063258C">
              <w:t xml:space="preserve">do not specifically impose higher costs on a particular </w:t>
            </w:r>
            <w:r w:rsidR="00570146">
              <w:t>business type or individual services. However,</w:t>
            </w:r>
            <w:r w:rsidR="0036598D">
              <w:t xml:space="preserve"> </w:t>
            </w:r>
            <w:r w:rsidR="00570146">
              <w:t>the</w:t>
            </w:r>
            <w:r>
              <w:t xml:space="preserve"> proposed </w:t>
            </w:r>
            <w:r>
              <w:lastRenderedPageBreak/>
              <w:t xml:space="preserve">Regulations </w:t>
            </w:r>
            <w:r w:rsidR="00570146">
              <w:t xml:space="preserve">do </w:t>
            </w:r>
            <w:r>
              <w:t xml:space="preserve">impose minor additional costs </w:t>
            </w:r>
            <w:r w:rsidR="00570146">
              <w:t xml:space="preserve">(in terms of application fees) </w:t>
            </w:r>
            <w:r>
              <w:t xml:space="preserve">on those individuals and businesses that </w:t>
            </w:r>
            <w:r w:rsidR="00570146">
              <w:t xml:space="preserve">wish to </w:t>
            </w:r>
            <w:r>
              <w:t>provide multiple private security services</w:t>
            </w:r>
            <w:r w:rsidR="00C64984">
              <w:t xml:space="preserve"> </w:t>
            </w:r>
            <w:r w:rsidR="00A52F40">
              <w:t>and therefore required a licence for multiple activities</w:t>
            </w:r>
            <w:r w:rsidR="00C64984">
              <w:t xml:space="preserve"> (</w:t>
            </w:r>
            <w:r w:rsidR="00A52F40">
              <w:t>creating</w:t>
            </w:r>
            <w:r w:rsidR="00C64984">
              <w:t xml:space="preserve"> higher administrative costs for processing these applications). </w:t>
            </w:r>
            <w:r w:rsidR="00A52F40">
              <w:t>It is important to note</w:t>
            </w:r>
            <w:r w:rsidR="00C64984">
              <w:t xml:space="preserve">, the additional costs </w:t>
            </w:r>
            <w:r w:rsidR="008749A7">
              <w:t xml:space="preserve">imposed on these types of service providers </w:t>
            </w:r>
            <w:r w:rsidR="00C64984">
              <w:t xml:space="preserve">are not expected to </w:t>
            </w:r>
            <w:r w:rsidR="00DC2BA8">
              <w:t>negatively impact competition, and th</w:t>
            </w:r>
            <w:r w:rsidR="008749A7">
              <w:t>e</w:t>
            </w:r>
            <w:r w:rsidR="00DC2BA8">
              <w:t xml:space="preserve"> variability in pricing is applied industry wide regardless of the </w:t>
            </w:r>
            <w:r w:rsidR="002C426A">
              <w:t>class of business or type of service.</w:t>
            </w:r>
          </w:p>
        </w:tc>
      </w:tr>
      <w:tr w:rsidR="00D60126" w14:paraId="00983636" w14:textId="77777777" w:rsidTr="00104EAB">
        <w:tc>
          <w:tcPr>
            <w:tcW w:w="3116" w:type="dxa"/>
          </w:tcPr>
          <w:p w14:paraId="1D77B183" w14:textId="45E20E41" w:rsidR="00D60126" w:rsidRDefault="00544123" w:rsidP="00104EAB">
            <w:pPr>
              <w:ind w:left="0"/>
            </w:pPr>
            <w:r>
              <w:lastRenderedPageBreak/>
              <w:t>Are</w:t>
            </w:r>
            <w:r w:rsidR="00D60126" w:rsidRPr="00082F05">
              <w:t xml:space="preserve"> the proposed measure</w:t>
            </w:r>
            <w:r>
              <w:t>s</w:t>
            </w:r>
            <w:r w:rsidR="00D60126" w:rsidRPr="00082F05">
              <w:t xml:space="preserve"> likely to make it more difficult for consumers to move between or leave service providers?</w:t>
            </w:r>
          </w:p>
        </w:tc>
        <w:tc>
          <w:tcPr>
            <w:tcW w:w="840" w:type="dxa"/>
          </w:tcPr>
          <w:p w14:paraId="13E1C24A" w14:textId="0C210A13" w:rsidR="00D60126" w:rsidRDefault="00690EF9" w:rsidP="00104EAB">
            <w:r>
              <w:t>No</w:t>
            </w:r>
          </w:p>
        </w:tc>
        <w:tc>
          <w:tcPr>
            <w:tcW w:w="5145" w:type="dxa"/>
          </w:tcPr>
          <w:p w14:paraId="56E7403D" w14:textId="315D44EE" w:rsidR="00D60126" w:rsidRDefault="00690EF9" w:rsidP="00104EAB">
            <w:r>
              <w:t xml:space="preserve">The proposed Regulations </w:t>
            </w:r>
            <w:r w:rsidR="00E864D8">
              <w:t xml:space="preserve">do not impose any measures that will impact a consumer’s ability to </w:t>
            </w:r>
            <w:r w:rsidR="00D57AEE">
              <w:t xml:space="preserve">choose their service providers. </w:t>
            </w:r>
          </w:p>
        </w:tc>
      </w:tr>
      <w:tr w:rsidR="00D60126" w14:paraId="6DF13A88" w14:textId="77777777" w:rsidTr="00104EAB">
        <w:tc>
          <w:tcPr>
            <w:tcW w:w="3116" w:type="dxa"/>
          </w:tcPr>
          <w:p w14:paraId="6A64651F" w14:textId="41C1E871" w:rsidR="00D60126" w:rsidRDefault="00D60126" w:rsidP="00104EAB">
            <w:pPr>
              <w:ind w:left="0"/>
            </w:pPr>
            <w:r>
              <w:t>W</w:t>
            </w:r>
            <w:r w:rsidRPr="00082F05">
              <w:t>ould the proposed measure</w:t>
            </w:r>
            <w:r w:rsidR="00544123">
              <w:t>s</w:t>
            </w:r>
            <w:r w:rsidRPr="00082F05">
              <w:t xml:space="preserve"> affect the ability of businesses to innovate, adopt new technology or respond to the changing demands of consumers?</w:t>
            </w:r>
          </w:p>
        </w:tc>
        <w:tc>
          <w:tcPr>
            <w:tcW w:w="840" w:type="dxa"/>
          </w:tcPr>
          <w:p w14:paraId="2888363F" w14:textId="04550679" w:rsidR="00D60126" w:rsidRDefault="00D57AEE" w:rsidP="00104EAB">
            <w:r>
              <w:t>No</w:t>
            </w:r>
          </w:p>
        </w:tc>
        <w:tc>
          <w:tcPr>
            <w:tcW w:w="5145" w:type="dxa"/>
          </w:tcPr>
          <w:p w14:paraId="0C95E7FB" w14:textId="674A6691" w:rsidR="00D60126" w:rsidRDefault="00D57AEE" w:rsidP="00104EAB">
            <w:r>
              <w:t>The proposed Regulations do not impose any restrictions on the way service providers provide their security services</w:t>
            </w:r>
            <w:r w:rsidR="007B186E">
              <w:t xml:space="preserve">. There are no provisions in the proposed Regulations that would inhibit </w:t>
            </w:r>
            <w:r w:rsidR="009C0036">
              <w:t xml:space="preserve">security businesses from innovating, adopting new technology or responding to changing consumer preferences and demands. </w:t>
            </w:r>
          </w:p>
        </w:tc>
      </w:tr>
    </w:tbl>
    <w:p w14:paraId="10469208" w14:textId="3463ED39" w:rsidR="00B10712" w:rsidRDefault="00B10712" w:rsidP="00B10712">
      <w:pPr>
        <w:pStyle w:val="Heading2"/>
      </w:pPr>
      <w:bookmarkStart w:id="108" w:name="_Toc189832267"/>
      <w:r>
        <w:t>Small business impacts</w:t>
      </w:r>
      <w:bookmarkEnd w:id="108"/>
      <w:r>
        <w:t xml:space="preserve"> </w:t>
      </w:r>
    </w:p>
    <w:p w14:paraId="63AD2D00" w14:textId="125D4A97" w:rsidR="00B10712" w:rsidRDefault="00692A08" w:rsidP="00B10712">
      <w:r>
        <w:t xml:space="preserve">To ensure the impacts of regulation on small business are examined appropriately, an assessment of the effects on small businesses is required. This aims to ensure that regulation does not impact business growth and productivity unreasonably, especially that of small businesses. </w:t>
      </w:r>
    </w:p>
    <w:p w14:paraId="39520F73" w14:textId="40185232" w:rsidR="00692A08" w:rsidRDefault="00692A08" w:rsidP="00B10712">
      <w:r>
        <w:t>Small businesses can experience disproportionate impacts from regulation due to limited resources for interpretation of updates</w:t>
      </w:r>
      <w:r w:rsidR="005C7A28">
        <w:t xml:space="preserve"> in compliance requirements</w:t>
      </w:r>
      <w:r w:rsidR="00054AF4">
        <w:t xml:space="preserve">, and the cumulation of different requirements. The lack of economies of scale may affect these businesses’ ability to comply with different options. </w:t>
      </w:r>
    </w:p>
    <w:p w14:paraId="6C06B8B2" w14:textId="3BE0AE11" w:rsidR="007E7B40" w:rsidRDefault="000A2284" w:rsidP="00B10712">
      <w:r>
        <w:t xml:space="preserve">It is not expected that the proposed Regulations will </w:t>
      </w:r>
      <w:r w:rsidR="00D146C5">
        <w:t xml:space="preserve">disproportionately </w:t>
      </w:r>
      <w:r w:rsidR="008A2E00">
        <w:t xml:space="preserve">limit the ability of small businesses and natural persons </w:t>
      </w:r>
      <w:r w:rsidR="001F7268">
        <w:t>to operate in the industry</w:t>
      </w:r>
      <w:r w:rsidR="00396B01">
        <w:t>.</w:t>
      </w:r>
      <w:r w:rsidR="004F0B61">
        <w:t xml:space="preserve"> The proposed fees increase as the </w:t>
      </w:r>
      <w:r w:rsidR="00602514">
        <w:t xml:space="preserve">number of approved activities increase. Small businesses </w:t>
      </w:r>
      <w:r w:rsidR="009965A8">
        <w:t xml:space="preserve">providing a narrower range of services will pay </w:t>
      </w:r>
      <w:r w:rsidR="00727D28">
        <w:t xml:space="preserve">less </w:t>
      </w:r>
      <w:r w:rsidR="009965A8">
        <w:t>than businesses that have more activities approved on their li</w:t>
      </w:r>
      <w:r w:rsidR="00691040">
        <w:t>cence</w:t>
      </w:r>
      <w:r w:rsidR="009965A8">
        <w:t>.</w:t>
      </w:r>
      <w:r w:rsidR="00396B01">
        <w:t xml:space="preserve"> </w:t>
      </w:r>
      <w:r w:rsidR="007E7B40">
        <w:t>While</w:t>
      </w:r>
      <w:r w:rsidR="00DA3F04">
        <w:t xml:space="preserve"> in</w:t>
      </w:r>
      <w:r w:rsidR="007E7B40" w:rsidRPr="007E7B40">
        <w:t xml:space="preserve"> some cases </w:t>
      </w:r>
      <w:r w:rsidR="00DA3F04">
        <w:t>the specific fee costs</w:t>
      </w:r>
      <w:r w:rsidR="007E7B40" w:rsidRPr="007E7B40">
        <w:t xml:space="preserve"> may pose a larger cost relative to revenue or profit for small businesses rather than larger businesses, </w:t>
      </w:r>
      <w:r w:rsidR="00DA3F04">
        <w:t>the maximum fee impact is still relatively low ($5</w:t>
      </w:r>
      <w:r w:rsidR="00F65970">
        <w:t>27</w:t>
      </w:r>
      <w:r w:rsidR="00216804">
        <w:t xml:space="preserve"> annually</w:t>
      </w:r>
      <w:r w:rsidR="00DA3F04">
        <w:t xml:space="preserve"> for a three-year licence</w:t>
      </w:r>
      <w:r w:rsidR="00216804">
        <w:t xml:space="preserve"> for </w:t>
      </w:r>
      <w:r w:rsidR="002B1EBB">
        <w:t xml:space="preserve">natural persons, and </w:t>
      </w:r>
      <w:r w:rsidR="009532A2">
        <w:t xml:space="preserve">$932 for a business registered as </w:t>
      </w:r>
      <w:r w:rsidR="00533DFF">
        <w:t>a bod</w:t>
      </w:r>
      <w:r w:rsidR="00C4404B">
        <w:t>y</w:t>
      </w:r>
      <w:r w:rsidR="00533DFF">
        <w:t xml:space="preserve"> corporate</w:t>
      </w:r>
      <w:r w:rsidR="00DA3F04">
        <w:t xml:space="preserve">) and </w:t>
      </w:r>
      <w:r w:rsidR="00E75194">
        <w:t xml:space="preserve">is </w:t>
      </w:r>
      <w:r w:rsidR="00DA3F04">
        <w:t>not</w:t>
      </w:r>
      <w:r w:rsidR="00E75194">
        <w:t xml:space="preserve"> expected to</w:t>
      </w:r>
      <w:r w:rsidR="00DA3F04">
        <w:t xml:space="preserve"> pose </w:t>
      </w:r>
      <w:r w:rsidR="00E75194">
        <w:t>competition impacts or barriers to entry into the industry.</w:t>
      </w:r>
      <w:r w:rsidR="00DA3F04">
        <w:t xml:space="preserve"> </w:t>
      </w:r>
    </w:p>
    <w:p w14:paraId="426BFF7D" w14:textId="41D38E4B" w:rsidR="000A2284" w:rsidRDefault="00396B01" w:rsidP="00B10712">
      <w:r>
        <w:t xml:space="preserve">Furthermore, the move toward a single-tier licensing system </w:t>
      </w:r>
      <w:r w:rsidR="00D97F2C">
        <w:t>will make it easier for the small businesses and natural persons that provide both Class A and Class B services</w:t>
      </w:r>
      <w:r w:rsidR="003D02A1">
        <w:t xml:space="preserve">. This is </w:t>
      </w:r>
      <w:r w:rsidR="00235F6E">
        <w:t>because they will not need</w:t>
      </w:r>
      <w:r w:rsidR="003D02A1">
        <w:t xml:space="preserve"> to apply for a separate licence and </w:t>
      </w:r>
      <w:r w:rsidR="004F0B61">
        <w:t>registration and</w:t>
      </w:r>
      <w:r w:rsidR="003D02A1">
        <w:t xml:space="preserve"> pa</w:t>
      </w:r>
      <w:r w:rsidR="00235F6E">
        <w:t xml:space="preserve">y two separate fees. </w:t>
      </w:r>
    </w:p>
    <w:p w14:paraId="2AB153EF" w14:textId="77777777" w:rsidR="004633D3" w:rsidRDefault="004633D3" w:rsidP="00B10712"/>
    <w:p w14:paraId="5288C2AF" w14:textId="549E5DD5" w:rsidR="00BC75BF" w:rsidRDefault="001463CC" w:rsidP="00DE708D">
      <w:pPr>
        <w:pStyle w:val="Heading1"/>
      </w:pPr>
      <w:bookmarkStart w:id="109" w:name="_Toc154039058"/>
      <w:bookmarkStart w:id="110" w:name="_Toc189832268"/>
      <w:r>
        <w:lastRenderedPageBreak/>
        <w:t>Implementation and evaluation plan</w:t>
      </w:r>
      <w:bookmarkEnd w:id="109"/>
      <w:bookmarkEnd w:id="110"/>
    </w:p>
    <w:p w14:paraId="72AAF8A7" w14:textId="60761B4A" w:rsidR="00195620" w:rsidRPr="00195620" w:rsidRDefault="00BE5FA0" w:rsidP="00BE5FA0">
      <w:pPr>
        <w:rPr>
          <w:sz w:val="22"/>
          <w:szCs w:val="22"/>
        </w:rPr>
      </w:pPr>
      <w:r w:rsidRPr="1880A894">
        <w:rPr>
          <w:sz w:val="28"/>
          <w:szCs w:val="28"/>
        </w:rPr>
        <w:t xml:space="preserve">This chapter outlines </w:t>
      </w:r>
      <w:r>
        <w:rPr>
          <w:sz w:val="28"/>
          <w:szCs w:val="28"/>
        </w:rPr>
        <w:t xml:space="preserve">the actions that </w:t>
      </w:r>
      <w:r w:rsidR="00D07A43">
        <w:rPr>
          <w:sz w:val="28"/>
          <w:szCs w:val="28"/>
        </w:rPr>
        <w:t>DJCS</w:t>
      </w:r>
      <w:r>
        <w:rPr>
          <w:sz w:val="28"/>
          <w:szCs w:val="28"/>
        </w:rPr>
        <w:t xml:space="preserve"> and </w:t>
      </w:r>
      <w:r w:rsidR="00D07A43">
        <w:rPr>
          <w:sz w:val="28"/>
          <w:szCs w:val="28"/>
        </w:rPr>
        <w:t>Victoria Police</w:t>
      </w:r>
      <w:r>
        <w:rPr>
          <w:sz w:val="28"/>
          <w:szCs w:val="28"/>
        </w:rPr>
        <w:t xml:space="preserve"> will undertake to implement and </w:t>
      </w:r>
      <w:r w:rsidRPr="1880A894">
        <w:rPr>
          <w:sz w:val="28"/>
          <w:szCs w:val="28"/>
        </w:rPr>
        <w:t>assess</w:t>
      </w:r>
      <w:r>
        <w:rPr>
          <w:sz w:val="28"/>
          <w:szCs w:val="28"/>
        </w:rPr>
        <w:t xml:space="preserve"> both</w:t>
      </w:r>
      <w:r w:rsidRPr="1880A894">
        <w:rPr>
          <w:sz w:val="28"/>
          <w:szCs w:val="28"/>
        </w:rPr>
        <w:t xml:space="preserve"> the efficiency and effectiveness of the proposed </w:t>
      </w:r>
      <w:r w:rsidR="00D025FC">
        <w:rPr>
          <w:sz w:val="28"/>
          <w:szCs w:val="28"/>
        </w:rPr>
        <w:t>Regulations</w:t>
      </w:r>
      <w:r>
        <w:rPr>
          <w:sz w:val="28"/>
          <w:szCs w:val="28"/>
        </w:rPr>
        <w:t>.</w:t>
      </w:r>
    </w:p>
    <w:p w14:paraId="16D0D373" w14:textId="4A4724C6" w:rsidR="00BC75BF" w:rsidRDefault="00AD39A8" w:rsidP="00B54ABE">
      <w:pPr>
        <w:pStyle w:val="Heading2"/>
      </w:pPr>
      <w:bookmarkStart w:id="111" w:name="_Toc189832269"/>
      <w:r>
        <w:t>Implementation</w:t>
      </w:r>
      <w:bookmarkEnd w:id="111"/>
    </w:p>
    <w:p w14:paraId="4ECC050F" w14:textId="6EBC3638" w:rsidR="00E24E7A" w:rsidRDefault="00E24E7A" w:rsidP="00AD39A8">
      <w:r>
        <w:t xml:space="preserve">The proposed </w:t>
      </w:r>
      <w:r w:rsidR="004B667B">
        <w:t>R</w:t>
      </w:r>
      <w:r>
        <w:t xml:space="preserve">egulations will be implemented alongside the newly amended </w:t>
      </w:r>
      <w:r w:rsidR="00B73CEE" w:rsidRPr="00B73CEE">
        <w:t>Act</w:t>
      </w:r>
      <w:r w:rsidRPr="00B73CEE">
        <w:t>,</w:t>
      </w:r>
      <w:r>
        <w:t xml:space="preserve"> which will incorporate the amendments made via the </w:t>
      </w:r>
      <w:r w:rsidR="00B73CEE" w:rsidRPr="00B73CEE">
        <w:t>amending Act</w:t>
      </w:r>
      <w:r w:rsidRPr="00B73CEE">
        <w:t>.</w:t>
      </w:r>
      <w:r w:rsidR="002C7682">
        <w:t xml:space="preserve"> </w:t>
      </w:r>
      <w:r>
        <w:t xml:space="preserve">The Regulations will be settled following public consultation on the Exposure Draft that accompanies this RIS. All submissions will be considered </w:t>
      </w:r>
      <w:r w:rsidR="008613BD">
        <w:t xml:space="preserve">carefully by </w:t>
      </w:r>
      <w:r w:rsidR="00EA75C2">
        <w:t>DJCS</w:t>
      </w:r>
      <w:r w:rsidR="008613BD">
        <w:t xml:space="preserve"> and </w:t>
      </w:r>
      <w:r>
        <w:t xml:space="preserve">the draft </w:t>
      </w:r>
      <w:r w:rsidR="004B667B">
        <w:t>R</w:t>
      </w:r>
      <w:r>
        <w:t>egulations amended accordingly</w:t>
      </w:r>
      <w:r w:rsidR="008613BD">
        <w:t xml:space="preserve"> in consultation with Victoria Police and other key stakeholders</w:t>
      </w:r>
      <w:r>
        <w:t>.</w:t>
      </w:r>
      <w:r w:rsidR="008613BD">
        <w:t xml:space="preserve"> The final decision about any changes rests with the Minister for Police. </w:t>
      </w:r>
    </w:p>
    <w:p w14:paraId="5F7AB3EF" w14:textId="33BBC96F" w:rsidR="00E24E7A" w:rsidRDefault="00E24E7A" w:rsidP="00AD39A8">
      <w:r>
        <w:t>Once the Regulations are settled</w:t>
      </w:r>
      <w:r w:rsidR="008613BD">
        <w:t xml:space="preserve"> by the Office of the Chief Parliamentary Counsel</w:t>
      </w:r>
      <w:r>
        <w:t>, the Minister for Police will seek Cabinet approval to present the Regulations to the Governor</w:t>
      </w:r>
      <w:r w:rsidR="008613BD">
        <w:t>-</w:t>
      </w:r>
      <w:r>
        <w:t>In</w:t>
      </w:r>
      <w:r w:rsidR="008613BD">
        <w:t>-</w:t>
      </w:r>
      <w:r>
        <w:t>Council to be made</w:t>
      </w:r>
      <w:r w:rsidR="008613BD">
        <w:t>. The expectation is that the Regulations will come into force on the same day as the amend</w:t>
      </w:r>
      <w:r w:rsidR="00453281">
        <w:t xml:space="preserve">ments to the </w:t>
      </w:r>
      <w:r w:rsidR="008613BD">
        <w:t>Act</w:t>
      </w:r>
      <w:r>
        <w:t xml:space="preserve">. </w:t>
      </w:r>
    </w:p>
    <w:p w14:paraId="7DF27CEE" w14:textId="4578E540" w:rsidR="00E24E7A" w:rsidRDefault="008613BD" w:rsidP="00AD39A8">
      <w:r>
        <w:t xml:space="preserve">Once the </w:t>
      </w:r>
      <w:r w:rsidR="004B667B">
        <w:t>R</w:t>
      </w:r>
      <w:r>
        <w:t>egulations are in place, i</w:t>
      </w:r>
      <w:r w:rsidR="00E24E7A">
        <w:t>n order to implement the Regulations effectively, the following</w:t>
      </w:r>
      <w:r>
        <w:t>, for which Victoria Police is responsible,</w:t>
      </w:r>
      <w:r w:rsidR="00E24E7A">
        <w:t xml:space="preserve"> must occur:</w:t>
      </w:r>
    </w:p>
    <w:p w14:paraId="5DB2A80F" w14:textId="56249F2F" w:rsidR="00E24E7A" w:rsidRDefault="005C0D86" w:rsidP="00E24E7A">
      <w:pPr>
        <w:pStyle w:val="ListParagraph"/>
        <w:numPr>
          <w:ilvl w:val="0"/>
          <w:numId w:val="53"/>
        </w:numPr>
      </w:pPr>
      <w:r>
        <w:t xml:space="preserve">Technology system </w:t>
      </w:r>
      <w:r w:rsidR="008613BD">
        <w:t>c</w:t>
      </w:r>
      <w:r w:rsidR="00E24E7A">
        <w:t xml:space="preserve">hanges to give effect to changes, including creating a single tier licence system, inputting fees, and creating ICT capacity to check off new requirements, removing the need for references, including capacity to record training for security trainers and advisors, setting up the new fees and generally automating as much of the application and review process as possible. </w:t>
      </w:r>
    </w:p>
    <w:p w14:paraId="0737CDFA" w14:textId="5D1645D1" w:rsidR="008613BD" w:rsidRDefault="008613BD" w:rsidP="00E24E7A">
      <w:pPr>
        <w:pStyle w:val="ListParagraph"/>
        <w:numPr>
          <w:ilvl w:val="0"/>
          <w:numId w:val="53"/>
        </w:numPr>
      </w:pPr>
      <w:r>
        <w:t>Changes to letter</w:t>
      </w:r>
      <w:r w:rsidR="00453281">
        <w:t>s</w:t>
      </w:r>
      <w:r>
        <w:t xml:space="preserve"> and forms that are available for the guidance of applicants</w:t>
      </w:r>
      <w:r w:rsidR="00B02FB0">
        <w:t>.</w:t>
      </w:r>
    </w:p>
    <w:p w14:paraId="62C6A46B" w14:textId="35FEF837" w:rsidR="008613BD" w:rsidRDefault="008613BD" w:rsidP="00E24E7A">
      <w:pPr>
        <w:pStyle w:val="ListParagraph"/>
        <w:numPr>
          <w:ilvl w:val="0"/>
          <w:numId w:val="53"/>
        </w:numPr>
      </w:pPr>
      <w:r>
        <w:t>Tracking the age of licences so that the transitional provisions in the Act are made clear to applicants (that is, registrants need to know when they need to switch to a licence)</w:t>
      </w:r>
      <w:r w:rsidR="00B02FB0">
        <w:t>.</w:t>
      </w:r>
      <w:r>
        <w:t xml:space="preserve"> </w:t>
      </w:r>
    </w:p>
    <w:p w14:paraId="304E06B9" w14:textId="3781B8C2" w:rsidR="008613BD" w:rsidRDefault="008613BD" w:rsidP="008613BD">
      <w:r>
        <w:t xml:space="preserve">In addition, matters referred to in the Regulations, will need to be developed. For example, a Code of Conduct to be published on the Victoria Police website; refresher training requirements; risk assessment and treatment templates as well as general education material. </w:t>
      </w:r>
    </w:p>
    <w:p w14:paraId="00C4C250" w14:textId="239E7A90" w:rsidR="008613BD" w:rsidRDefault="008613BD" w:rsidP="008613BD">
      <w:r>
        <w:t xml:space="preserve">These materials will require the approval of the Chief Commissioner of Police and will be owned by Victoria Police, however, both VSIAC and </w:t>
      </w:r>
      <w:r w:rsidR="00B02FB0">
        <w:t>DJCS</w:t>
      </w:r>
      <w:r>
        <w:t xml:space="preserve"> will provide significant support to assist in preparing these materials.</w:t>
      </w:r>
    </w:p>
    <w:p w14:paraId="7F1DC4D1" w14:textId="395AC95B" w:rsidR="004633D3" w:rsidRDefault="008613BD" w:rsidP="00570566">
      <w:r>
        <w:t>At the time of publication of this RIS, the amending Act and the proposed Regulations will come into effect on 1</w:t>
      </w:r>
      <w:r w:rsidR="00453281">
        <w:t>9</w:t>
      </w:r>
      <w:r>
        <w:t xml:space="preserve"> June 2025, although it is possible that some simple provisions may come into effect at an earlier date by proclamation. </w:t>
      </w:r>
    </w:p>
    <w:p w14:paraId="35DB7BD7" w14:textId="0E4F9AE4" w:rsidR="00154040" w:rsidRDefault="00154040" w:rsidP="00570566">
      <w:pPr>
        <w:pStyle w:val="Heading2"/>
      </w:pPr>
      <w:bookmarkStart w:id="112" w:name="_Toc189832270"/>
      <w:r>
        <w:t>Evaluation</w:t>
      </w:r>
      <w:bookmarkEnd w:id="112"/>
    </w:p>
    <w:p w14:paraId="50CBA895" w14:textId="49FF9919" w:rsidR="00154040" w:rsidRDefault="00154040" w:rsidP="00570566">
      <w:r>
        <w:t xml:space="preserve">Evaluation of the effectiveness and efficiency of the proposed Regulations once in effect will be carried out on an ongoing basis. </w:t>
      </w:r>
      <w:r w:rsidR="00B02FB0">
        <w:t>DJCS</w:t>
      </w:r>
      <w:r>
        <w:t xml:space="preserve"> already has robust reporting and consultation mechanisms in place with Victoria Police as well as the wider stakeholder group, VSIAC. These organisations have worked closely on the amendments that will come into effect in June 2025, starting with a review and public consultation on what needed to be changed to improve the professionalism of the industry, to the development of the proposed </w:t>
      </w:r>
      <w:r w:rsidR="004B667B">
        <w:t>R</w:t>
      </w:r>
      <w:r>
        <w:t>egulations and this RIS.</w:t>
      </w:r>
    </w:p>
    <w:p w14:paraId="54DE1607" w14:textId="1A089AA3" w:rsidR="00154040" w:rsidRDefault="009C026D" w:rsidP="00570566">
      <w:r>
        <w:t>DJCS</w:t>
      </w:r>
      <w:r w:rsidR="00154040">
        <w:t xml:space="preserve"> will monitor the impact of the amendments through these mechanisms and if issues come to light, will </w:t>
      </w:r>
      <w:r w:rsidR="00453281">
        <w:t xml:space="preserve">propose </w:t>
      </w:r>
      <w:r w:rsidR="00154040">
        <w:t>amend</w:t>
      </w:r>
      <w:r w:rsidR="00453281">
        <w:t>ment to</w:t>
      </w:r>
      <w:r w:rsidR="00154040">
        <w:t xml:space="preserve"> the Act or Regulations </w:t>
      </w:r>
      <w:r w:rsidR="00453281">
        <w:t xml:space="preserve">to Government, </w:t>
      </w:r>
      <w:r w:rsidR="00154040">
        <w:t>as required.</w:t>
      </w:r>
    </w:p>
    <w:p w14:paraId="6AAE93AC" w14:textId="3F3CD011" w:rsidR="00154040" w:rsidRDefault="00154040" w:rsidP="00570566">
      <w:r>
        <w:t xml:space="preserve">In terms of the fees themselves, as set out in detail in this RIS, there are some unknowns given that costs are being apportioned over the life of the Regulations, which is 10 years. Keeping in mind that this could result in changes which </w:t>
      </w:r>
      <w:r w:rsidR="00453281">
        <w:t>a</w:t>
      </w:r>
      <w:r>
        <w:t>ffect the fees (</w:t>
      </w:r>
      <w:r w:rsidR="00453281">
        <w:t xml:space="preserve">if, for example, the fee settings have become misaligned due to some </w:t>
      </w:r>
      <w:r>
        <w:t xml:space="preserve">unforeseen variable), </w:t>
      </w:r>
      <w:r w:rsidR="009C026D">
        <w:t>DJCS</w:t>
      </w:r>
      <w:r>
        <w:t>, Victoria Police and other stakeholders will be invited to raise concerns at any time during the life of the Regulations</w:t>
      </w:r>
      <w:r w:rsidR="00E31B01">
        <w:t>. This includes</w:t>
      </w:r>
      <w:r w:rsidR="00A21416" w:rsidRPr="00A21416">
        <w:t xml:space="preserve"> undertaking further review of the on-going cost base within three years after implementation of the new legislation</w:t>
      </w:r>
      <w:r w:rsidR="00E31B01">
        <w:t xml:space="preserve">. If any </w:t>
      </w:r>
      <w:r w:rsidR="00C146A9">
        <w:t>issues or concerns are identified with the fees and costs,</w:t>
      </w:r>
      <w:r>
        <w:t xml:space="preserve"> D</w:t>
      </w:r>
      <w:r w:rsidR="00C146A9">
        <w:t>JCS</w:t>
      </w:r>
      <w:r>
        <w:t xml:space="preserve"> will take whatever action is appropriate, in consultation with stakeholders, including those with expertise in developing cost benefit analyses. </w:t>
      </w:r>
    </w:p>
    <w:p w14:paraId="3A989625" w14:textId="2E0EAFC2" w:rsidR="00B9751E" w:rsidRDefault="00B9751E" w:rsidP="002C7682">
      <w:pPr>
        <w:pStyle w:val="Heading1un-numbered"/>
        <w:rPr>
          <w:lang w:eastAsia="en-AU"/>
        </w:rPr>
      </w:pPr>
      <w:bookmarkStart w:id="113" w:name="_Toc189832271"/>
      <w:bookmarkStart w:id="114" w:name="_Ref174529586"/>
      <w:bookmarkStart w:id="115" w:name="_Toc463002439"/>
      <w:bookmarkStart w:id="116" w:name="_Toc472586353"/>
      <w:bookmarkStart w:id="117" w:name="_Toc482168131"/>
      <w:bookmarkStart w:id="118" w:name="_Toc482174916"/>
      <w:bookmarkStart w:id="119" w:name="_Toc154039060"/>
      <w:r>
        <w:rPr>
          <w:lang w:eastAsia="en-AU"/>
        </w:rPr>
        <w:lastRenderedPageBreak/>
        <w:t>Appendices</w:t>
      </w:r>
      <w:bookmarkEnd w:id="113"/>
    </w:p>
    <w:p w14:paraId="78D9E044" w14:textId="676E1E5D" w:rsidR="004633D3" w:rsidRDefault="00262E18" w:rsidP="002C7682">
      <w:pPr>
        <w:pStyle w:val="Heading2un-numbered"/>
        <w:rPr>
          <w:lang w:eastAsia="en-AU"/>
        </w:rPr>
      </w:pPr>
      <w:bookmarkStart w:id="120" w:name="_Toc189832272"/>
      <w:r>
        <w:rPr>
          <w:lang w:eastAsia="en-AU"/>
        </w:rPr>
        <w:t xml:space="preserve">A.1 </w:t>
      </w:r>
      <w:r w:rsidR="0085231F">
        <w:rPr>
          <w:lang w:eastAsia="en-AU"/>
        </w:rPr>
        <w:t>Stakeholder consultation summary</w:t>
      </w:r>
      <w:bookmarkEnd w:id="114"/>
      <w:bookmarkEnd w:id="120"/>
    </w:p>
    <w:p w14:paraId="6D143E22" w14:textId="684E392C" w:rsidR="0085231F" w:rsidRDefault="004F2362" w:rsidP="0085231F">
      <w:pPr>
        <w:rPr>
          <w:lang w:eastAsia="en-AU"/>
        </w:rPr>
      </w:pPr>
      <w:r>
        <w:rPr>
          <w:lang w:eastAsia="en-AU"/>
        </w:rPr>
        <w:t xml:space="preserve">Consultations with </w:t>
      </w:r>
      <w:r w:rsidR="004834DB">
        <w:rPr>
          <w:lang w:eastAsia="en-AU"/>
        </w:rPr>
        <w:t>representatives of the private security industry were undertaken to provide stakeholders with an opportu</w:t>
      </w:r>
      <w:r w:rsidR="00F861D5">
        <w:rPr>
          <w:lang w:eastAsia="en-AU"/>
        </w:rPr>
        <w:t xml:space="preserve">nity </w:t>
      </w:r>
      <w:r w:rsidR="007D71F8">
        <w:rPr>
          <w:lang w:eastAsia="en-AU"/>
        </w:rPr>
        <w:t xml:space="preserve">to provide feedback on the proposed amendments to the Regulations and to understand the impacts of merging licences and registrations into one category. </w:t>
      </w:r>
      <w:r w:rsidR="006B3F95">
        <w:rPr>
          <w:lang w:eastAsia="en-AU"/>
        </w:rPr>
        <w:t>Semi-structured interviews were conducted with representatives from the following:</w:t>
      </w:r>
    </w:p>
    <w:p w14:paraId="01E6AE4B" w14:textId="090B383C" w:rsidR="006B3F95" w:rsidRDefault="00655117" w:rsidP="00202AB3">
      <w:pPr>
        <w:pStyle w:val="ListParagraph"/>
        <w:numPr>
          <w:ilvl w:val="0"/>
          <w:numId w:val="33"/>
        </w:numPr>
        <w:rPr>
          <w:lang w:eastAsia="en-AU"/>
        </w:rPr>
      </w:pPr>
      <w:r>
        <w:rPr>
          <w:lang w:eastAsia="en-AU"/>
        </w:rPr>
        <w:t xml:space="preserve">Victorian Security Industry Advisory Council </w:t>
      </w:r>
      <w:r w:rsidR="00AC0E37">
        <w:rPr>
          <w:lang w:eastAsia="en-AU"/>
        </w:rPr>
        <w:t>(VSIAC)</w:t>
      </w:r>
    </w:p>
    <w:p w14:paraId="09465641" w14:textId="575D447B" w:rsidR="00655117" w:rsidRDefault="00AC0E37" w:rsidP="00202AB3">
      <w:pPr>
        <w:pStyle w:val="ListParagraph"/>
        <w:numPr>
          <w:ilvl w:val="0"/>
          <w:numId w:val="33"/>
        </w:numPr>
        <w:rPr>
          <w:lang w:eastAsia="en-AU"/>
        </w:rPr>
      </w:pPr>
      <w:r>
        <w:rPr>
          <w:lang w:eastAsia="en-AU"/>
        </w:rPr>
        <w:t>Australian Security Industry A</w:t>
      </w:r>
      <w:r w:rsidR="00D657EC">
        <w:rPr>
          <w:lang w:eastAsia="en-AU"/>
        </w:rPr>
        <w:t>ssociation Limited (ASIAL)</w:t>
      </w:r>
    </w:p>
    <w:p w14:paraId="4D42A852" w14:textId="5674D9F2" w:rsidR="00D657EC" w:rsidRDefault="00336973" w:rsidP="00202AB3">
      <w:pPr>
        <w:pStyle w:val="ListParagraph"/>
        <w:numPr>
          <w:ilvl w:val="0"/>
          <w:numId w:val="33"/>
        </w:numPr>
        <w:rPr>
          <w:lang w:eastAsia="en-AU"/>
        </w:rPr>
      </w:pPr>
      <w:r>
        <w:rPr>
          <w:lang w:eastAsia="en-AU"/>
        </w:rPr>
        <w:t xml:space="preserve">Monitoring centres </w:t>
      </w:r>
    </w:p>
    <w:p w14:paraId="53F1FFE5" w14:textId="460F44EB" w:rsidR="00336973" w:rsidRDefault="00B857B1" w:rsidP="00202AB3">
      <w:pPr>
        <w:pStyle w:val="ListParagraph"/>
        <w:numPr>
          <w:ilvl w:val="0"/>
          <w:numId w:val="33"/>
        </w:numPr>
        <w:rPr>
          <w:lang w:eastAsia="en-AU"/>
        </w:rPr>
      </w:pPr>
      <w:r>
        <w:rPr>
          <w:lang w:eastAsia="en-AU"/>
        </w:rPr>
        <w:t xml:space="preserve">Private investigators </w:t>
      </w:r>
    </w:p>
    <w:p w14:paraId="20784358" w14:textId="0CD350B5" w:rsidR="00B857B1" w:rsidRPr="0085231F" w:rsidRDefault="00D93ECE" w:rsidP="00202AB3">
      <w:pPr>
        <w:pStyle w:val="ListParagraph"/>
        <w:numPr>
          <w:ilvl w:val="0"/>
          <w:numId w:val="33"/>
        </w:numPr>
        <w:rPr>
          <w:lang w:eastAsia="en-AU"/>
        </w:rPr>
      </w:pPr>
      <w:r>
        <w:rPr>
          <w:lang w:eastAsia="en-AU"/>
        </w:rPr>
        <w:t>United Workers Union</w:t>
      </w:r>
      <w:r w:rsidR="00B24D05">
        <w:rPr>
          <w:lang w:eastAsia="en-AU"/>
        </w:rPr>
        <w:t>.</w:t>
      </w:r>
      <w:r>
        <w:rPr>
          <w:lang w:eastAsia="en-AU"/>
        </w:rPr>
        <w:t xml:space="preserve"> </w:t>
      </w:r>
    </w:p>
    <w:p w14:paraId="45435A29" w14:textId="1142D7BA" w:rsidR="004633D3" w:rsidRDefault="00676FA2" w:rsidP="00262E18">
      <w:pPr>
        <w:pStyle w:val="Heading3un-numbered"/>
      </w:pPr>
      <w:r>
        <w:t xml:space="preserve">Key </w:t>
      </w:r>
      <w:r w:rsidR="00E40002">
        <w:t>themes</w:t>
      </w:r>
      <w:r>
        <w:t xml:space="preserve"> and findings </w:t>
      </w:r>
      <w:r w:rsidR="00E40002">
        <w:t>from consultations</w:t>
      </w:r>
    </w:p>
    <w:p w14:paraId="2A68C0A9" w14:textId="1E4EB098" w:rsidR="00E40002" w:rsidRDefault="0082695F" w:rsidP="00262E18">
      <w:pPr>
        <w:pStyle w:val="Heading4un-numbered"/>
        <w:rPr>
          <w:lang w:eastAsia="en-AU"/>
        </w:rPr>
      </w:pPr>
      <w:r>
        <w:rPr>
          <w:lang w:eastAsia="en-AU"/>
        </w:rPr>
        <w:t xml:space="preserve">Merging licenses and registrations into one category is a welcome change </w:t>
      </w:r>
    </w:p>
    <w:p w14:paraId="2E6CC575" w14:textId="52DF807E" w:rsidR="00B23AF6" w:rsidRDefault="00B23AF6" w:rsidP="00B23AF6">
      <w:pPr>
        <w:rPr>
          <w:lang w:eastAsia="en-AU"/>
        </w:rPr>
      </w:pPr>
      <w:r>
        <w:rPr>
          <w:lang w:eastAsia="en-AU"/>
        </w:rPr>
        <w:t xml:space="preserve">Stakeholders consulted were largely </w:t>
      </w:r>
      <w:r w:rsidR="00D0068C">
        <w:rPr>
          <w:lang w:eastAsia="en-AU"/>
        </w:rPr>
        <w:t>supportive</w:t>
      </w:r>
      <w:r>
        <w:rPr>
          <w:lang w:eastAsia="en-AU"/>
        </w:rPr>
        <w:t xml:space="preserve"> of merging registrations and licences into a single category.</w:t>
      </w:r>
      <w:r w:rsidR="0076412A">
        <w:rPr>
          <w:lang w:eastAsia="en-AU"/>
        </w:rPr>
        <w:t xml:space="preserve"> Stakeholders also acknowledged that</w:t>
      </w:r>
      <w:r w:rsidR="009A59BA">
        <w:rPr>
          <w:lang w:eastAsia="en-AU"/>
        </w:rPr>
        <w:t xml:space="preserve"> while</w:t>
      </w:r>
      <w:r w:rsidR="0076412A">
        <w:rPr>
          <w:lang w:eastAsia="en-AU"/>
        </w:rPr>
        <w:t xml:space="preserve"> transitioning from licensing to registration </w:t>
      </w:r>
      <w:r w:rsidR="00CB3737">
        <w:rPr>
          <w:lang w:eastAsia="en-AU"/>
        </w:rPr>
        <w:t>would</w:t>
      </w:r>
      <w:r w:rsidR="009A59BA">
        <w:rPr>
          <w:lang w:eastAsia="en-AU"/>
        </w:rPr>
        <w:t xml:space="preserve"> potentially increase costs, it was a necessary change</w:t>
      </w:r>
      <w:r w:rsidR="00CB3737">
        <w:rPr>
          <w:lang w:eastAsia="en-AU"/>
        </w:rPr>
        <w:t xml:space="preserve"> and will save time for applicants</w:t>
      </w:r>
      <w:r w:rsidR="009A59BA">
        <w:rPr>
          <w:lang w:eastAsia="en-AU"/>
        </w:rPr>
        <w:t xml:space="preserve">. </w:t>
      </w:r>
      <w:r w:rsidR="00580F47">
        <w:rPr>
          <w:lang w:eastAsia="en-AU"/>
        </w:rPr>
        <w:t>Stakeholders also noted that there was a need for consistency regarding competency requirements between licence and registration holders.</w:t>
      </w:r>
      <w:r w:rsidR="00150BC1" w:rsidRPr="00150BC1">
        <w:rPr>
          <w:lang w:eastAsia="en-AU"/>
        </w:rPr>
        <w:t xml:space="preserve"> </w:t>
      </w:r>
      <w:r w:rsidR="0026458E">
        <w:rPr>
          <w:lang w:eastAsia="en-AU"/>
        </w:rPr>
        <w:t xml:space="preserve">One stakeholder stated that registration was a duplicative process as both licences and registrations used the same application form and that applicants holding both registration and licences were required to lodge the same form twice. The stakeholder further noted that proposed amendment will streamline to process to one application and one set of documents, saving time for the applicants. </w:t>
      </w:r>
    </w:p>
    <w:p w14:paraId="050DA6CA" w14:textId="3953E991" w:rsidR="00A85EF3" w:rsidRDefault="002C1C86" w:rsidP="00262E18">
      <w:pPr>
        <w:pStyle w:val="Heading4un-numbered"/>
        <w:rPr>
          <w:lang w:eastAsia="en-AU"/>
        </w:rPr>
      </w:pPr>
      <w:r>
        <w:rPr>
          <w:lang w:eastAsia="en-AU"/>
        </w:rPr>
        <w:t xml:space="preserve">The industry is sensitive to fee increases </w:t>
      </w:r>
    </w:p>
    <w:p w14:paraId="0D92734D" w14:textId="727CFA59" w:rsidR="00F65395" w:rsidRDefault="005D70A1" w:rsidP="00F65395">
      <w:pPr>
        <w:rPr>
          <w:lang w:eastAsia="en-AU"/>
        </w:rPr>
      </w:pPr>
      <w:r>
        <w:rPr>
          <w:lang w:eastAsia="en-AU"/>
        </w:rPr>
        <w:t xml:space="preserve">Stakeholders stated that the current fee levels were set appropriately. </w:t>
      </w:r>
      <w:r w:rsidR="00F65395">
        <w:rPr>
          <w:lang w:eastAsia="en-AU"/>
        </w:rPr>
        <w:t>Stakeholders</w:t>
      </w:r>
      <w:r w:rsidR="00281AA8">
        <w:rPr>
          <w:lang w:eastAsia="en-AU"/>
        </w:rPr>
        <w:t>, however, also</w:t>
      </w:r>
      <w:r w:rsidR="00F65395">
        <w:rPr>
          <w:lang w:eastAsia="en-AU"/>
        </w:rPr>
        <w:t xml:space="preserve"> stated that the industry was very sensitive to fee changes </w:t>
      </w:r>
      <w:r w:rsidR="0068590F">
        <w:rPr>
          <w:lang w:eastAsia="en-AU"/>
        </w:rPr>
        <w:t>due to lower pay levels</w:t>
      </w:r>
      <w:r w:rsidR="00151748">
        <w:rPr>
          <w:lang w:eastAsia="en-AU"/>
        </w:rPr>
        <w:t xml:space="preserve"> and that that significant cost increases would present as a barrier to entry and reduce the number of workers available.</w:t>
      </w:r>
      <w:r w:rsidR="0068590F">
        <w:rPr>
          <w:lang w:eastAsia="en-AU"/>
        </w:rPr>
        <w:t xml:space="preserve"> </w:t>
      </w:r>
      <w:r w:rsidR="00BC1A5B">
        <w:rPr>
          <w:lang w:eastAsia="en-AU"/>
        </w:rPr>
        <w:t xml:space="preserve">There was also consistent feedback that higher fees could result in greater non-compliance, with an increase in number of businesses and individuals working in the sector without a licence. </w:t>
      </w:r>
      <w:r w:rsidR="0068590F">
        <w:rPr>
          <w:lang w:eastAsia="en-AU"/>
        </w:rPr>
        <w:t>Multiple stakeholders stated that employers did not typically cover the costs of individual licences for their personnel. This was due to factors such as one security guard working for multiple employers</w:t>
      </w:r>
      <w:r w:rsidR="004B53CC">
        <w:rPr>
          <w:lang w:eastAsia="en-AU"/>
        </w:rPr>
        <w:t xml:space="preserve">, </w:t>
      </w:r>
      <w:r w:rsidR="00FC2A57">
        <w:rPr>
          <w:lang w:eastAsia="en-AU"/>
        </w:rPr>
        <w:t>many security guards employed part-time</w:t>
      </w:r>
      <w:r w:rsidR="004B53CC">
        <w:rPr>
          <w:lang w:eastAsia="en-AU"/>
        </w:rPr>
        <w:t xml:space="preserve"> and a high turnover rate in the industry</w:t>
      </w:r>
      <w:r w:rsidR="00FC2A57">
        <w:rPr>
          <w:lang w:eastAsia="en-AU"/>
        </w:rPr>
        <w:t>.</w:t>
      </w:r>
      <w:r w:rsidR="00420419">
        <w:rPr>
          <w:lang w:eastAsia="en-AU"/>
        </w:rPr>
        <w:t xml:space="preserve"> </w:t>
      </w:r>
      <w:r w:rsidR="007D1FC7">
        <w:rPr>
          <w:lang w:eastAsia="en-AU"/>
        </w:rPr>
        <w:t>One stakeholder stated that t</w:t>
      </w:r>
      <w:r w:rsidR="00420419">
        <w:rPr>
          <w:lang w:eastAsia="en-AU"/>
        </w:rPr>
        <w:t xml:space="preserve">his is primarily the case for </w:t>
      </w:r>
      <w:r w:rsidR="00005BD1">
        <w:rPr>
          <w:lang w:eastAsia="en-AU"/>
        </w:rPr>
        <w:t xml:space="preserve">personnel and </w:t>
      </w:r>
      <w:r w:rsidR="00950B5E">
        <w:rPr>
          <w:lang w:eastAsia="en-AU"/>
        </w:rPr>
        <w:t xml:space="preserve">businesses </w:t>
      </w:r>
      <w:r w:rsidR="007D1FC7">
        <w:rPr>
          <w:lang w:eastAsia="en-AU"/>
        </w:rPr>
        <w:t xml:space="preserve">as security advisors often </w:t>
      </w:r>
      <w:r w:rsidR="009C2047">
        <w:rPr>
          <w:lang w:eastAsia="en-AU"/>
        </w:rPr>
        <w:t>worked for themselves</w:t>
      </w:r>
      <w:r w:rsidR="003C18D5">
        <w:rPr>
          <w:lang w:eastAsia="en-AU"/>
        </w:rPr>
        <w:t xml:space="preserve">. Representatives from the technical industry also stated that they cover the cost of their </w:t>
      </w:r>
      <w:r w:rsidR="00E86BCA">
        <w:rPr>
          <w:lang w:eastAsia="en-AU"/>
        </w:rPr>
        <w:t xml:space="preserve">employees’ registration. </w:t>
      </w:r>
    </w:p>
    <w:p w14:paraId="11EBC459" w14:textId="54F2FCD9" w:rsidR="004F4FE3" w:rsidRDefault="000E73FC" w:rsidP="00262E18">
      <w:pPr>
        <w:pStyle w:val="Heading4un-numbered"/>
        <w:rPr>
          <w:lang w:eastAsia="en-AU"/>
        </w:rPr>
      </w:pPr>
      <w:r>
        <w:rPr>
          <w:lang w:eastAsia="en-AU"/>
        </w:rPr>
        <w:t xml:space="preserve">There are mixed </w:t>
      </w:r>
      <w:r w:rsidR="00C21D65">
        <w:rPr>
          <w:lang w:eastAsia="en-AU"/>
        </w:rPr>
        <w:t xml:space="preserve">reviews on the time and effort of </w:t>
      </w:r>
      <w:r w:rsidR="002016BB">
        <w:rPr>
          <w:lang w:eastAsia="en-AU"/>
        </w:rPr>
        <w:t xml:space="preserve">the application </w:t>
      </w:r>
    </w:p>
    <w:p w14:paraId="33867C35" w14:textId="7E44DF49" w:rsidR="00762020" w:rsidRDefault="00762020" w:rsidP="00762020">
      <w:pPr>
        <w:rPr>
          <w:lang w:eastAsia="en-AU"/>
        </w:rPr>
      </w:pPr>
      <w:r>
        <w:rPr>
          <w:lang w:eastAsia="en-AU"/>
        </w:rPr>
        <w:t xml:space="preserve">There was mixed feedback from stakeholders on the amount of time and effort required to apply for a licence and registration. Two stated that they considered the application to require minimal effort. However, they acknowledged that it would </w:t>
      </w:r>
      <w:r w:rsidR="00BE5D6D">
        <w:rPr>
          <w:lang w:eastAsia="en-AU"/>
        </w:rPr>
        <w:t xml:space="preserve">more time and effort for an applicant from a non-English speaking background. One stakeholder stated that process of filling out the application was arduous. </w:t>
      </w:r>
    </w:p>
    <w:p w14:paraId="02F40C81" w14:textId="121DDE6A" w:rsidR="00D314AE" w:rsidRDefault="00D314AE" w:rsidP="00762020">
      <w:pPr>
        <w:rPr>
          <w:lang w:eastAsia="en-AU"/>
        </w:rPr>
      </w:pPr>
      <w:r>
        <w:rPr>
          <w:lang w:eastAsia="en-AU"/>
        </w:rPr>
        <w:t xml:space="preserve">Stakeholders reported that the time taken by </w:t>
      </w:r>
      <w:r w:rsidR="00F22B98">
        <w:rPr>
          <w:lang w:eastAsia="en-AU"/>
        </w:rPr>
        <w:t>Victoria</w:t>
      </w:r>
      <w:r>
        <w:rPr>
          <w:lang w:eastAsia="en-AU"/>
        </w:rPr>
        <w:t xml:space="preserve"> Pol</w:t>
      </w:r>
      <w:r w:rsidR="00F22B98">
        <w:rPr>
          <w:lang w:eastAsia="en-AU"/>
        </w:rPr>
        <w:t xml:space="preserve">ice to process applications was a bigger concern than the application process itself. </w:t>
      </w:r>
      <w:r w:rsidR="002D6690">
        <w:rPr>
          <w:lang w:eastAsia="en-AU"/>
        </w:rPr>
        <w:t xml:space="preserve">Stakeholders stated that it could take up to three months for an application to be processed and applicants were not allowed to work </w:t>
      </w:r>
      <w:r w:rsidR="0090353A">
        <w:rPr>
          <w:lang w:eastAsia="en-AU"/>
        </w:rPr>
        <w:t xml:space="preserve">in the industry while their application was being processed. This could present a barrier to entry as applicants would have to wait for an extended period without any pay. </w:t>
      </w:r>
    </w:p>
    <w:p w14:paraId="0FB5517B" w14:textId="65BFB457" w:rsidR="00BF2604" w:rsidRDefault="00BF2604" w:rsidP="00262E18">
      <w:pPr>
        <w:pStyle w:val="Heading4un-numbered"/>
        <w:rPr>
          <w:lang w:eastAsia="en-AU"/>
        </w:rPr>
      </w:pPr>
      <w:r>
        <w:rPr>
          <w:lang w:eastAsia="en-AU"/>
        </w:rPr>
        <w:t>Feedback on different fee type</w:t>
      </w:r>
      <w:r w:rsidR="00691040">
        <w:rPr>
          <w:lang w:eastAsia="en-AU"/>
        </w:rPr>
        <w:t>s</w:t>
      </w:r>
      <w:r>
        <w:rPr>
          <w:lang w:eastAsia="en-AU"/>
        </w:rPr>
        <w:t xml:space="preserve"> </w:t>
      </w:r>
    </w:p>
    <w:p w14:paraId="5F10E5DB" w14:textId="48166838" w:rsidR="001660E6" w:rsidRDefault="00AB141A" w:rsidP="001660E6">
      <w:pPr>
        <w:rPr>
          <w:lang w:eastAsia="en-AU"/>
        </w:rPr>
      </w:pPr>
      <w:r>
        <w:rPr>
          <w:lang w:eastAsia="en-AU"/>
        </w:rPr>
        <w:t xml:space="preserve">Stakeholders were asked for their views on the different fee options as presented and analysed in </w:t>
      </w:r>
      <w:r w:rsidR="002D1D80">
        <w:rPr>
          <w:lang w:eastAsia="en-AU"/>
        </w:rPr>
        <w:t>Chapter 5</w:t>
      </w:r>
      <w:r w:rsidRPr="002D1D80">
        <w:rPr>
          <w:lang w:eastAsia="en-AU"/>
        </w:rPr>
        <w:t>.</w:t>
      </w:r>
      <w:r>
        <w:rPr>
          <w:lang w:eastAsia="en-AU"/>
        </w:rPr>
        <w:t xml:space="preserve"> </w:t>
      </w:r>
      <w:r w:rsidR="00AB1549">
        <w:rPr>
          <w:lang w:eastAsia="en-AU"/>
        </w:rPr>
        <w:t xml:space="preserve">One stakeholder stated that having </w:t>
      </w:r>
      <w:r w:rsidR="00D43A10">
        <w:rPr>
          <w:lang w:eastAsia="en-AU"/>
        </w:rPr>
        <w:t>a flat fee for application coul</w:t>
      </w:r>
      <w:r w:rsidR="00720E1D">
        <w:rPr>
          <w:lang w:eastAsia="en-AU"/>
        </w:rPr>
        <w:t xml:space="preserve">d potentially encourage </w:t>
      </w:r>
      <w:r w:rsidR="000420BF">
        <w:rPr>
          <w:lang w:eastAsia="en-AU"/>
        </w:rPr>
        <w:t>some applicants to apply for every licence activity</w:t>
      </w:r>
      <w:r w:rsidR="00CD5BF6">
        <w:rPr>
          <w:lang w:eastAsia="en-AU"/>
        </w:rPr>
        <w:t xml:space="preserve"> available. </w:t>
      </w:r>
      <w:r w:rsidR="00C14B4A">
        <w:rPr>
          <w:lang w:eastAsia="en-AU"/>
        </w:rPr>
        <w:t>Charging a</w:t>
      </w:r>
      <w:r w:rsidR="00292E13">
        <w:rPr>
          <w:lang w:eastAsia="en-AU"/>
        </w:rPr>
        <w:t xml:space="preserve"> base fee with a small</w:t>
      </w:r>
      <w:r w:rsidR="00C14B4A">
        <w:rPr>
          <w:lang w:eastAsia="en-AU"/>
        </w:rPr>
        <w:t xml:space="preserve"> additional fee for every activity selected would </w:t>
      </w:r>
      <w:r w:rsidR="00F70F59">
        <w:rPr>
          <w:lang w:eastAsia="en-AU"/>
        </w:rPr>
        <w:t xml:space="preserve">therefore </w:t>
      </w:r>
      <w:r w:rsidR="00C14B4A">
        <w:rPr>
          <w:lang w:eastAsia="en-AU"/>
        </w:rPr>
        <w:t xml:space="preserve">result in more discerning applications. </w:t>
      </w:r>
      <w:r w:rsidR="00484A96">
        <w:rPr>
          <w:lang w:eastAsia="en-AU"/>
        </w:rPr>
        <w:t>Stakeholders</w:t>
      </w:r>
      <w:r w:rsidR="00666FBA">
        <w:rPr>
          <w:lang w:eastAsia="en-AU"/>
        </w:rPr>
        <w:t xml:space="preserve"> stressed the importance of having associated training requirements</w:t>
      </w:r>
      <w:r w:rsidR="000572A5">
        <w:rPr>
          <w:lang w:eastAsia="en-AU"/>
        </w:rPr>
        <w:t xml:space="preserve"> to ensure applicants only apply for</w:t>
      </w:r>
      <w:r w:rsidR="009944D5">
        <w:rPr>
          <w:lang w:eastAsia="en-AU"/>
        </w:rPr>
        <w:t xml:space="preserve"> </w:t>
      </w:r>
      <w:r w:rsidR="006E5F0E">
        <w:rPr>
          <w:lang w:eastAsia="en-AU"/>
        </w:rPr>
        <w:t>eligible activities</w:t>
      </w:r>
      <w:r w:rsidR="00914658">
        <w:rPr>
          <w:lang w:eastAsia="en-AU"/>
        </w:rPr>
        <w:t>, and</w:t>
      </w:r>
      <w:r w:rsidR="006E5F0E">
        <w:rPr>
          <w:lang w:eastAsia="en-AU"/>
        </w:rPr>
        <w:t xml:space="preserve"> </w:t>
      </w:r>
      <w:r w:rsidR="00914658">
        <w:rPr>
          <w:lang w:eastAsia="en-AU"/>
        </w:rPr>
        <w:t>that the current approach of</w:t>
      </w:r>
      <w:r w:rsidR="00525DBB">
        <w:rPr>
          <w:lang w:eastAsia="en-AU"/>
        </w:rPr>
        <w:t xml:space="preserve"> </w:t>
      </w:r>
      <w:r w:rsidR="00970ABD">
        <w:rPr>
          <w:lang w:eastAsia="en-AU"/>
        </w:rPr>
        <w:t>incrementally</w:t>
      </w:r>
      <w:r w:rsidR="00525DBB">
        <w:rPr>
          <w:lang w:eastAsia="en-AU"/>
        </w:rPr>
        <w:t xml:space="preserve"> discounting </w:t>
      </w:r>
      <w:r w:rsidR="00914658">
        <w:rPr>
          <w:lang w:eastAsia="en-AU"/>
        </w:rPr>
        <w:t>fees</w:t>
      </w:r>
      <w:r w:rsidR="00525DBB">
        <w:rPr>
          <w:lang w:eastAsia="en-AU"/>
        </w:rPr>
        <w:t xml:space="preserve"> for additional activities </w:t>
      </w:r>
      <w:r w:rsidR="0029645B">
        <w:rPr>
          <w:lang w:eastAsia="en-AU"/>
        </w:rPr>
        <w:t>on licences should continue</w:t>
      </w:r>
      <w:r w:rsidR="004C539C">
        <w:rPr>
          <w:lang w:eastAsia="en-AU"/>
        </w:rPr>
        <w:t>.</w:t>
      </w:r>
      <w:r w:rsidR="00006E5A">
        <w:rPr>
          <w:lang w:eastAsia="en-AU"/>
        </w:rPr>
        <w:t xml:space="preserve"> </w:t>
      </w:r>
      <w:r w:rsidR="00603F10">
        <w:rPr>
          <w:lang w:eastAsia="en-AU"/>
        </w:rPr>
        <w:t>S</w:t>
      </w:r>
      <w:r w:rsidR="00AA28DD">
        <w:rPr>
          <w:lang w:eastAsia="en-AU"/>
        </w:rPr>
        <w:t xml:space="preserve">takeholders </w:t>
      </w:r>
      <w:r w:rsidR="00603F10">
        <w:rPr>
          <w:lang w:eastAsia="en-AU"/>
        </w:rPr>
        <w:t>also raised the potential value in</w:t>
      </w:r>
      <w:r w:rsidR="00AA28DD">
        <w:rPr>
          <w:lang w:eastAsia="en-AU"/>
        </w:rPr>
        <w:t xml:space="preserve"> increasing </w:t>
      </w:r>
      <w:r w:rsidR="001F2033">
        <w:rPr>
          <w:lang w:eastAsia="en-AU"/>
        </w:rPr>
        <w:t>licence</w:t>
      </w:r>
      <w:r w:rsidR="00837ADC">
        <w:rPr>
          <w:lang w:eastAsia="en-AU"/>
        </w:rPr>
        <w:t xml:space="preserve"> </w:t>
      </w:r>
      <w:r w:rsidR="00603F10">
        <w:rPr>
          <w:lang w:eastAsia="en-AU"/>
        </w:rPr>
        <w:t>application/renewal</w:t>
      </w:r>
      <w:r w:rsidR="00837ADC">
        <w:rPr>
          <w:lang w:eastAsia="en-AU"/>
        </w:rPr>
        <w:t xml:space="preserve"> fees while </w:t>
      </w:r>
      <w:r w:rsidR="00603F10">
        <w:rPr>
          <w:lang w:eastAsia="en-AU"/>
        </w:rPr>
        <w:t xml:space="preserve">also </w:t>
      </w:r>
      <w:r w:rsidR="00837ADC">
        <w:rPr>
          <w:lang w:eastAsia="en-AU"/>
        </w:rPr>
        <w:t xml:space="preserve">increasing the duration of </w:t>
      </w:r>
      <w:r w:rsidR="00603F10">
        <w:rPr>
          <w:lang w:eastAsia="en-AU"/>
        </w:rPr>
        <w:t>a</w:t>
      </w:r>
      <w:r w:rsidR="00837ADC">
        <w:rPr>
          <w:lang w:eastAsia="en-AU"/>
        </w:rPr>
        <w:t xml:space="preserve"> licences to five years</w:t>
      </w:r>
      <w:r w:rsidR="00603F10">
        <w:rPr>
          <w:lang w:eastAsia="en-AU"/>
        </w:rPr>
        <w:t>, viewing this type of fee structure as an enabler to</w:t>
      </w:r>
      <w:r w:rsidR="00837ADC">
        <w:rPr>
          <w:lang w:eastAsia="en-AU"/>
        </w:rPr>
        <w:t xml:space="preserve"> reduce administrative burden on both the LRD and on applicants. </w:t>
      </w:r>
    </w:p>
    <w:p w14:paraId="514C9F4D" w14:textId="5A8F30FD" w:rsidR="00306A95" w:rsidRDefault="00306A95" w:rsidP="00262E18">
      <w:pPr>
        <w:pStyle w:val="Heading4un-numbered"/>
        <w:rPr>
          <w:lang w:eastAsia="en-AU"/>
        </w:rPr>
      </w:pPr>
      <w:r>
        <w:rPr>
          <w:lang w:eastAsia="en-AU"/>
        </w:rPr>
        <w:t>Stakeholders hold concerns abou</w:t>
      </w:r>
      <w:r w:rsidR="004279ED">
        <w:rPr>
          <w:lang w:eastAsia="en-AU"/>
        </w:rPr>
        <w:t xml:space="preserve">t LRD’s resourcing and ability to process applications </w:t>
      </w:r>
    </w:p>
    <w:p w14:paraId="6103E3A5" w14:textId="7501CA28" w:rsidR="00AB5188" w:rsidRDefault="006668C6" w:rsidP="006668C6">
      <w:pPr>
        <w:rPr>
          <w:lang w:eastAsia="en-AU"/>
        </w:rPr>
      </w:pPr>
      <w:r>
        <w:rPr>
          <w:lang w:eastAsia="en-AU"/>
        </w:rPr>
        <w:t xml:space="preserve">Stakeholders unanimously expressed concerns about </w:t>
      </w:r>
      <w:r w:rsidR="00C53B54">
        <w:rPr>
          <w:lang w:eastAsia="en-AU"/>
        </w:rPr>
        <w:t>they long timeframes and consistent delays in application processing by</w:t>
      </w:r>
      <w:r>
        <w:rPr>
          <w:lang w:eastAsia="en-AU"/>
        </w:rPr>
        <w:t xml:space="preserve"> LRD</w:t>
      </w:r>
      <w:r w:rsidR="00C53B54">
        <w:rPr>
          <w:lang w:eastAsia="en-AU"/>
        </w:rPr>
        <w:t xml:space="preserve">. </w:t>
      </w:r>
      <w:r w:rsidR="00525C30">
        <w:rPr>
          <w:lang w:eastAsia="en-AU"/>
        </w:rPr>
        <w:t xml:space="preserve">While stakeholders were largely appreciative of the </w:t>
      </w:r>
      <w:r w:rsidR="00347014">
        <w:rPr>
          <w:lang w:eastAsia="en-AU"/>
        </w:rPr>
        <w:t>role</w:t>
      </w:r>
      <w:r w:rsidR="00525C30">
        <w:rPr>
          <w:lang w:eastAsia="en-AU"/>
        </w:rPr>
        <w:t xml:space="preserve"> LRD</w:t>
      </w:r>
      <w:r w:rsidR="00347014">
        <w:rPr>
          <w:lang w:eastAsia="en-AU"/>
        </w:rPr>
        <w:t xml:space="preserve"> plays in regulating the industry</w:t>
      </w:r>
      <w:r w:rsidR="00525C30">
        <w:rPr>
          <w:lang w:eastAsia="en-AU"/>
        </w:rPr>
        <w:t>, the</w:t>
      </w:r>
      <w:r w:rsidR="00347014">
        <w:rPr>
          <w:lang w:eastAsia="en-AU"/>
        </w:rPr>
        <w:t xml:space="preserve">re were consistent views about </w:t>
      </w:r>
      <w:r w:rsidR="003B0FD9">
        <w:rPr>
          <w:lang w:eastAsia="en-AU"/>
        </w:rPr>
        <w:t xml:space="preserve">potential resourcing limitations negatively impacting administrative efficiency. </w:t>
      </w:r>
      <w:r w:rsidR="00743366">
        <w:rPr>
          <w:lang w:eastAsia="en-AU"/>
        </w:rPr>
        <w:t xml:space="preserve">Stakeholders expressed concerns over </w:t>
      </w:r>
      <w:r w:rsidR="00AA3CB9">
        <w:rPr>
          <w:lang w:eastAsia="en-AU"/>
        </w:rPr>
        <w:t xml:space="preserve">LRD’s capacity </w:t>
      </w:r>
      <w:r w:rsidR="00AA3CB9">
        <w:rPr>
          <w:lang w:eastAsia="en-AU"/>
        </w:rPr>
        <w:lastRenderedPageBreak/>
        <w:t>to</w:t>
      </w:r>
      <w:r w:rsidR="009E75A8">
        <w:rPr>
          <w:lang w:eastAsia="en-AU"/>
        </w:rPr>
        <w:t xml:space="preserve"> </w:t>
      </w:r>
      <w:r w:rsidR="00ED588E">
        <w:rPr>
          <w:lang w:eastAsia="en-AU"/>
        </w:rPr>
        <w:t xml:space="preserve">process the </w:t>
      </w:r>
      <w:r w:rsidR="004072E7">
        <w:rPr>
          <w:lang w:eastAsia="en-AU"/>
        </w:rPr>
        <w:t xml:space="preserve">conversion of registration to licenses. </w:t>
      </w:r>
      <w:r w:rsidR="00F4343D">
        <w:rPr>
          <w:lang w:eastAsia="en-AU"/>
        </w:rPr>
        <w:t xml:space="preserve">Stakeholders stated that it could </w:t>
      </w:r>
      <w:r w:rsidR="00CE2100">
        <w:rPr>
          <w:lang w:eastAsia="en-AU"/>
        </w:rPr>
        <w:t xml:space="preserve">currently </w:t>
      </w:r>
      <w:r w:rsidR="00F4343D">
        <w:rPr>
          <w:lang w:eastAsia="en-AU"/>
        </w:rPr>
        <w:t>take up to three months to process and issue licences, with fingerprinting proving to be a significant bottleneck in the process.</w:t>
      </w:r>
      <w:r w:rsidR="00E3179B">
        <w:rPr>
          <w:lang w:eastAsia="en-AU"/>
        </w:rPr>
        <w:t xml:space="preserve"> One stakeholder stated that the requirement for registration holders to be fingerprinted when securing a licen</w:t>
      </w:r>
      <w:r w:rsidR="00691040">
        <w:rPr>
          <w:lang w:eastAsia="en-AU"/>
        </w:rPr>
        <w:t>ce</w:t>
      </w:r>
      <w:r w:rsidR="00E3179B">
        <w:rPr>
          <w:lang w:eastAsia="en-AU"/>
        </w:rPr>
        <w:t xml:space="preserve"> could </w:t>
      </w:r>
      <w:r w:rsidR="00C27D08">
        <w:rPr>
          <w:lang w:eastAsia="en-AU"/>
        </w:rPr>
        <w:t xml:space="preserve">significantly increase </w:t>
      </w:r>
      <w:r w:rsidR="00E3179B">
        <w:rPr>
          <w:lang w:eastAsia="en-AU"/>
        </w:rPr>
        <w:t>waiting times.</w:t>
      </w:r>
      <w:r w:rsidR="00AB5188">
        <w:rPr>
          <w:lang w:eastAsia="en-AU"/>
        </w:rPr>
        <w:t xml:space="preserve"> </w:t>
      </w:r>
      <w:r w:rsidR="00C2211D">
        <w:rPr>
          <w:lang w:eastAsia="en-AU"/>
        </w:rPr>
        <w:t>The stakeholder also observed that the long wait times could affect compliance as applicants would be tempted to work without a valid licence.</w:t>
      </w:r>
      <w:r w:rsidR="0036598D">
        <w:rPr>
          <w:lang w:eastAsia="en-AU"/>
        </w:rPr>
        <w:t xml:space="preserve"> </w:t>
      </w:r>
    </w:p>
    <w:p w14:paraId="382A0C41" w14:textId="69B1DBCF" w:rsidR="002F36C0" w:rsidRDefault="00621637" w:rsidP="00262E18">
      <w:pPr>
        <w:rPr>
          <w:lang w:eastAsia="en-AU"/>
        </w:rPr>
      </w:pPr>
      <w:r>
        <w:rPr>
          <w:lang w:eastAsia="en-AU"/>
        </w:rPr>
        <w:t xml:space="preserve">Stakeholders noted that delay </w:t>
      </w:r>
      <w:r w:rsidR="00860F3A">
        <w:rPr>
          <w:lang w:eastAsia="en-AU"/>
        </w:rPr>
        <w:t>in</w:t>
      </w:r>
      <w:r>
        <w:rPr>
          <w:lang w:eastAsia="en-AU"/>
        </w:rPr>
        <w:t xml:space="preserve"> processing was compounded by the difficulty for applicants in contacting LRD about the status of their applications</w:t>
      </w:r>
      <w:r w:rsidR="00C83D9C">
        <w:rPr>
          <w:lang w:eastAsia="en-AU"/>
        </w:rPr>
        <w:t>.</w:t>
      </w:r>
      <w:r w:rsidR="00EA0945">
        <w:rPr>
          <w:lang w:eastAsia="en-AU"/>
        </w:rPr>
        <w:t xml:space="preserve"> </w:t>
      </w:r>
      <w:r w:rsidR="00053528">
        <w:rPr>
          <w:lang w:eastAsia="en-AU"/>
        </w:rPr>
        <w:t xml:space="preserve">One stakeholder suggested the introduction of a service delivery charter to </w:t>
      </w:r>
      <w:r w:rsidR="008332BE">
        <w:rPr>
          <w:lang w:eastAsia="en-AU"/>
        </w:rPr>
        <w:t xml:space="preserve">compel the LRD in processing applications within a set time. </w:t>
      </w:r>
    </w:p>
    <w:p w14:paraId="676DF00B" w14:textId="0393DE4C" w:rsidR="006D0DF8" w:rsidRDefault="00262E18" w:rsidP="00262E18">
      <w:pPr>
        <w:pStyle w:val="Heading2un-numbered"/>
        <w:rPr>
          <w:lang w:eastAsia="en-AU"/>
        </w:rPr>
      </w:pPr>
      <w:bookmarkStart w:id="121" w:name="_Toc189832273"/>
      <w:r>
        <w:rPr>
          <w:lang w:eastAsia="en-AU"/>
        </w:rPr>
        <w:t>A</w:t>
      </w:r>
      <w:r w:rsidR="00E37412">
        <w:rPr>
          <w:lang w:eastAsia="en-AU"/>
        </w:rPr>
        <w:t xml:space="preserve">.2 </w:t>
      </w:r>
      <w:r w:rsidR="007C7707">
        <w:rPr>
          <w:lang w:eastAsia="en-AU"/>
        </w:rPr>
        <w:t xml:space="preserve">Cost </w:t>
      </w:r>
      <w:r w:rsidR="00BC4F93">
        <w:rPr>
          <w:lang w:eastAsia="en-AU"/>
        </w:rPr>
        <w:t>inputs and</w:t>
      </w:r>
      <w:r w:rsidR="002953FC">
        <w:rPr>
          <w:lang w:eastAsia="en-AU"/>
        </w:rPr>
        <w:t xml:space="preserve"> calculations</w:t>
      </w:r>
      <w:bookmarkEnd w:id="121"/>
    </w:p>
    <w:p w14:paraId="47F81504" w14:textId="1825A6FE" w:rsidR="00A579AD" w:rsidRDefault="00C21CDF" w:rsidP="00C21CDF">
      <w:pPr>
        <w:pStyle w:val="Caption"/>
      </w:pPr>
      <w:r>
        <w:t xml:space="preserve">Table A </w:t>
      </w:r>
      <w:r>
        <w:fldChar w:fldCharType="begin"/>
      </w:r>
      <w:r>
        <w:instrText xml:space="preserve"> SEQ Table_A \* ARABIC </w:instrText>
      </w:r>
      <w:r>
        <w:fldChar w:fldCharType="separate"/>
      </w:r>
      <w:r w:rsidR="009D133E">
        <w:rPr>
          <w:noProof/>
        </w:rPr>
        <w:t>1</w:t>
      </w:r>
      <w:r>
        <w:fldChar w:fldCharType="end"/>
      </w:r>
      <w:r w:rsidR="00F000B8">
        <w:t xml:space="preserve"> </w:t>
      </w:r>
      <w:r w:rsidR="00474E85">
        <w:rPr>
          <w:lang w:eastAsia="en-AU"/>
        </w:rPr>
        <w:t>LRD</w:t>
      </w:r>
      <w:r w:rsidR="00A579AD" w:rsidRPr="00474E85">
        <w:rPr>
          <w:lang w:eastAsia="en-AU"/>
        </w:rPr>
        <w:t xml:space="preserve"> </w:t>
      </w:r>
      <w:r w:rsidR="00D57BC2" w:rsidRPr="00474E85">
        <w:rPr>
          <w:lang w:eastAsia="en-AU"/>
        </w:rPr>
        <w:t>Fulltime</w:t>
      </w:r>
      <w:r w:rsidR="00D57BC2">
        <w:rPr>
          <w:lang w:eastAsia="en-AU"/>
        </w:rPr>
        <w:t xml:space="preserve"> Equivalent </w:t>
      </w:r>
      <w:r w:rsidR="00474E85">
        <w:rPr>
          <w:lang w:eastAsia="en-AU"/>
        </w:rPr>
        <w:t xml:space="preserve">(FTE) </w:t>
      </w:r>
      <w:r w:rsidR="00D57BC2">
        <w:rPr>
          <w:lang w:eastAsia="en-AU"/>
        </w:rPr>
        <w:t>Staff Costs, FY2024/25 and 10-year average costs</w:t>
      </w:r>
    </w:p>
    <w:tbl>
      <w:tblPr>
        <w:tblStyle w:val="Deloittetable"/>
        <w:tblW w:w="0" w:type="auto"/>
        <w:tblLook w:val="04A0" w:firstRow="1" w:lastRow="0" w:firstColumn="1" w:lastColumn="0" w:noHBand="0" w:noVBand="1"/>
      </w:tblPr>
      <w:tblGrid>
        <w:gridCol w:w="2381"/>
        <w:gridCol w:w="2381"/>
        <w:gridCol w:w="2382"/>
        <w:gridCol w:w="2382"/>
      </w:tblGrid>
      <w:tr w:rsidR="00283038" w14:paraId="3982A897" w14:textId="77777777" w:rsidTr="00283038">
        <w:trPr>
          <w:cnfStyle w:val="100000000000" w:firstRow="1" w:lastRow="0" w:firstColumn="0" w:lastColumn="0" w:oddVBand="0" w:evenVBand="0" w:oddHBand="0" w:evenHBand="0" w:firstRowFirstColumn="0" w:firstRowLastColumn="0" w:lastRowFirstColumn="0" w:lastRowLastColumn="0"/>
        </w:trPr>
        <w:tc>
          <w:tcPr>
            <w:tcW w:w="2381" w:type="dxa"/>
          </w:tcPr>
          <w:p w14:paraId="35D0EDA0" w14:textId="23AB8448" w:rsidR="00283038" w:rsidRPr="00C65D18" w:rsidRDefault="00283038" w:rsidP="007C7707">
            <w:pPr>
              <w:rPr>
                <w:b/>
                <w:bCs/>
                <w:lang w:eastAsia="en-AU"/>
              </w:rPr>
            </w:pPr>
            <w:r w:rsidRPr="00C65D18">
              <w:rPr>
                <w:b/>
                <w:bCs/>
                <w:lang w:eastAsia="en-AU"/>
              </w:rPr>
              <w:t>VPS Grade</w:t>
            </w:r>
          </w:p>
        </w:tc>
        <w:tc>
          <w:tcPr>
            <w:tcW w:w="2381" w:type="dxa"/>
          </w:tcPr>
          <w:p w14:paraId="2B38D0F1" w14:textId="61A39820" w:rsidR="00283038" w:rsidRPr="00C65D18" w:rsidRDefault="00283038" w:rsidP="007C7707">
            <w:pPr>
              <w:rPr>
                <w:b/>
                <w:bCs/>
                <w:lang w:eastAsia="en-AU"/>
              </w:rPr>
            </w:pPr>
            <w:r w:rsidRPr="00C65D18">
              <w:rPr>
                <w:b/>
                <w:bCs/>
                <w:lang w:eastAsia="en-AU"/>
              </w:rPr>
              <w:t>No. of FTE</w:t>
            </w:r>
          </w:p>
        </w:tc>
        <w:tc>
          <w:tcPr>
            <w:tcW w:w="2382" w:type="dxa"/>
          </w:tcPr>
          <w:p w14:paraId="3DB481C5" w14:textId="2335EC24" w:rsidR="00283038" w:rsidRPr="00C65D18" w:rsidRDefault="00283038" w:rsidP="007C7707">
            <w:pPr>
              <w:rPr>
                <w:b/>
                <w:bCs/>
                <w:lang w:eastAsia="en-AU"/>
              </w:rPr>
            </w:pPr>
            <w:r w:rsidRPr="00C65D18">
              <w:rPr>
                <w:b/>
                <w:bCs/>
                <w:lang w:eastAsia="en-AU"/>
              </w:rPr>
              <w:t>FY2024/25 Cost</w:t>
            </w:r>
          </w:p>
        </w:tc>
        <w:tc>
          <w:tcPr>
            <w:tcW w:w="2382" w:type="dxa"/>
          </w:tcPr>
          <w:p w14:paraId="50E342B3" w14:textId="74CAA096" w:rsidR="00283038" w:rsidRPr="00C65D18" w:rsidRDefault="00283038" w:rsidP="007C7707">
            <w:pPr>
              <w:rPr>
                <w:b/>
                <w:bCs/>
                <w:lang w:eastAsia="en-AU"/>
              </w:rPr>
            </w:pPr>
            <w:r w:rsidRPr="00C65D18">
              <w:rPr>
                <w:b/>
                <w:bCs/>
                <w:lang w:eastAsia="en-AU"/>
              </w:rPr>
              <w:t>10YR AVG Cost</w:t>
            </w:r>
          </w:p>
        </w:tc>
      </w:tr>
      <w:tr w:rsidR="00C65D18" w14:paraId="57EF7B60" w14:textId="77777777" w:rsidTr="00283038">
        <w:tc>
          <w:tcPr>
            <w:tcW w:w="2381" w:type="dxa"/>
          </w:tcPr>
          <w:p w14:paraId="648A8158" w14:textId="5FAE4377" w:rsidR="00C65D18" w:rsidRDefault="00C65D18" w:rsidP="00C65D18">
            <w:pPr>
              <w:rPr>
                <w:lang w:eastAsia="en-AU"/>
              </w:rPr>
            </w:pPr>
            <w:r w:rsidRPr="001729EA">
              <w:t>VPS 2 </w:t>
            </w:r>
          </w:p>
        </w:tc>
        <w:tc>
          <w:tcPr>
            <w:tcW w:w="2381" w:type="dxa"/>
          </w:tcPr>
          <w:p w14:paraId="3090FAAA" w14:textId="3699CFC0" w:rsidR="00C65D18" w:rsidRDefault="00C65D18" w:rsidP="00C65D18">
            <w:pPr>
              <w:rPr>
                <w:lang w:eastAsia="en-AU"/>
              </w:rPr>
            </w:pPr>
            <w:r w:rsidRPr="005D34C3">
              <w:t>14.10</w:t>
            </w:r>
          </w:p>
        </w:tc>
        <w:tc>
          <w:tcPr>
            <w:tcW w:w="2382" w:type="dxa"/>
          </w:tcPr>
          <w:p w14:paraId="44ED229A" w14:textId="1E660D22" w:rsidR="00C65D18" w:rsidRDefault="00C65D18" w:rsidP="00C65D18">
            <w:pPr>
              <w:rPr>
                <w:lang w:eastAsia="en-AU"/>
              </w:rPr>
            </w:pPr>
            <w:r w:rsidRPr="00C31CBF">
              <w:t xml:space="preserve"> $1,649,696 </w:t>
            </w:r>
          </w:p>
        </w:tc>
        <w:tc>
          <w:tcPr>
            <w:tcW w:w="2382" w:type="dxa"/>
          </w:tcPr>
          <w:p w14:paraId="5855356D" w14:textId="4C12867A" w:rsidR="00C65D18" w:rsidRDefault="00C65D18" w:rsidP="00C65D18">
            <w:pPr>
              <w:rPr>
                <w:lang w:eastAsia="en-AU"/>
              </w:rPr>
            </w:pPr>
            <w:r w:rsidRPr="00C31CBF">
              <w:t xml:space="preserve"> $1,947,928 </w:t>
            </w:r>
          </w:p>
        </w:tc>
      </w:tr>
      <w:tr w:rsidR="00C65D18" w14:paraId="430B751C" w14:textId="77777777" w:rsidTr="00283038">
        <w:tc>
          <w:tcPr>
            <w:tcW w:w="2381" w:type="dxa"/>
          </w:tcPr>
          <w:p w14:paraId="195CF77B" w14:textId="3B5F2371" w:rsidR="00C65D18" w:rsidRDefault="00C65D18" w:rsidP="00C65D18">
            <w:pPr>
              <w:rPr>
                <w:lang w:eastAsia="en-AU"/>
              </w:rPr>
            </w:pPr>
            <w:r w:rsidRPr="001729EA">
              <w:t>VPS 3 </w:t>
            </w:r>
          </w:p>
        </w:tc>
        <w:tc>
          <w:tcPr>
            <w:tcW w:w="2381" w:type="dxa"/>
          </w:tcPr>
          <w:p w14:paraId="1E8EE8DA" w14:textId="45C3C913" w:rsidR="00C65D18" w:rsidRDefault="00C65D18" w:rsidP="00C65D18">
            <w:pPr>
              <w:rPr>
                <w:lang w:eastAsia="en-AU"/>
              </w:rPr>
            </w:pPr>
            <w:r w:rsidRPr="005D34C3">
              <w:t>4.65</w:t>
            </w:r>
          </w:p>
        </w:tc>
        <w:tc>
          <w:tcPr>
            <w:tcW w:w="2382" w:type="dxa"/>
          </w:tcPr>
          <w:p w14:paraId="6B87AB64" w14:textId="7DBDC7D7" w:rsidR="00C65D18" w:rsidRDefault="00C65D18" w:rsidP="00C65D18">
            <w:pPr>
              <w:rPr>
                <w:lang w:eastAsia="en-AU"/>
              </w:rPr>
            </w:pPr>
            <w:r w:rsidRPr="00C31CBF">
              <w:t xml:space="preserve"> $692,062 </w:t>
            </w:r>
          </w:p>
        </w:tc>
        <w:tc>
          <w:tcPr>
            <w:tcW w:w="2382" w:type="dxa"/>
          </w:tcPr>
          <w:p w14:paraId="4EC6FE02" w14:textId="74A874EB" w:rsidR="00C65D18" w:rsidRDefault="00C65D18" w:rsidP="00C65D18">
            <w:pPr>
              <w:rPr>
                <w:lang w:eastAsia="en-AU"/>
              </w:rPr>
            </w:pPr>
            <w:r w:rsidRPr="00C31CBF">
              <w:t xml:space="preserve"> $817,172 </w:t>
            </w:r>
          </w:p>
        </w:tc>
      </w:tr>
      <w:tr w:rsidR="00C65D18" w14:paraId="2BC1BE94" w14:textId="77777777" w:rsidTr="00283038">
        <w:tc>
          <w:tcPr>
            <w:tcW w:w="2381" w:type="dxa"/>
          </w:tcPr>
          <w:p w14:paraId="2998799B" w14:textId="4BDF7F84" w:rsidR="00C65D18" w:rsidRDefault="00C65D18" w:rsidP="00C65D18">
            <w:pPr>
              <w:rPr>
                <w:lang w:eastAsia="en-AU"/>
              </w:rPr>
            </w:pPr>
            <w:r w:rsidRPr="001729EA">
              <w:t>VPS 4 </w:t>
            </w:r>
          </w:p>
        </w:tc>
        <w:tc>
          <w:tcPr>
            <w:tcW w:w="2381" w:type="dxa"/>
          </w:tcPr>
          <w:p w14:paraId="597DFF41" w14:textId="0305ACF5" w:rsidR="00C65D18" w:rsidRDefault="00C65D18" w:rsidP="00C65D18">
            <w:pPr>
              <w:rPr>
                <w:lang w:eastAsia="en-AU"/>
              </w:rPr>
            </w:pPr>
            <w:r w:rsidRPr="005D34C3">
              <w:t>0.95</w:t>
            </w:r>
          </w:p>
        </w:tc>
        <w:tc>
          <w:tcPr>
            <w:tcW w:w="2382" w:type="dxa"/>
          </w:tcPr>
          <w:p w14:paraId="51B6598C" w14:textId="7D9A5846" w:rsidR="00C65D18" w:rsidRDefault="00C65D18" w:rsidP="00C65D18">
            <w:pPr>
              <w:rPr>
                <w:lang w:eastAsia="en-AU"/>
              </w:rPr>
            </w:pPr>
            <w:r w:rsidRPr="00C31CBF">
              <w:t xml:space="preserve"> $168,750 </w:t>
            </w:r>
          </w:p>
        </w:tc>
        <w:tc>
          <w:tcPr>
            <w:tcW w:w="2382" w:type="dxa"/>
          </w:tcPr>
          <w:p w14:paraId="5B963024" w14:textId="25396DD7" w:rsidR="00C65D18" w:rsidRDefault="00C65D18" w:rsidP="00C65D18">
            <w:pPr>
              <w:rPr>
                <w:lang w:eastAsia="en-AU"/>
              </w:rPr>
            </w:pPr>
            <w:r w:rsidRPr="00C31CBF">
              <w:t xml:space="preserve"> $199,256 </w:t>
            </w:r>
          </w:p>
        </w:tc>
      </w:tr>
      <w:tr w:rsidR="00C65D18" w14:paraId="46561802" w14:textId="77777777" w:rsidTr="00283038">
        <w:tc>
          <w:tcPr>
            <w:tcW w:w="2381" w:type="dxa"/>
          </w:tcPr>
          <w:p w14:paraId="42B90404" w14:textId="582BC025" w:rsidR="00C65D18" w:rsidRDefault="00C65D18" w:rsidP="00C65D18">
            <w:pPr>
              <w:rPr>
                <w:lang w:eastAsia="en-AU"/>
              </w:rPr>
            </w:pPr>
            <w:r w:rsidRPr="001729EA">
              <w:t>VPS 5 </w:t>
            </w:r>
          </w:p>
        </w:tc>
        <w:tc>
          <w:tcPr>
            <w:tcW w:w="2381" w:type="dxa"/>
          </w:tcPr>
          <w:p w14:paraId="4EDBD589" w14:textId="0BC8D852" w:rsidR="00C65D18" w:rsidRDefault="00C65D18" w:rsidP="00C65D18">
            <w:pPr>
              <w:rPr>
                <w:lang w:eastAsia="en-AU"/>
              </w:rPr>
            </w:pPr>
            <w:r w:rsidRPr="005D34C3">
              <w:t>1.00</w:t>
            </w:r>
          </w:p>
        </w:tc>
        <w:tc>
          <w:tcPr>
            <w:tcW w:w="2382" w:type="dxa"/>
          </w:tcPr>
          <w:p w14:paraId="629BB891" w14:textId="2737A70D" w:rsidR="00C65D18" w:rsidRDefault="00C65D18" w:rsidP="00C65D18">
            <w:pPr>
              <w:rPr>
                <w:lang w:eastAsia="en-AU"/>
              </w:rPr>
            </w:pPr>
            <w:r w:rsidRPr="00C31CBF">
              <w:t xml:space="preserve"> $212,182 </w:t>
            </w:r>
          </w:p>
        </w:tc>
        <w:tc>
          <w:tcPr>
            <w:tcW w:w="2382" w:type="dxa"/>
          </w:tcPr>
          <w:p w14:paraId="0B047DAD" w14:textId="1D105E50" w:rsidR="00C65D18" w:rsidRDefault="00C65D18" w:rsidP="00C65D18">
            <w:pPr>
              <w:rPr>
                <w:lang w:eastAsia="en-AU"/>
              </w:rPr>
            </w:pPr>
            <w:r w:rsidRPr="00C31CBF">
              <w:t xml:space="preserve"> $250,540 </w:t>
            </w:r>
          </w:p>
        </w:tc>
      </w:tr>
      <w:tr w:rsidR="00C65D18" w14:paraId="6FD72E65" w14:textId="77777777" w:rsidTr="00283038">
        <w:tc>
          <w:tcPr>
            <w:tcW w:w="2381" w:type="dxa"/>
          </w:tcPr>
          <w:p w14:paraId="6FE3ED79" w14:textId="21773970" w:rsidR="00C65D18" w:rsidRDefault="00C65D18" w:rsidP="00C65D18">
            <w:pPr>
              <w:rPr>
                <w:lang w:eastAsia="en-AU"/>
              </w:rPr>
            </w:pPr>
            <w:r w:rsidRPr="001729EA">
              <w:t>VPS 6 </w:t>
            </w:r>
          </w:p>
        </w:tc>
        <w:tc>
          <w:tcPr>
            <w:tcW w:w="2381" w:type="dxa"/>
          </w:tcPr>
          <w:p w14:paraId="161A389D" w14:textId="331F86CD" w:rsidR="00C65D18" w:rsidRDefault="00C65D18" w:rsidP="00C65D18">
            <w:pPr>
              <w:rPr>
                <w:lang w:eastAsia="en-AU"/>
              </w:rPr>
            </w:pPr>
            <w:r w:rsidRPr="005D34C3">
              <w:t>0.40</w:t>
            </w:r>
          </w:p>
        </w:tc>
        <w:tc>
          <w:tcPr>
            <w:tcW w:w="2382" w:type="dxa"/>
          </w:tcPr>
          <w:p w14:paraId="06FAAA0B" w14:textId="17FEEC92" w:rsidR="00C65D18" w:rsidRDefault="00C65D18" w:rsidP="00C65D18">
            <w:pPr>
              <w:rPr>
                <w:lang w:eastAsia="en-AU"/>
              </w:rPr>
            </w:pPr>
            <w:r w:rsidRPr="00C31CBF">
              <w:t xml:space="preserve"> $110,148 </w:t>
            </w:r>
          </w:p>
        </w:tc>
        <w:tc>
          <w:tcPr>
            <w:tcW w:w="2382" w:type="dxa"/>
          </w:tcPr>
          <w:p w14:paraId="595A14A7" w14:textId="29C657C9" w:rsidR="00C65D18" w:rsidRDefault="00C65D18" w:rsidP="00C65D18">
            <w:pPr>
              <w:rPr>
                <w:lang w:eastAsia="en-AU"/>
              </w:rPr>
            </w:pPr>
            <w:r w:rsidRPr="00C31CBF">
              <w:t xml:space="preserve"> $130,060 </w:t>
            </w:r>
          </w:p>
        </w:tc>
      </w:tr>
      <w:tr w:rsidR="00C65D18" w14:paraId="1407597D" w14:textId="77777777" w:rsidTr="00283038">
        <w:tc>
          <w:tcPr>
            <w:tcW w:w="2381" w:type="dxa"/>
          </w:tcPr>
          <w:p w14:paraId="2D1BCFD4" w14:textId="75E34A09" w:rsidR="00C65D18" w:rsidRDefault="00C65D18" w:rsidP="00C65D18">
            <w:pPr>
              <w:rPr>
                <w:lang w:eastAsia="en-AU"/>
              </w:rPr>
            </w:pPr>
            <w:r w:rsidRPr="001729EA">
              <w:t xml:space="preserve">Senior Constable </w:t>
            </w:r>
          </w:p>
        </w:tc>
        <w:tc>
          <w:tcPr>
            <w:tcW w:w="2381" w:type="dxa"/>
          </w:tcPr>
          <w:p w14:paraId="1F00CAAA" w14:textId="5B833C1B" w:rsidR="00C65D18" w:rsidRDefault="00C65D18" w:rsidP="00C65D18">
            <w:pPr>
              <w:rPr>
                <w:lang w:eastAsia="en-AU"/>
              </w:rPr>
            </w:pPr>
            <w:r w:rsidRPr="005D34C3">
              <w:t>1.35</w:t>
            </w:r>
          </w:p>
        </w:tc>
        <w:tc>
          <w:tcPr>
            <w:tcW w:w="2382" w:type="dxa"/>
          </w:tcPr>
          <w:p w14:paraId="7C6B9CA4" w14:textId="39227D15" w:rsidR="00C65D18" w:rsidRDefault="00C65D18" w:rsidP="00C65D18">
            <w:pPr>
              <w:rPr>
                <w:lang w:eastAsia="en-AU"/>
              </w:rPr>
            </w:pPr>
            <w:r w:rsidRPr="00C31CBF">
              <w:t xml:space="preserve"> $239,545 </w:t>
            </w:r>
          </w:p>
        </w:tc>
        <w:tc>
          <w:tcPr>
            <w:tcW w:w="2382" w:type="dxa"/>
          </w:tcPr>
          <w:p w14:paraId="47654B52" w14:textId="7B2557E8" w:rsidR="00C65D18" w:rsidRDefault="00C65D18" w:rsidP="00C65D18">
            <w:pPr>
              <w:rPr>
                <w:lang w:eastAsia="en-AU"/>
              </w:rPr>
            </w:pPr>
            <w:r w:rsidRPr="00C31CBF">
              <w:t xml:space="preserve"> $282,849 </w:t>
            </w:r>
          </w:p>
        </w:tc>
      </w:tr>
      <w:tr w:rsidR="00C65D18" w14:paraId="2C99075D" w14:textId="77777777" w:rsidTr="00283038">
        <w:tc>
          <w:tcPr>
            <w:tcW w:w="2381" w:type="dxa"/>
          </w:tcPr>
          <w:p w14:paraId="7900DBEF" w14:textId="2B9C3EFF" w:rsidR="00C65D18" w:rsidRDefault="00C65D18" w:rsidP="00C65D18">
            <w:pPr>
              <w:rPr>
                <w:lang w:eastAsia="en-AU"/>
              </w:rPr>
            </w:pPr>
            <w:r w:rsidRPr="001729EA">
              <w:t xml:space="preserve">Leading Senior Constable </w:t>
            </w:r>
          </w:p>
        </w:tc>
        <w:tc>
          <w:tcPr>
            <w:tcW w:w="2381" w:type="dxa"/>
          </w:tcPr>
          <w:p w14:paraId="310263A0" w14:textId="54A5BA00" w:rsidR="00C65D18" w:rsidRDefault="00C65D18" w:rsidP="00C65D18">
            <w:pPr>
              <w:rPr>
                <w:lang w:eastAsia="en-AU"/>
              </w:rPr>
            </w:pPr>
            <w:r w:rsidRPr="005D34C3">
              <w:t>1.80</w:t>
            </w:r>
          </w:p>
        </w:tc>
        <w:tc>
          <w:tcPr>
            <w:tcW w:w="2382" w:type="dxa"/>
          </w:tcPr>
          <w:p w14:paraId="43B4B815" w14:textId="62AA51D8" w:rsidR="00C65D18" w:rsidRDefault="00C65D18" w:rsidP="00C65D18">
            <w:pPr>
              <w:rPr>
                <w:lang w:eastAsia="en-AU"/>
              </w:rPr>
            </w:pPr>
            <w:r w:rsidRPr="00C31CBF">
              <w:t xml:space="preserve"> $354,777 </w:t>
            </w:r>
          </w:p>
        </w:tc>
        <w:tc>
          <w:tcPr>
            <w:tcW w:w="2382" w:type="dxa"/>
          </w:tcPr>
          <w:p w14:paraId="0706D7FF" w14:textId="3B12C155" w:rsidR="00C65D18" w:rsidRDefault="00C65D18" w:rsidP="00C65D18">
            <w:pPr>
              <w:rPr>
                <w:lang w:eastAsia="en-AU"/>
              </w:rPr>
            </w:pPr>
            <w:r w:rsidRPr="00C31CBF">
              <w:t xml:space="preserve"> $418,913 </w:t>
            </w:r>
          </w:p>
        </w:tc>
      </w:tr>
      <w:tr w:rsidR="00C65D18" w14:paraId="26934A39" w14:textId="77777777" w:rsidTr="00283038">
        <w:tc>
          <w:tcPr>
            <w:tcW w:w="2381" w:type="dxa"/>
          </w:tcPr>
          <w:p w14:paraId="72B889B4" w14:textId="24297CB4" w:rsidR="00C65D18" w:rsidRDefault="00C65D18" w:rsidP="00C65D18">
            <w:pPr>
              <w:rPr>
                <w:lang w:eastAsia="en-AU"/>
              </w:rPr>
            </w:pPr>
            <w:r w:rsidRPr="001729EA">
              <w:t>Sergeant</w:t>
            </w:r>
          </w:p>
        </w:tc>
        <w:tc>
          <w:tcPr>
            <w:tcW w:w="2381" w:type="dxa"/>
          </w:tcPr>
          <w:p w14:paraId="2C87C2F1" w14:textId="74DD8097" w:rsidR="00C65D18" w:rsidRDefault="00C65D18" w:rsidP="00C65D18">
            <w:pPr>
              <w:rPr>
                <w:lang w:eastAsia="en-AU"/>
              </w:rPr>
            </w:pPr>
            <w:r w:rsidRPr="005D34C3">
              <w:t>1.35</w:t>
            </w:r>
          </w:p>
        </w:tc>
        <w:tc>
          <w:tcPr>
            <w:tcW w:w="2382" w:type="dxa"/>
          </w:tcPr>
          <w:p w14:paraId="6F4E5776" w14:textId="598FA900" w:rsidR="00C65D18" w:rsidRDefault="00C65D18" w:rsidP="00C65D18">
            <w:pPr>
              <w:rPr>
                <w:lang w:eastAsia="en-AU"/>
              </w:rPr>
            </w:pPr>
            <w:r w:rsidRPr="00C31CBF">
              <w:t xml:space="preserve"> $310,434 </w:t>
            </w:r>
          </w:p>
        </w:tc>
        <w:tc>
          <w:tcPr>
            <w:tcW w:w="2382" w:type="dxa"/>
          </w:tcPr>
          <w:p w14:paraId="2B7E47C0" w14:textId="77535E02" w:rsidR="00C65D18" w:rsidRDefault="00C65D18" w:rsidP="00C65D18">
            <w:pPr>
              <w:rPr>
                <w:lang w:eastAsia="en-AU"/>
              </w:rPr>
            </w:pPr>
            <w:r w:rsidRPr="00C31CBF">
              <w:t xml:space="preserve"> $366,554 </w:t>
            </w:r>
          </w:p>
        </w:tc>
      </w:tr>
      <w:tr w:rsidR="00C65D18" w14:paraId="6174091B" w14:textId="77777777" w:rsidTr="00283038">
        <w:tc>
          <w:tcPr>
            <w:tcW w:w="2381" w:type="dxa"/>
          </w:tcPr>
          <w:p w14:paraId="7B932C65" w14:textId="66A1C47A" w:rsidR="00C65D18" w:rsidRDefault="00C65D18" w:rsidP="00C65D18">
            <w:pPr>
              <w:rPr>
                <w:lang w:eastAsia="en-AU"/>
              </w:rPr>
            </w:pPr>
            <w:r w:rsidRPr="001729EA">
              <w:t xml:space="preserve">Senior Sergeant </w:t>
            </w:r>
          </w:p>
        </w:tc>
        <w:tc>
          <w:tcPr>
            <w:tcW w:w="2381" w:type="dxa"/>
          </w:tcPr>
          <w:p w14:paraId="581B07AA" w14:textId="709B24F4" w:rsidR="00C65D18" w:rsidRDefault="00C65D18" w:rsidP="00C65D18">
            <w:pPr>
              <w:rPr>
                <w:lang w:eastAsia="en-AU"/>
              </w:rPr>
            </w:pPr>
            <w:r w:rsidRPr="005D34C3">
              <w:t>1.35</w:t>
            </w:r>
          </w:p>
        </w:tc>
        <w:tc>
          <w:tcPr>
            <w:tcW w:w="2382" w:type="dxa"/>
          </w:tcPr>
          <w:p w14:paraId="2001F108" w14:textId="544A59FA" w:rsidR="00C65D18" w:rsidRDefault="00C65D18" w:rsidP="00C65D18">
            <w:pPr>
              <w:rPr>
                <w:lang w:eastAsia="en-AU"/>
              </w:rPr>
            </w:pPr>
            <w:r w:rsidRPr="00C31CBF">
              <w:t xml:space="preserve"> $346,480 </w:t>
            </w:r>
          </w:p>
        </w:tc>
        <w:tc>
          <w:tcPr>
            <w:tcW w:w="2382" w:type="dxa"/>
          </w:tcPr>
          <w:p w14:paraId="05888572" w14:textId="436AB159" w:rsidR="00C65D18" w:rsidRDefault="00C65D18" w:rsidP="00C65D18">
            <w:pPr>
              <w:rPr>
                <w:lang w:eastAsia="en-AU"/>
              </w:rPr>
            </w:pPr>
            <w:r w:rsidRPr="00C31CBF">
              <w:t xml:space="preserve"> $409,116 </w:t>
            </w:r>
          </w:p>
        </w:tc>
      </w:tr>
      <w:tr w:rsidR="00C65D18" w14:paraId="7C58D209" w14:textId="77777777" w:rsidTr="00283038">
        <w:tc>
          <w:tcPr>
            <w:tcW w:w="2381" w:type="dxa"/>
          </w:tcPr>
          <w:p w14:paraId="3B8E2E78" w14:textId="66FB7A46" w:rsidR="00C65D18" w:rsidRDefault="00C65D18" w:rsidP="00C65D18">
            <w:pPr>
              <w:rPr>
                <w:lang w:eastAsia="en-AU"/>
              </w:rPr>
            </w:pPr>
            <w:r w:rsidRPr="001729EA">
              <w:t xml:space="preserve">Inspector </w:t>
            </w:r>
          </w:p>
        </w:tc>
        <w:tc>
          <w:tcPr>
            <w:tcW w:w="2381" w:type="dxa"/>
          </w:tcPr>
          <w:p w14:paraId="58998D61" w14:textId="0AE5877A" w:rsidR="00C65D18" w:rsidRDefault="00C65D18" w:rsidP="00C65D18">
            <w:pPr>
              <w:rPr>
                <w:lang w:eastAsia="en-AU"/>
              </w:rPr>
            </w:pPr>
            <w:r w:rsidRPr="005D34C3">
              <w:t>0.45</w:t>
            </w:r>
          </w:p>
        </w:tc>
        <w:tc>
          <w:tcPr>
            <w:tcW w:w="2382" w:type="dxa"/>
          </w:tcPr>
          <w:p w14:paraId="15D1AFA3" w14:textId="6F2281E4" w:rsidR="00C65D18" w:rsidRDefault="00C65D18" w:rsidP="00C65D18">
            <w:pPr>
              <w:rPr>
                <w:lang w:eastAsia="en-AU"/>
              </w:rPr>
            </w:pPr>
            <w:r w:rsidRPr="00C31CBF">
              <w:t xml:space="preserve"> $129,764 </w:t>
            </w:r>
          </w:p>
        </w:tc>
        <w:tc>
          <w:tcPr>
            <w:tcW w:w="2382" w:type="dxa"/>
          </w:tcPr>
          <w:p w14:paraId="284BBB2F" w14:textId="19DDEA83" w:rsidR="00C65D18" w:rsidRDefault="00C65D18" w:rsidP="00C65D18">
            <w:pPr>
              <w:rPr>
                <w:lang w:eastAsia="en-AU"/>
              </w:rPr>
            </w:pPr>
            <w:r w:rsidRPr="00C31CBF">
              <w:t xml:space="preserve"> $153,223 </w:t>
            </w:r>
          </w:p>
        </w:tc>
      </w:tr>
      <w:tr w:rsidR="00C65D18" w14:paraId="09DD0E05" w14:textId="77777777" w:rsidTr="00283038">
        <w:tc>
          <w:tcPr>
            <w:tcW w:w="2381" w:type="dxa"/>
          </w:tcPr>
          <w:p w14:paraId="767EACE9" w14:textId="588EB63B" w:rsidR="00C65D18" w:rsidRDefault="00C65D18" w:rsidP="00C65D18">
            <w:pPr>
              <w:rPr>
                <w:lang w:eastAsia="en-AU"/>
              </w:rPr>
            </w:pPr>
            <w:r w:rsidRPr="001729EA">
              <w:t>Superintendent</w:t>
            </w:r>
          </w:p>
        </w:tc>
        <w:tc>
          <w:tcPr>
            <w:tcW w:w="2381" w:type="dxa"/>
          </w:tcPr>
          <w:p w14:paraId="74BC5A68" w14:textId="228AF6EA" w:rsidR="00C65D18" w:rsidRDefault="00C65D18" w:rsidP="00C65D18">
            <w:pPr>
              <w:rPr>
                <w:lang w:eastAsia="en-AU"/>
              </w:rPr>
            </w:pPr>
            <w:r w:rsidRPr="005D34C3">
              <w:t>0.40</w:t>
            </w:r>
          </w:p>
        </w:tc>
        <w:tc>
          <w:tcPr>
            <w:tcW w:w="2382" w:type="dxa"/>
          </w:tcPr>
          <w:p w14:paraId="78E53A0B" w14:textId="717A5F9B" w:rsidR="00C65D18" w:rsidRDefault="00C65D18" w:rsidP="00C65D18">
            <w:pPr>
              <w:rPr>
                <w:lang w:eastAsia="en-AU"/>
              </w:rPr>
            </w:pPr>
            <w:r w:rsidRPr="00C31CBF">
              <w:t xml:space="preserve"> $134,222 </w:t>
            </w:r>
          </w:p>
        </w:tc>
        <w:tc>
          <w:tcPr>
            <w:tcW w:w="2382" w:type="dxa"/>
          </w:tcPr>
          <w:p w14:paraId="0CF0B85A" w14:textId="7EB2AA1A" w:rsidR="00C65D18" w:rsidRDefault="00C65D18" w:rsidP="00C65D18">
            <w:pPr>
              <w:rPr>
                <w:lang w:eastAsia="en-AU"/>
              </w:rPr>
            </w:pPr>
            <w:r w:rsidRPr="00C31CBF">
              <w:t xml:space="preserve"> $158,486 </w:t>
            </w:r>
          </w:p>
        </w:tc>
      </w:tr>
      <w:tr w:rsidR="00C65D18" w14:paraId="1BC504A8" w14:textId="77777777" w:rsidTr="00283038">
        <w:tc>
          <w:tcPr>
            <w:tcW w:w="2381" w:type="dxa"/>
          </w:tcPr>
          <w:p w14:paraId="006F8793" w14:textId="75F1D75D" w:rsidR="00C65D18" w:rsidRPr="005E69E9" w:rsidRDefault="00C65D18" w:rsidP="00C65D18">
            <w:pPr>
              <w:rPr>
                <w:b/>
                <w:bCs/>
                <w:lang w:eastAsia="en-AU"/>
              </w:rPr>
            </w:pPr>
            <w:r w:rsidRPr="005E69E9">
              <w:rPr>
                <w:b/>
                <w:bCs/>
              </w:rPr>
              <w:t xml:space="preserve">Total </w:t>
            </w:r>
          </w:p>
        </w:tc>
        <w:tc>
          <w:tcPr>
            <w:tcW w:w="2381" w:type="dxa"/>
          </w:tcPr>
          <w:p w14:paraId="51B0B6E4" w14:textId="482F2D33" w:rsidR="00C65D18" w:rsidRPr="005E69E9" w:rsidRDefault="00C65D18" w:rsidP="00C65D18">
            <w:pPr>
              <w:rPr>
                <w:b/>
                <w:bCs/>
                <w:lang w:eastAsia="en-AU"/>
              </w:rPr>
            </w:pPr>
            <w:r w:rsidRPr="005E69E9">
              <w:rPr>
                <w:b/>
                <w:bCs/>
              </w:rPr>
              <w:t>27.80</w:t>
            </w:r>
          </w:p>
        </w:tc>
        <w:tc>
          <w:tcPr>
            <w:tcW w:w="2382" w:type="dxa"/>
          </w:tcPr>
          <w:p w14:paraId="03653448" w14:textId="27349DC2" w:rsidR="00C65D18" w:rsidRPr="005E69E9" w:rsidRDefault="00C65D18" w:rsidP="00C65D18">
            <w:pPr>
              <w:rPr>
                <w:b/>
                <w:bCs/>
                <w:lang w:eastAsia="en-AU"/>
              </w:rPr>
            </w:pPr>
            <w:r w:rsidRPr="005E69E9">
              <w:rPr>
                <w:b/>
                <w:bCs/>
              </w:rPr>
              <w:t xml:space="preserve"> $4,348,058 </w:t>
            </w:r>
          </w:p>
        </w:tc>
        <w:tc>
          <w:tcPr>
            <w:tcW w:w="2382" w:type="dxa"/>
          </w:tcPr>
          <w:p w14:paraId="5C9358DD" w14:textId="2894EE20" w:rsidR="00C65D18" w:rsidRPr="005E69E9" w:rsidRDefault="00C65D18" w:rsidP="00C65D18">
            <w:pPr>
              <w:rPr>
                <w:b/>
                <w:bCs/>
                <w:lang w:eastAsia="en-AU"/>
              </w:rPr>
            </w:pPr>
            <w:r w:rsidRPr="005E69E9">
              <w:rPr>
                <w:b/>
                <w:bCs/>
              </w:rPr>
              <w:t xml:space="preserve"> $5,134,098 </w:t>
            </w:r>
          </w:p>
        </w:tc>
      </w:tr>
    </w:tbl>
    <w:p w14:paraId="213174AB" w14:textId="3C0D47B5" w:rsidR="008D08B6" w:rsidRDefault="002E055B" w:rsidP="002E055B">
      <w:pPr>
        <w:pStyle w:val="Caption"/>
        <w:rPr>
          <w:lang w:eastAsia="en-AU"/>
        </w:rPr>
      </w:pPr>
      <w:r>
        <w:t xml:space="preserve">Table A </w:t>
      </w:r>
      <w:r>
        <w:fldChar w:fldCharType="begin"/>
      </w:r>
      <w:r>
        <w:instrText xml:space="preserve"> SEQ Table_A \* ARABIC </w:instrText>
      </w:r>
      <w:r>
        <w:fldChar w:fldCharType="separate"/>
      </w:r>
      <w:r w:rsidR="009D133E">
        <w:rPr>
          <w:noProof/>
        </w:rPr>
        <w:t>2</w:t>
      </w:r>
      <w:r>
        <w:fldChar w:fldCharType="end"/>
      </w:r>
      <w:r w:rsidR="00474E85">
        <w:t xml:space="preserve"> </w:t>
      </w:r>
      <w:r w:rsidR="008D08B6" w:rsidRPr="00474E85">
        <w:rPr>
          <w:lang w:eastAsia="en-AU"/>
        </w:rPr>
        <w:t>Legal Services Department</w:t>
      </w:r>
      <w:r w:rsidR="00474E85" w:rsidRPr="00474E85">
        <w:rPr>
          <w:lang w:eastAsia="en-AU"/>
        </w:rPr>
        <w:t xml:space="preserve"> FTE Staff Costs, FY2024/25 and 10-year average costs</w:t>
      </w:r>
    </w:p>
    <w:tbl>
      <w:tblPr>
        <w:tblStyle w:val="Deloittetable"/>
        <w:tblW w:w="0" w:type="auto"/>
        <w:tblLook w:val="04A0" w:firstRow="1" w:lastRow="0" w:firstColumn="1" w:lastColumn="0" w:noHBand="0" w:noVBand="1"/>
      </w:tblPr>
      <w:tblGrid>
        <w:gridCol w:w="2381"/>
        <w:gridCol w:w="2381"/>
        <w:gridCol w:w="2382"/>
        <w:gridCol w:w="2382"/>
      </w:tblGrid>
      <w:tr w:rsidR="008D08B6" w:rsidRPr="00C65D18" w14:paraId="563746E6" w14:textId="77777777">
        <w:trPr>
          <w:cnfStyle w:val="100000000000" w:firstRow="1" w:lastRow="0" w:firstColumn="0" w:lastColumn="0" w:oddVBand="0" w:evenVBand="0" w:oddHBand="0" w:evenHBand="0" w:firstRowFirstColumn="0" w:firstRowLastColumn="0" w:lastRowFirstColumn="0" w:lastRowLastColumn="0"/>
        </w:trPr>
        <w:tc>
          <w:tcPr>
            <w:tcW w:w="2381" w:type="dxa"/>
          </w:tcPr>
          <w:p w14:paraId="531A6142" w14:textId="77777777" w:rsidR="008D08B6" w:rsidRPr="00C65D18" w:rsidRDefault="008D08B6">
            <w:pPr>
              <w:rPr>
                <w:b/>
                <w:bCs/>
                <w:lang w:eastAsia="en-AU"/>
              </w:rPr>
            </w:pPr>
            <w:r w:rsidRPr="00C65D18">
              <w:rPr>
                <w:b/>
                <w:bCs/>
                <w:lang w:eastAsia="en-AU"/>
              </w:rPr>
              <w:t>VPS Grade</w:t>
            </w:r>
          </w:p>
        </w:tc>
        <w:tc>
          <w:tcPr>
            <w:tcW w:w="2381" w:type="dxa"/>
          </w:tcPr>
          <w:p w14:paraId="36120B87" w14:textId="77777777" w:rsidR="008D08B6" w:rsidRPr="00C65D18" w:rsidRDefault="008D08B6">
            <w:pPr>
              <w:rPr>
                <w:b/>
                <w:bCs/>
                <w:lang w:eastAsia="en-AU"/>
              </w:rPr>
            </w:pPr>
            <w:r w:rsidRPr="00C65D18">
              <w:rPr>
                <w:b/>
                <w:bCs/>
                <w:lang w:eastAsia="en-AU"/>
              </w:rPr>
              <w:t>No. of FTE</w:t>
            </w:r>
          </w:p>
        </w:tc>
        <w:tc>
          <w:tcPr>
            <w:tcW w:w="2382" w:type="dxa"/>
          </w:tcPr>
          <w:p w14:paraId="6D50F8C1" w14:textId="77777777" w:rsidR="008D08B6" w:rsidRPr="00C65D18" w:rsidRDefault="008D08B6">
            <w:pPr>
              <w:rPr>
                <w:b/>
                <w:bCs/>
                <w:lang w:eastAsia="en-AU"/>
              </w:rPr>
            </w:pPr>
            <w:r w:rsidRPr="00C65D18">
              <w:rPr>
                <w:b/>
                <w:bCs/>
                <w:lang w:eastAsia="en-AU"/>
              </w:rPr>
              <w:t>FY2024/25 Cost</w:t>
            </w:r>
          </w:p>
        </w:tc>
        <w:tc>
          <w:tcPr>
            <w:tcW w:w="2382" w:type="dxa"/>
          </w:tcPr>
          <w:p w14:paraId="56640597" w14:textId="77777777" w:rsidR="008D08B6" w:rsidRPr="00C65D18" w:rsidRDefault="008D08B6">
            <w:pPr>
              <w:rPr>
                <w:b/>
                <w:bCs/>
                <w:lang w:eastAsia="en-AU"/>
              </w:rPr>
            </w:pPr>
            <w:r w:rsidRPr="00C65D18">
              <w:rPr>
                <w:b/>
                <w:bCs/>
                <w:lang w:eastAsia="en-AU"/>
              </w:rPr>
              <w:t>10YR AVG Cost</w:t>
            </w:r>
          </w:p>
        </w:tc>
      </w:tr>
      <w:tr w:rsidR="005E2849" w14:paraId="558F06C8" w14:textId="77777777">
        <w:tc>
          <w:tcPr>
            <w:tcW w:w="2381" w:type="dxa"/>
          </w:tcPr>
          <w:p w14:paraId="21A7C59D" w14:textId="17B8D13F" w:rsidR="005E2849" w:rsidRDefault="005E2849" w:rsidP="005E2849">
            <w:pPr>
              <w:rPr>
                <w:lang w:eastAsia="en-AU"/>
              </w:rPr>
            </w:pPr>
            <w:r w:rsidRPr="00BB6883">
              <w:t>VPS 4 </w:t>
            </w:r>
          </w:p>
        </w:tc>
        <w:tc>
          <w:tcPr>
            <w:tcW w:w="2381" w:type="dxa"/>
          </w:tcPr>
          <w:p w14:paraId="3C54ECA1" w14:textId="44034CBA" w:rsidR="005E2849" w:rsidRDefault="005E2849" w:rsidP="005E2849">
            <w:pPr>
              <w:rPr>
                <w:lang w:eastAsia="en-AU"/>
              </w:rPr>
            </w:pPr>
            <w:r w:rsidRPr="009D3DFA">
              <w:t>0.40</w:t>
            </w:r>
          </w:p>
        </w:tc>
        <w:tc>
          <w:tcPr>
            <w:tcW w:w="2382" w:type="dxa"/>
          </w:tcPr>
          <w:p w14:paraId="2106B91A" w14:textId="225C6CF2" w:rsidR="005E2849" w:rsidRDefault="005E2849" w:rsidP="005E2849">
            <w:pPr>
              <w:rPr>
                <w:lang w:eastAsia="en-AU"/>
              </w:rPr>
            </w:pPr>
            <w:r w:rsidRPr="00B77B5F">
              <w:t xml:space="preserve"> $71,052 </w:t>
            </w:r>
          </w:p>
        </w:tc>
        <w:tc>
          <w:tcPr>
            <w:tcW w:w="2382" w:type="dxa"/>
          </w:tcPr>
          <w:p w14:paraId="19F7E168" w14:textId="0F5FE104" w:rsidR="005E2849" w:rsidRDefault="005E2849" w:rsidP="005E2849">
            <w:pPr>
              <w:rPr>
                <w:lang w:eastAsia="en-AU"/>
              </w:rPr>
            </w:pPr>
            <w:r w:rsidRPr="00B77B5F">
              <w:t xml:space="preserve"> $83,897 </w:t>
            </w:r>
          </w:p>
        </w:tc>
      </w:tr>
      <w:tr w:rsidR="005E2849" w14:paraId="19050C74" w14:textId="77777777">
        <w:tc>
          <w:tcPr>
            <w:tcW w:w="2381" w:type="dxa"/>
          </w:tcPr>
          <w:p w14:paraId="6B0402BE" w14:textId="3FBB4DDE" w:rsidR="005E2849" w:rsidRDefault="005E2849" w:rsidP="005E2849">
            <w:pPr>
              <w:rPr>
                <w:lang w:eastAsia="en-AU"/>
              </w:rPr>
            </w:pPr>
            <w:r w:rsidRPr="00BB6883">
              <w:t>VPS 5 </w:t>
            </w:r>
          </w:p>
        </w:tc>
        <w:tc>
          <w:tcPr>
            <w:tcW w:w="2381" w:type="dxa"/>
          </w:tcPr>
          <w:p w14:paraId="13EA15EF" w14:textId="0EBFC6EE" w:rsidR="005E2849" w:rsidRDefault="005E2849" w:rsidP="005E2849">
            <w:pPr>
              <w:rPr>
                <w:lang w:eastAsia="en-AU"/>
              </w:rPr>
            </w:pPr>
            <w:r w:rsidRPr="009D3DFA">
              <w:t>0.20</w:t>
            </w:r>
          </w:p>
        </w:tc>
        <w:tc>
          <w:tcPr>
            <w:tcW w:w="2382" w:type="dxa"/>
          </w:tcPr>
          <w:p w14:paraId="16581C50" w14:textId="04C9B1D4" w:rsidR="005E2849" w:rsidRDefault="005E2849" w:rsidP="005E2849">
            <w:pPr>
              <w:rPr>
                <w:lang w:eastAsia="en-AU"/>
              </w:rPr>
            </w:pPr>
            <w:r w:rsidRPr="00B77B5F">
              <w:t xml:space="preserve"> $42,436 </w:t>
            </w:r>
          </w:p>
        </w:tc>
        <w:tc>
          <w:tcPr>
            <w:tcW w:w="2382" w:type="dxa"/>
          </w:tcPr>
          <w:p w14:paraId="4D42DC2A" w14:textId="4D9BDEE2" w:rsidR="005E2849" w:rsidRDefault="005E2849" w:rsidP="005E2849">
            <w:pPr>
              <w:rPr>
                <w:lang w:eastAsia="en-AU"/>
              </w:rPr>
            </w:pPr>
            <w:r w:rsidRPr="00B77B5F">
              <w:t xml:space="preserve"> $50,108 </w:t>
            </w:r>
          </w:p>
        </w:tc>
      </w:tr>
      <w:tr w:rsidR="005E2849" w14:paraId="1D1B5AD8" w14:textId="77777777">
        <w:tc>
          <w:tcPr>
            <w:tcW w:w="2381" w:type="dxa"/>
          </w:tcPr>
          <w:p w14:paraId="71BB85C5" w14:textId="17C42D84" w:rsidR="005E2849" w:rsidRDefault="005E2849" w:rsidP="005E2849">
            <w:pPr>
              <w:rPr>
                <w:lang w:eastAsia="en-AU"/>
              </w:rPr>
            </w:pPr>
            <w:r w:rsidRPr="00BB6883">
              <w:t>VPS 6</w:t>
            </w:r>
          </w:p>
        </w:tc>
        <w:tc>
          <w:tcPr>
            <w:tcW w:w="2381" w:type="dxa"/>
          </w:tcPr>
          <w:p w14:paraId="4207C948" w14:textId="0FD20B06" w:rsidR="005E2849" w:rsidRDefault="005E2849" w:rsidP="005E2849">
            <w:pPr>
              <w:rPr>
                <w:lang w:eastAsia="en-AU"/>
              </w:rPr>
            </w:pPr>
            <w:r w:rsidRPr="009D3DFA">
              <w:t>0.20</w:t>
            </w:r>
          </w:p>
        </w:tc>
        <w:tc>
          <w:tcPr>
            <w:tcW w:w="2382" w:type="dxa"/>
          </w:tcPr>
          <w:p w14:paraId="3FC1AC98" w14:textId="4A966982" w:rsidR="005E2849" w:rsidRDefault="005E2849" w:rsidP="005E2849">
            <w:pPr>
              <w:rPr>
                <w:lang w:eastAsia="en-AU"/>
              </w:rPr>
            </w:pPr>
            <w:r w:rsidRPr="00B77B5F">
              <w:t xml:space="preserve"> $55,074 </w:t>
            </w:r>
          </w:p>
        </w:tc>
        <w:tc>
          <w:tcPr>
            <w:tcW w:w="2382" w:type="dxa"/>
          </w:tcPr>
          <w:p w14:paraId="04070A1B" w14:textId="33746215" w:rsidR="005E2849" w:rsidRDefault="005E2849" w:rsidP="005E2849">
            <w:pPr>
              <w:rPr>
                <w:lang w:eastAsia="en-AU"/>
              </w:rPr>
            </w:pPr>
            <w:r w:rsidRPr="00B77B5F">
              <w:t xml:space="preserve"> $65,030 </w:t>
            </w:r>
          </w:p>
        </w:tc>
      </w:tr>
      <w:tr w:rsidR="005E2849" w14:paraId="416A27A2" w14:textId="77777777">
        <w:tc>
          <w:tcPr>
            <w:tcW w:w="2381" w:type="dxa"/>
          </w:tcPr>
          <w:p w14:paraId="3D78CA50" w14:textId="6E4D674C" w:rsidR="005E2849" w:rsidRPr="005E69E9" w:rsidRDefault="005E2849" w:rsidP="005E2849">
            <w:pPr>
              <w:rPr>
                <w:b/>
                <w:bCs/>
                <w:lang w:eastAsia="en-AU"/>
              </w:rPr>
            </w:pPr>
            <w:r w:rsidRPr="005E69E9">
              <w:rPr>
                <w:b/>
                <w:bCs/>
              </w:rPr>
              <w:t>Total </w:t>
            </w:r>
          </w:p>
        </w:tc>
        <w:tc>
          <w:tcPr>
            <w:tcW w:w="2381" w:type="dxa"/>
          </w:tcPr>
          <w:p w14:paraId="5DF64197" w14:textId="2709F461" w:rsidR="005E2849" w:rsidRPr="005E69E9" w:rsidRDefault="005E2849" w:rsidP="005E2849">
            <w:pPr>
              <w:rPr>
                <w:b/>
                <w:bCs/>
                <w:lang w:eastAsia="en-AU"/>
              </w:rPr>
            </w:pPr>
            <w:r w:rsidRPr="005E69E9">
              <w:rPr>
                <w:b/>
                <w:bCs/>
              </w:rPr>
              <w:t>0.80</w:t>
            </w:r>
          </w:p>
        </w:tc>
        <w:tc>
          <w:tcPr>
            <w:tcW w:w="2382" w:type="dxa"/>
          </w:tcPr>
          <w:p w14:paraId="4B3F3896" w14:textId="44582E8C" w:rsidR="005E2849" w:rsidRPr="005E69E9" w:rsidRDefault="005E2849" w:rsidP="005E2849">
            <w:pPr>
              <w:rPr>
                <w:b/>
                <w:bCs/>
                <w:lang w:eastAsia="en-AU"/>
              </w:rPr>
            </w:pPr>
            <w:r w:rsidRPr="005E69E9">
              <w:rPr>
                <w:b/>
                <w:bCs/>
              </w:rPr>
              <w:t xml:space="preserve"> $168,563 </w:t>
            </w:r>
          </w:p>
        </w:tc>
        <w:tc>
          <w:tcPr>
            <w:tcW w:w="2382" w:type="dxa"/>
          </w:tcPr>
          <w:p w14:paraId="536AC090" w14:textId="133DEE21" w:rsidR="005E2849" w:rsidRPr="005E69E9" w:rsidRDefault="005E2849" w:rsidP="005E2849">
            <w:pPr>
              <w:rPr>
                <w:b/>
                <w:bCs/>
                <w:lang w:eastAsia="en-AU"/>
              </w:rPr>
            </w:pPr>
            <w:r w:rsidRPr="005E69E9">
              <w:rPr>
                <w:b/>
                <w:bCs/>
              </w:rPr>
              <w:t xml:space="preserve"> $199,036 </w:t>
            </w:r>
          </w:p>
        </w:tc>
      </w:tr>
    </w:tbl>
    <w:p w14:paraId="799281A5" w14:textId="62779E49" w:rsidR="005E2849" w:rsidRPr="000F5DEF" w:rsidRDefault="004E0BBC" w:rsidP="007C7707">
      <w:pPr>
        <w:rPr>
          <w:i/>
          <w:iCs/>
          <w:lang w:eastAsia="en-AU"/>
        </w:rPr>
      </w:pPr>
      <w:r>
        <w:rPr>
          <w:i/>
          <w:iCs/>
          <w:lang w:eastAsia="en-AU"/>
        </w:rPr>
        <w:t xml:space="preserve">Note: </w:t>
      </w:r>
      <w:r w:rsidR="00BE6C7D" w:rsidRPr="000F5DEF">
        <w:rPr>
          <w:i/>
          <w:iCs/>
          <w:lang w:eastAsia="en-AU"/>
        </w:rPr>
        <w:t xml:space="preserve">Briefing costs for external Counsel of </w:t>
      </w:r>
      <w:r w:rsidR="004F15CB" w:rsidRPr="000F5DEF">
        <w:rPr>
          <w:i/>
          <w:iCs/>
          <w:lang w:eastAsia="en-AU"/>
        </w:rPr>
        <w:t>12% of FTE costs equates to an additional $20,000 for FY2024/25 and an additional $23,</w:t>
      </w:r>
      <w:r w:rsidR="005E2849" w:rsidRPr="000F5DEF">
        <w:rPr>
          <w:i/>
          <w:iCs/>
          <w:lang w:eastAsia="en-AU"/>
        </w:rPr>
        <w:t>616 over the 10 year average.</w:t>
      </w:r>
    </w:p>
    <w:p w14:paraId="7E573D60" w14:textId="215D5A9C" w:rsidR="007C7707" w:rsidRDefault="002E055B" w:rsidP="002E055B">
      <w:pPr>
        <w:pStyle w:val="Caption"/>
        <w:rPr>
          <w:lang w:eastAsia="en-AU"/>
        </w:rPr>
      </w:pPr>
      <w:r>
        <w:lastRenderedPageBreak/>
        <w:t xml:space="preserve">Table A </w:t>
      </w:r>
      <w:r>
        <w:fldChar w:fldCharType="begin"/>
      </w:r>
      <w:r>
        <w:instrText xml:space="preserve"> SEQ Table_A \* ARABIC </w:instrText>
      </w:r>
      <w:r>
        <w:fldChar w:fldCharType="separate"/>
      </w:r>
      <w:r w:rsidR="009D133E">
        <w:rPr>
          <w:noProof/>
        </w:rPr>
        <w:t>3</w:t>
      </w:r>
      <w:r>
        <w:fldChar w:fldCharType="end"/>
      </w:r>
      <w:r w:rsidR="004E0BBC">
        <w:t xml:space="preserve"> </w:t>
      </w:r>
      <w:r w:rsidR="00CA0E07" w:rsidRPr="004E0BBC">
        <w:rPr>
          <w:lang w:eastAsia="en-AU"/>
        </w:rPr>
        <w:t>Regulatory Services Effectiveness Division (RSED)</w:t>
      </w:r>
      <w:r w:rsidR="004E0BBC" w:rsidRPr="004E0BBC">
        <w:rPr>
          <w:lang w:eastAsia="en-AU"/>
        </w:rPr>
        <w:t xml:space="preserve"> FTE Staff Costs, FY2024/25 and 10-year average costs</w:t>
      </w:r>
    </w:p>
    <w:tbl>
      <w:tblPr>
        <w:tblStyle w:val="Deloittetable"/>
        <w:tblW w:w="0" w:type="auto"/>
        <w:tblLook w:val="04A0" w:firstRow="1" w:lastRow="0" w:firstColumn="1" w:lastColumn="0" w:noHBand="0" w:noVBand="1"/>
      </w:tblPr>
      <w:tblGrid>
        <w:gridCol w:w="2381"/>
        <w:gridCol w:w="2381"/>
        <w:gridCol w:w="2382"/>
        <w:gridCol w:w="2382"/>
      </w:tblGrid>
      <w:tr w:rsidR="00CA0E07" w:rsidRPr="00C65D18" w14:paraId="026BDFD9" w14:textId="77777777" w:rsidTr="004E0BBC">
        <w:trPr>
          <w:cnfStyle w:val="100000000000" w:firstRow="1" w:lastRow="0" w:firstColumn="0" w:lastColumn="0" w:oddVBand="0" w:evenVBand="0" w:oddHBand="0" w:evenHBand="0" w:firstRowFirstColumn="0" w:firstRowLastColumn="0" w:lastRowFirstColumn="0" w:lastRowLastColumn="0"/>
          <w:tblHeader/>
        </w:trPr>
        <w:tc>
          <w:tcPr>
            <w:tcW w:w="2381" w:type="dxa"/>
          </w:tcPr>
          <w:p w14:paraId="36857CCB" w14:textId="77777777" w:rsidR="00CA0E07" w:rsidRPr="00C65D18" w:rsidRDefault="00CA0E07">
            <w:pPr>
              <w:rPr>
                <w:b/>
                <w:bCs/>
                <w:lang w:eastAsia="en-AU"/>
              </w:rPr>
            </w:pPr>
            <w:r w:rsidRPr="00C65D18">
              <w:rPr>
                <w:b/>
                <w:bCs/>
                <w:lang w:eastAsia="en-AU"/>
              </w:rPr>
              <w:t>VPS Grade</w:t>
            </w:r>
          </w:p>
        </w:tc>
        <w:tc>
          <w:tcPr>
            <w:tcW w:w="2381" w:type="dxa"/>
          </w:tcPr>
          <w:p w14:paraId="3A114466" w14:textId="77777777" w:rsidR="00CA0E07" w:rsidRPr="00C65D18" w:rsidRDefault="00CA0E07">
            <w:pPr>
              <w:rPr>
                <w:b/>
                <w:bCs/>
                <w:lang w:eastAsia="en-AU"/>
              </w:rPr>
            </w:pPr>
            <w:r w:rsidRPr="00C65D18">
              <w:rPr>
                <w:b/>
                <w:bCs/>
                <w:lang w:eastAsia="en-AU"/>
              </w:rPr>
              <w:t>No. of FTE</w:t>
            </w:r>
          </w:p>
        </w:tc>
        <w:tc>
          <w:tcPr>
            <w:tcW w:w="2382" w:type="dxa"/>
          </w:tcPr>
          <w:p w14:paraId="4379CFED" w14:textId="77777777" w:rsidR="00CA0E07" w:rsidRPr="00C65D18" w:rsidRDefault="00CA0E07">
            <w:pPr>
              <w:rPr>
                <w:b/>
                <w:bCs/>
                <w:lang w:eastAsia="en-AU"/>
              </w:rPr>
            </w:pPr>
            <w:r w:rsidRPr="00C65D18">
              <w:rPr>
                <w:b/>
                <w:bCs/>
                <w:lang w:eastAsia="en-AU"/>
              </w:rPr>
              <w:t>FY2024/25 Cost</w:t>
            </w:r>
          </w:p>
        </w:tc>
        <w:tc>
          <w:tcPr>
            <w:tcW w:w="2382" w:type="dxa"/>
          </w:tcPr>
          <w:p w14:paraId="332A8CE4" w14:textId="77777777" w:rsidR="00CA0E07" w:rsidRPr="00C65D18" w:rsidRDefault="00CA0E07">
            <w:pPr>
              <w:rPr>
                <w:b/>
                <w:bCs/>
                <w:lang w:eastAsia="en-AU"/>
              </w:rPr>
            </w:pPr>
            <w:r w:rsidRPr="00C65D18">
              <w:rPr>
                <w:b/>
                <w:bCs/>
                <w:lang w:eastAsia="en-AU"/>
              </w:rPr>
              <w:t>10YR AVG Cost</w:t>
            </w:r>
          </w:p>
        </w:tc>
      </w:tr>
      <w:tr w:rsidR="00B93DBB" w14:paraId="03C50DAC" w14:textId="77777777">
        <w:tc>
          <w:tcPr>
            <w:tcW w:w="2381" w:type="dxa"/>
          </w:tcPr>
          <w:p w14:paraId="7F773336" w14:textId="3010AC3D" w:rsidR="00B93DBB" w:rsidRDefault="00B93DBB" w:rsidP="00B93DBB">
            <w:pPr>
              <w:rPr>
                <w:lang w:eastAsia="en-AU"/>
              </w:rPr>
            </w:pPr>
            <w:r w:rsidRPr="00AA7CBC">
              <w:t>VPS 3</w:t>
            </w:r>
          </w:p>
        </w:tc>
        <w:tc>
          <w:tcPr>
            <w:tcW w:w="2381" w:type="dxa"/>
          </w:tcPr>
          <w:p w14:paraId="1AF4A558" w14:textId="135BD80C" w:rsidR="00B93DBB" w:rsidRDefault="00B93DBB" w:rsidP="00B93DBB">
            <w:pPr>
              <w:rPr>
                <w:lang w:eastAsia="en-AU"/>
              </w:rPr>
            </w:pPr>
            <w:r w:rsidRPr="005366E3">
              <w:t>0.75</w:t>
            </w:r>
          </w:p>
        </w:tc>
        <w:tc>
          <w:tcPr>
            <w:tcW w:w="2382" w:type="dxa"/>
          </w:tcPr>
          <w:p w14:paraId="3677DBCA" w14:textId="3E5B8FE0" w:rsidR="00B93DBB" w:rsidRDefault="00B93DBB" w:rsidP="00B93DBB">
            <w:pPr>
              <w:rPr>
                <w:lang w:eastAsia="en-AU"/>
              </w:rPr>
            </w:pPr>
            <w:r w:rsidRPr="005366E3">
              <w:t xml:space="preserve"> $111,623 </w:t>
            </w:r>
          </w:p>
        </w:tc>
        <w:tc>
          <w:tcPr>
            <w:tcW w:w="2382" w:type="dxa"/>
          </w:tcPr>
          <w:p w14:paraId="2F379E6A" w14:textId="1B5BF769" w:rsidR="00B93DBB" w:rsidRDefault="00B93DBB" w:rsidP="00B93DBB">
            <w:pPr>
              <w:rPr>
                <w:lang w:eastAsia="en-AU"/>
              </w:rPr>
            </w:pPr>
            <w:r w:rsidRPr="005366E3">
              <w:t xml:space="preserve"> $131,802 </w:t>
            </w:r>
          </w:p>
        </w:tc>
      </w:tr>
      <w:tr w:rsidR="00B93DBB" w14:paraId="0353FB3A" w14:textId="77777777">
        <w:tc>
          <w:tcPr>
            <w:tcW w:w="2381" w:type="dxa"/>
          </w:tcPr>
          <w:p w14:paraId="39AA25B3" w14:textId="13A94AE4" w:rsidR="00B93DBB" w:rsidRDefault="00B93DBB" w:rsidP="00B93DBB">
            <w:pPr>
              <w:rPr>
                <w:lang w:eastAsia="en-AU"/>
              </w:rPr>
            </w:pPr>
            <w:r w:rsidRPr="00AA7CBC">
              <w:t>VPS 4 </w:t>
            </w:r>
          </w:p>
        </w:tc>
        <w:tc>
          <w:tcPr>
            <w:tcW w:w="2381" w:type="dxa"/>
          </w:tcPr>
          <w:p w14:paraId="4F750FEE" w14:textId="56A845C0" w:rsidR="00B93DBB" w:rsidRDefault="00B93DBB" w:rsidP="00B93DBB">
            <w:pPr>
              <w:rPr>
                <w:lang w:eastAsia="en-AU"/>
              </w:rPr>
            </w:pPr>
            <w:r w:rsidRPr="005366E3">
              <w:t>2.00</w:t>
            </w:r>
          </w:p>
        </w:tc>
        <w:tc>
          <w:tcPr>
            <w:tcW w:w="2382" w:type="dxa"/>
          </w:tcPr>
          <w:p w14:paraId="58F0F760" w14:textId="6A525B57" w:rsidR="00B93DBB" w:rsidRDefault="00B93DBB" w:rsidP="00B93DBB">
            <w:pPr>
              <w:rPr>
                <w:lang w:eastAsia="en-AU"/>
              </w:rPr>
            </w:pPr>
            <w:r w:rsidRPr="005366E3">
              <w:t xml:space="preserve"> $355,262 </w:t>
            </w:r>
          </w:p>
        </w:tc>
        <w:tc>
          <w:tcPr>
            <w:tcW w:w="2382" w:type="dxa"/>
          </w:tcPr>
          <w:p w14:paraId="2F4EF684" w14:textId="7A9693FC" w:rsidR="00B93DBB" w:rsidRDefault="00B93DBB" w:rsidP="00B93DBB">
            <w:pPr>
              <w:rPr>
                <w:lang w:eastAsia="en-AU"/>
              </w:rPr>
            </w:pPr>
            <w:r w:rsidRPr="005366E3">
              <w:t xml:space="preserve"> $419,486 </w:t>
            </w:r>
          </w:p>
        </w:tc>
      </w:tr>
      <w:tr w:rsidR="00B93DBB" w14:paraId="070BA2D3" w14:textId="77777777">
        <w:tc>
          <w:tcPr>
            <w:tcW w:w="2381" w:type="dxa"/>
          </w:tcPr>
          <w:p w14:paraId="47D9884F" w14:textId="146EE1AE" w:rsidR="00B93DBB" w:rsidRDefault="00B93DBB" w:rsidP="00B93DBB">
            <w:pPr>
              <w:rPr>
                <w:lang w:eastAsia="en-AU"/>
              </w:rPr>
            </w:pPr>
            <w:r w:rsidRPr="00AA7CBC">
              <w:t>VPS 5 </w:t>
            </w:r>
          </w:p>
        </w:tc>
        <w:tc>
          <w:tcPr>
            <w:tcW w:w="2381" w:type="dxa"/>
          </w:tcPr>
          <w:p w14:paraId="7F4F06EE" w14:textId="1C446566" w:rsidR="00B93DBB" w:rsidRDefault="00B93DBB" w:rsidP="00B93DBB">
            <w:pPr>
              <w:rPr>
                <w:lang w:eastAsia="en-AU"/>
              </w:rPr>
            </w:pPr>
            <w:r w:rsidRPr="005366E3">
              <w:t>0.75</w:t>
            </w:r>
          </w:p>
        </w:tc>
        <w:tc>
          <w:tcPr>
            <w:tcW w:w="2382" w:type="dxa"/>
          </w:tcPr>
          <w:p w14:paraId="15C9CD34" w14:textId="27488875" w:rsidR="00B93DBB" w:rsidRDefault="00B93DBB" w:rsidP="00B93DBB">
            <w:pPr>
              <w:rPr>
                <w:lang w:eastAsia="en-AU"/>
              </w:rPr>
            </w:pPr>
            <w:r w:rsidRPr="005366E3">
              <w:t xml:space="preserve"> $159,137 </w:t>
            </w:r>
          </w:p>
        </w:tc>
        <w:tc>
          <w:tcPr>
            <w:tcW w:w="2382" w:type="dxa"/>
          </w:tcPr>
          <w:p w14:paraId="79D1F75D" w14:textId="53EDA4EF" w:rsidR="00B93DBB" w:rsidRDefault="00B93DBB" w:rsidP="00B93DBB">
            <w:pPr>
              <w:rPr>
                <w:lang w:eastAsia="en-AU"/>
              </w:rPr>
            </w:pPr>
            <w:r w:rsidRPr="005366E3">
              <w:t xml:space="preserve"> $187,905 </w:t>
            </w:r>
          </w:p>
        </w:tc>
      </w:tr>
      <w:tr w:rsidR="00B93DBB" w14:paraId="23683F2A" w14:textId="77777777">
        <w:tc>
          <w:tcPr>
            <w:tcW w:w="2381" w:type="dxa"/>
          </w:tcPr>
          <w:p w14:paraId="64722BD4" w14:textId="00903FD2" w:rsidR="00B93DBB" w:rsidRDefault="00B93DBB" w:rsidP="00B93DBB">
            <w:pPr>
              <w:rPr>
                <w:lang w:eastAsia="en-AU"/>
              </w:rPr>
            </w:pPr>
            <w:r w:rsidRPr="00AA7CBC">
              <w:t>VPS 6</w:t>
            </w:r>
          </w:p>
        </w:tc>
        <w:tc>
          <w:tcPr>
            <w:tcW w:w="2381" w:type="dxa"/>
          </w:tcPr>
          <w:p w14:paraId="0B08402E" w14:textId="6915CD4A" w:rsidR="00B93DBB" w:rsidRDefault="00B93DBB" w:rsidP="00B93DBB">
            <w:pPr>
              <w:rPr>
                <w:lang w:eastAsia="en-AU"/>
              </w:rPr>
            </w:pPr>
            <w:r w:rsidRPr="005366E3">
              <w:t>0.25</w:t>
            </w:r>
          </w:p>
        </w:tc>
        <w:tc>
          <w:tcPr>
            <w:tcW w:w="2382" w:type="dxa"/>
          </w:tcPr>
          <w:p w14:paraId="5692E838" w14:textId="111C4B6A" w:rsidR="00B93DBB" w:rsidRDefault="00B93DBB" w:rsidP="00B93DBB">
            <w:pPr>
              <w:rPr>
                <w:lang w:eastAsia="en-AU"/>
              </w:rPr>
            </w:pPr>
            <w:r w:rsidRPr="005366E3">
              <w:t xml:space="preserve"> $68,842 </w:t>
            </w:r>
          </w:p>
        </w:tc>
        <w:tc>
          <w:tcPr>
            <w:tcW w:w="2382" w:type="dxa"/>
          </w:tcPr>
          <w:p w14:paraId="5CE39F6F" w14:textId="78882D64" w:rsidR="00B93DBB" w:rsidRDefault="00B93DBB" w:rsidP="00B93DBB">
            <w:pPr>
              <w:rPr>
                <w:lang w:eastAsia="en-AU"/>
              </w:rPr>
            </w:pPr>
            <w:r w:rsidRPr="005366E3">
              <w:t xml:space="preserve"> $81,288 </w:t>
            </w:r>
          </w:p>
        </w:tc>
      </w:tr>
      <w:tr w:rsidR="00B93DBB" w14:paraId="3A13B0C8" w14:textId="77777777">
        <w:tc>
          <w:tcPr>
            <w:tcW w:w="2381" w:type="dxa"/>
          </w:tcPr>
          <w:p w14:paraId="714BFFED" w14:textId="77905B91" w:rsidR="00B93DBB" w:rsidRPr="005E69E9" w:rsidRDefault="00B93DBB" w:rsidP="00B93DBB">
            <w:pPr>
              <w:rPr>
                <w:b/>
                <w:bCs/>
                <w:lang w:eastAsia="en-AU"/>
              </w:rPr>
            </w:pPr>
            <w:r w:rsidRPr="005E69E9">
              <w:rPr>
                <w:b/>
                <w:bCs/>
              </w:rPr>
              <w:t>Total</w:t>
            </w:r>
          </w:p>
        </w:tc>
        <w:tc>
          <w:tcPr>
            <w:tcW w:w="2381" w:type="dxa"/>
          </w:tcPr>
          <w:p w14:paraId="0BA626DB" w14:textId="596264F7" w:rsidR="00B93DBB" w:rsidRPr="005E69E9" w:rsidRDefault="00B93DBB" w:rsidP="00B93DBB">
            <w:pPr>
              <w:rPr>
                <w:b/>
                <w:bCs/>
                <w:lang w:eastAsia="en-AU"/>
              </w:rPr>
            </w:pPr>
            <w:r w:rsidRPr="005E69E9">
              <w:rPr>
                <w:b/>
                <w:bCs/>
              </w:rPr>
              <w:t>3.75</w:t>
            </w:r>
          </w:p>
        </w:tc>
        <w:tc>
          <w:tcPr>
            <w:tcW w:w="2382" w:type="dxa"/>
          </w:tcPr>
          <w:p w14:paraId="002D4780" w14:textId="51E8D6C9" w:rsidR="00B93DBB" w:rsidRPr="005E69E9" w:rsidRDefault="00B93DBB" w:rsidP="00B93DBB">
            <w:pPr>
              <w:rPr>
                <w:b/>
                <w:bCs/>
                <w:lang w:eastAsia="en-AU"/>
              </w:rPr>
            </w:pPr>
            <w:r w:rsidRPr="005E69E9">
              <w:rPr>
                <w:b/>
                <w:bCs/>
              </w:rPr>
              <w:t xml:space="preserve"> $694,864 </w:t>
            </w:r>
          </w:p>
        </w:tc>
        <w:tc>
          <w:tcPr>
            <w:tcW w:w="2382" w:type="dxa"/>
          </w:tcPr>
          <w:p w14:paraId="641CA5DB" w14:textId="3DB7E171" w:rsidR="00B93DBB" w:rsidRPr="005E69E9" w:rsidRDefault="00B93DBB" w:rsidP="00B93DBB">
            <w:pPr>
              <w:rPr>
                <w:b/>
                <w:bCs/>
                <w:lang w:eastAsia="en-AU"/>
              </w:rPr>
            </w:pPr>
            <w:r w:rsidRPr="005E69E9">
              <w:rPr>
                <w:b/>
                <w:bCs/>
              </w:rPr>
              <w:t xml:space="preserve"> $820,481 </w:t>
            </w:r>
          </w:p>
        </w:tc>
      </w:tr>
    </w:tbl>
    <w:p w14:paraId="5E37E869" w14:textId="4898C719" w:rsidR="00B93DBB" w:rsidRDefault="002E055B" w:rsidP="002E055B">
      <w:pPr>
        <w:pStyle w:val="Caption"/>
        <w:rPr>
          <w:lang w:eastAsia="en-AU"/>
        </w:rPr>
      </w:pPr>
      <w:r>
        <w:t xml:space="preserve">Table A </w:t>
      </w:r>
      <w:r>
        <w:fldChar w:fldCharType="begin"/>
      </w:r>
      <w:r>
        <w:instrText xml:space="preserve"> SEQ Table_A \* ARABIC </w:instrText>
      </w:r>
      <w:r>
        <w:fldChar w:fldCharType="separate"/>
      </w:r>
      <w:r w:rsidR="009D133E">
        <w:rPr>
          <w:noProof/>
        </w:rPr>
        <w:t>4</w:t>
      </w:r>
      <w:r>
        <w:fldChar w:fldCharType="end"/>
      </w:r>
      <w:r w:rsidR="004E0BBC">
        <w:t xml:space="preserve"> </w:t>
      </w:r>
      <w:r w:rsidR="00EA7E87" w:rsidRPr="00EA7E87">
        <w:rPr>
          <w:lang w:eastAsia="en-AU"/>
        </w:rPr>
        <w:t>Divisional Firearm Officers (DFO)</w:t>
      </w:r>
      <w:r w:rsidR="004E0BBC">
        <w:rPr>
          <w:lang w:eastAsia="en-AU"/>
        </w:rPr>
        <w:t xml:space="preserve"> </w:t>
      </w:r>
      <w:r w:rsidR="004E0BBC" w:rsidRPr="004E0BBC">
        <w:rPr>
          <w:lang w:eastAsia="en-AU"/>
        </w:rPr>
        <w:t>FTE Staff Costs, FY2024/25 and 10-year average costs</w:t>
      </w:r>
    </w:p>
    <w:tbl>
      <w:tblPr>
        <w:tblStyle w:val="Deloittetable"/>
        <w:tblW w:w="0" w:type="auto"/>
        <w:tblLook w:val="04A0" w:firstRow="1" w:lastRow="0" w:firstColumn="1" w:lastColumn="0" w:noHBand="0" w:noVBand="1"/>
      </w:tblPr>
      <w:tblGrid>
        <w:gridCol w:w="2381"/>
        <w:gridCol w:w="2381"/>
        <w:gridCol w:w="2382"/>
        <w:gridCol w:w="2382"/>
      </w:tblGrid>
      <w:tr w:rsidR="001A3535" w:rsidRPr="00C65D18" w14:paraId="1BBE6887" w14:textId="77777777">
        <w:trPr>
          <w:cnfStyle w:val="100000000000" w:firstRow="1" w:lastRow="0" w:firstColumn="0" w:lastColumn="0" w:oddVBand="0" w:evenVBand="0" w:oddHBand="0" w:evenHBand="0" w:firstRowFirstColumn="0" w:firstRowLastColumn="0" w:lastRowFirstColumn="0" w:lastRowLastColumn="0"/>
        </w:trPr>
        <w:tc>
          <w:tcPr>
            <w:tcW w:w="2381" w:type="dxa"/>
          </w:tcPr>
          <w:p w14:paraId="0F46E804" w14:textId="77777777" w:rsidR="001A3535" w:rsidRPr="00C65D18" w:rsidRDefault="001A3535">
            <w:pPr>
              <w:rPr>
                <w:b/>
                <w:bCs/>
                <w:lang w:eastAsia="en-AU"/>
              </w:rPr>
            </w:pPr>
            <w:r w:rsidRPr="00C65D18">
              <w:rPr>
                <w:b/>
                <w:bCs/>
                <w:lang w:eastAsia="en-AU"/>
              </w:rPr>
              <w:t>VPS Grade</w:t>
            </w:r>
          </w:p>
        </w:tc>
        <w:tc>
          <w:tcPr>
            <w:tcW w:w="2381" w:type="dxa"/>
          </w:tcPr>
          <w:p w14:paraId="2E3F9C6C" w14:textId="77777777" w:rsidR="001A3535" w:rsidRPr="00C65D18" w:rsidRDefault="001A3535">
            <w:pPr>
              <w:rPr>
                <w:b/>
                <w:bCs/>
                <w:lang w:eastAsia="en-AU"/>
              </w:rPr>
            </w:pPr>
            <w:r w:rsidRPr="00C65D18">
              <w:rPr>
                <w:b/>
                <w:bCs/>
                <w:lang w:eastAsia="en-AU"/>
              </w:rPr>
              <w:t>No. of FTE</w:t>
            </w:r>
          </w:p>
        </w:tc>
        <w:tc>
          <w:tcPr>
            <w:tcW w:w="2382" w:type="dxa"/>
          </w:tcPr>
          <w:p w14:paraId="5960B333" w14:textId="77777777" w:rsidR="001A3535" w:rsidRPr="00C65D18" w:rsidRDefault="001A3535">
            <w:pPr>
              <w:rPr>
                <w:b/>
                <w:bCs/>
                <w:lang w:eastAsia="en-AU"/>
              </w:rPr>
            </w:pPr>
            <w:r w:rsidRPr="00C65D18">
              <w:rPr>
                <w:b/>
                <w:bCs/>
                <w:lang w:eastAsia="en-AU"/>
              </w:rPr>
              <w:t>FY2024/25 Cost</w:t>
            </w:r>
          </w:p>
        </w:tc>
        <w:tc>
          <w:tcPr>
            <w:tcW w:w="2382" w:type="dxa"/>
          </w:tcPr>
          <w:p w14:paraId="6DC78ECE" w14:textId="77777777" w:rsidR="001A3535" w:rsidRPr="00C65D18" w:rsidRDefault="001A3535">
            <w:pPr>
              <w:rPr>
                <w:b/>
                <w:bCs/>
                <w:lang w:eastAsia="en-AU"/>
              </w:rPr>
            </w:pPr>
            <w:r w:rsidRPr="00C65D18">
              <w:rPr>
                <w:b/>
                <w:bCs/>
                <w:lang w:eastAsia="en-AU"/>
              </w:rPr>
              <w:t>10YR AVG Cost</w:t>
            </w:r>
          </w:p>
        </w:tc>
      </w:tr>
      <w:tr w:rsidR="00EA7E87" w14:paraId="2344D5D2" w14:textId="77777777">
        <w:tc>
          <w:tcPr>
            <w:tcW w:w="2381" w:type="dxa"/>
          </w:tcPr>
          <w:p w14:paraId="72BCC7E6" w14:textId="115ED06C" w:rsidR="00EA7E87" w:rsidRDefault="00EA7E87" w:rsidP="00EA7E87">
            <w:pPr>
              <w:rPr>
                <w:lang w:eastAsia="en-AU"/>
              </w:rPr>
            </w:pPr>
            <w:r w:rsidRPr="005519F1">
              <w:t xml:space="preserve">Leading Senior Constables </w:t>
            </w:r>
          </w:p>
        </w:tc>
        <w:tc>
          <w:tcPr>
            <w:tcW w:w="2381" w:type="dxa"/>
          </w:tcPr>
          <w:p w14:paraId="4F4DBFFC" w14:textId="13DCC324" w:rsidR="00EA7E87" w:rsidRDefault="00EA7E87" w:rsidP="00EA7E87">
            <w:pPr>
              <w:rPr>
                <w:lang w:eastAsia="en-AU"/>
              </w:rPr>
            </w:pPr>
            <w:r w:rsidRPr="005519F1">
              <w:t>23.00</w:t>
            </w:r>
          </w:p>
        </w:tc>
        <w:tc>
          <w:tcPr>
            <w:tcW w:w="2382" w:type="dxa"/>
          </w:tcPr>
          <w:p w14:paraId="74CB0315" w14:textId="349EC915" w:rsidR="00EA7E87" w:rsidRDefault="00EA7E87" w:rsidP="00EA7E87">
            <w:pPr>
              <w:rPr>
                <w:lang w:eastAsia="en-AU"/>
              </w:rPr>
            </w:pPr>
            <w:r w:rsidRPr="005519F1">
              <w:t xml:space="preserve"> $4,533,257 </w:t>
            </w:r>
          </w:p>
        </w:tc>
        <w:tc>
          <w:tcPr>
            <w:tcW w:w="2382" w:type="dxa"/>
          </w:tcPr>
          <w:p w14:paraId="2B4222FC" w14:textId="50861086" w:rsidR="00EA7E87" w:rsidRDefault="00EA7E87" w:rsidP="00EA7E87">
            <w:pPr>
              <w:rPr>
                <w:lang w:eastAsia="en-AU"/>
              </w:rPr>
            </w:pPr>
            <w:r w:rsidRPr="005519F1">
              <w:t xml:space="preserve"> $5,352,777 </w:t>
            </w:r>
          </w:p>
        </w:tc>
      </w:tr>
      <w:tr w:rsidR="00EA7E87" w14:paraId="3F369992" w14:textId="77777777">
        <w:tc>
          <w:tcPr>
            <w:tcW w:w="2381" w:type="dxa"/>
          </w:tcPr>
          <w:p w14:paraId="22CB9C94" w14:textId="004F1A06" w:rsidR="00EA7E87" w:rsidRPr="005E69E9" w:rsidRDefault="00EA7E87" w:rsidP="00EA7E87">
            <w:pPr>
              <w:rPr>
                <w:b/>
                <w:bCs/>
                <w:lang w:eastAsia="en-AU"/>
              </w:rPr>
            </w:pPr>
            <w:r w:rsidRPr="005E69E9">
              <w:rPr>
                <w:b/>
                <w:bCs/>
              </w:rPr>
              <w:t>Cost (time) attributable to private security (5%)</w:t>
            </w:r>
          </w:p>
        </w:tc>
        <w:tc>
          <w:tcPr>
            <w:tcW w:w="2381" w:type="dxa"/>
          </w:tcPr>
          <w:p w14:paraId="78429196" w14:textId="75A5F71F" w:rsidR="00EA7E87" w:rsidRPr="005E69E9" w:rsidRDefault="00EA7E87" w:rsidP="00EA7E87">
            <w:pPr>
              <w:rPr>
                <w:b/>
                <w:bCs/>
                <w:lang w:eastAsia="en-AU"/>
              </w:rPr>
            </w:pPr>
          </w:p>
        </w:tc>
        <w:tc>
          <w:tcPr>
            <w:tcW w:w="2382" w:type="dxa"/>
          </w:tcPr>
          <w:p w14:paraId="2CD80DB2" w14:textId="3EC97420" w:rsidR="00EA7E87" w:rsidRPr="005E69E9" w:rsidRDefault="00EA7E87" w:rsidP="00EA7E87">
            <w:pPr>
              <w:rPr>
                <w:b/>
                <w:bCs/>
                <w:lang w:eastAsia="en-AU"/>
              </w:rPr>
            </w:pPr>
            <w:r w:rsidRPr="005E69E9">
              <w:rPr>
                <w:b/>
                <w:bCs/>
              </w:rPr>
              <w:t xml:space="preserve"> $226,663 </w:t>
            </w:r>
          </w:p>
        </w:tc>
        <w:tc>
          <w:tcPr>
            <w:tcW w:w="2382" w:type="dxa"/>
          </w:tcPr>
          <w:p w14:paraId="77923635" w14:textId="214032A1" w:rsidR="00EA7E87" w:rsidRPr="005E69E9" w:rsidRDefault="00EA7E87" w:rsidP="00EA7E87">
            <w:pPr>
              <w:rPr>
                <w:b/>
                <w:bCs/>
                <w:lang w:eastAsia="en-AU"/>
              </w:rPr>
            </w:pPr>
            <w:r w:rsidRPr="005E69E9">
              <w:rPr>
                <w:b/>
                <w:bCs/>
              </w:rPr>
              <w:t xml:space="preserve"> $267,639 </w:t>
            </w:r>
          </w:p>
        </w:tc>
      </w:tr>
    </w:tbl>
    <w:p w14:paraId="651C28CC" w14:textId="37C859C1" w:rsidR="00012B5C" w:rsidRDefault="002E055B" w:rsidP="002E055B">
      <w:pPr>
        <w:pStyle w:val="Caption"/>
        <w:rPr>
          <w:lang w:eastAsia="en-AU"/>
        </w:rPr>
      </w:pPr>
      <w:r>
        <w:t xml:space="preserve">Table A </w:t>
      </w:r>
      <w:r>
        <w:fldChar w:fldCharType="begin"/>
      </w:r>
      <w:r>
        <w:instrText xml:space="preserve"> SEQ Table_A \* ARABIC </w:instrText>
      </w:r>
      <w:r>
        <w:fldChar w:fldCharType="separate"/>
      </w:r>
      <w:r w:rsidR="009D133E">
        <w:rPr>
          <w:noProof/>
        </w:rPr>
        <w:t>5</w:t>
      </w:r>
      <w:r>
        <w:fldChar w:fldCharType="end"/>
      </w:r>
      <w:r w:rsidR="004E0BBC">
        <w:t xml:space="preserve"> </w:t>
      </w:r>
      <w:r w:rsidR="00012B5C" w:rsidRPr="00012B5C">
        <w:rPr>
          <w:lang w:eastAsia="en-AU"/>
        </w:rPr>
        <w:t>State Liquor Unit</w:t>
      </w:r>
      <w:r w:rsidR="004E0BBC">
        <w:rPr>
          <w:lang w:eastAsia="en-AU"/>
        </w:rPr>
        <w:t xml:space="preserve"> </w:t>
      </w:r>
      <w:r w:rsidR="004E0BBC" w:rsidRPr="004E0BBC">
        <w:rPr>
          <w:lang w:eastAsia="en-AU"/>
        </w:rPr>
        <w:t>FTE Staff Costs, FY2024/25 and 10-year average costs</w:t>
      </w:r>
    </w:p>
    <w:tbl>
      <w:tblPr>
        <w:tblStyle w:val="Deloittetable"/>
        <w:tblW w:w="0" w:type="auto"/>
        <w:tblLook w:val="04A0" w:firstRow="1" w:lastRow="0" w:firstColumn="1" w:lastColumn="0" w:noHBand="0" w:noVBand="1"/>
      </w:tblPr>
      <w:tblGrid>
        <w:gridCol w:w="2381"/>
        <w:gridCol w:w="2381"/>
        <w:gridCol w:w="2382"/>
        <w:gridCol w:w="2382"/>
      </w:tblGrid>
      <w:tr w:rsidR="00012B5C" w:rsidRPr="00C65D18" w14:paraId="3759E4CA" w14:textId="77777777">
        <w:trPr>
          <w:cnfStyle w:val="100000000000" w:firstRow="1" w:lastRow="0" w:firstColumn="0" w:lastColumn="0" w:oddVBand="0" w:evenVBand="0" w:oddHBand="0" w:evenHBand="0" w:firstRowFirstColumn="0" w:firstRowLastColumn="0" w:lastRowFirstColumn="0" w:lastRowLastColumn="0"/>
        </w:trPr>
        <w:tc>
          <w:tcPr>
            <w:tcW w:w="2381" w:type="dxa"/>
          </w:tcPr>
          <w:p w14:paraId="57C2ECA1" w14:textId="77777777" w:rsidR="00012B5C" w:rsidRPr="00C65D18" w:rsidRDefault="00012B5C">
            <w:pPr>
              <w:rPr>
                <w:b/>
                <w:bCs/>
                <w:lang w:eastAsia="en-AU"/>
              </w:rPr>
            </w:pPr>
            <w:r w:rsidRPr="00C65D18">
              <w:rPr>
                <w:b/>
                <w:bCs/>
                <w:lang w:eastAsia="en-AU"/>
              </w:rPr>
              <w:t>VPS Grade</w:t>
            </w:r>
          </w:p>
        </w:tc>
        <w:tc>
          <w:tcPr>
            <w:tcW w:w="2381" w:type="dxa"/>
          </w:tcPr>
          <w:p w14:paraId="6BFCBFC4" w14:textId="77777777" w:rsidR="00012B5C" w:rsidRPr="00C65D18" w:rsidRDefault="00012B5C">
            <w:pPr>
              <w:rPr>
                <w:b/>
                <w:bCs/>
                <w:lang w:eastAsia="en-AU"/>
              </w:rPr>
            </w:pPr>
            <w:r w:rsidRPr="00C65D18">
              <w:rPr>
                <w:b/>
                <w:bCs/>
                <w:lang w:eastAsia="en-AU"/>
              </w:rPr>
              <w:t>No. of FTE</w:t>
            </w:r>
          </w:p>
        </w:tc>
        <w:tc>
          <w:tcPr>
            <w:tcW w:w="2382" w:type="dxa"/>
          </w:tcPr>
          <w:p w14:paraId="5A55B5E4" w14:textId="77777777" w:rsidR="00012B5C" w:rsidRPr="00C65D18" w:rsidRDefault="00012B5C">
            <w:pPr>
              <w:rPr>
                <w:b/>
                <w:bCs/>
                <w:lang w:eastAsia="en-AU"/>
              </w:rPr>
            </w:pPr>
            <w:r w:rsidRPr="00C65D18">
              <w:rPr>
                <w:b/>
                <w:bCs/>
                <w:lang w:eastAsia="en-AU"/>
              </w:rPr>
              <w:t>FY2024/25 Cost</w:t>
            </w:r>
          </w:p>
        </w:tc>
        <w:tc>
          <w:tcPr>
            <w:tcW w:w="2382" w:type="dxa"/>
          </w:tcPr>
          <w:p w14:paraId="252FD70D" w14:textId="77777777" w:rsidR="00012B5C" w:rsidRPr="00C65D18" w:rsidRDefault="00012B5C">
            <w:pPr>
              <w:rPr>
                <w:b/>
                <w:bCs/>
                <w:lang w:eastAsia="en-AU"/>
              </w:rPr>
            </w:pPr>
            <w:r w:rsidRPr="00C65D18">
              <w:rPr>
                <w:b/>
                <w:bCs/>
                <w:lang w:eastAsia="en-AU"/>
              </w:rPr>
              <w:t>10YR AVG Cost</w:t>
            </w:r>
          </w:p>
        </w:tc>
      </w:tr>
      <w:tr w:rsidR="00012B5C" w14:paraId="1EBD69C8" w14:textId="77777777">
        <w:tc>
          <w:tcPr>
            <w:tcW w:w="2381" w:type="dxa"/>
          </w:tcPr>
          <w:p w14:paraId="0EAAF5C6" w14:textId="5A3192B3" w:rsidR="00012B5C" w:rsidRDefault="00012B5C">
            <w:pPr>
              <w:rPr>
                <w:lang w:eastAsia="en-AU"/>
              </w:rPr>
            </w:pPr>
            <w:r>
              <w:t>S</w:t>
            </w:r>
            <w:r w:rsidR="003706BF">
              <w:t>ergeant</w:t>
            </w:r>
            <w:r w:rsidRPr="00B933AE">
              <w:t xml:space="preserve"> </w:t>
            </w:r>
          </w:p>
        </w:tc>
        <w:tc>
          <w:tcPr>
            <w:tcW w:w="2381" w:type="dxa"/>
          </w:tcPr>
          <w:p w14:paraId="4FA35EFB" w14:textId="0E0CE5B4" w:rsidR="00012B5C" w:rsidRDefault="00A62E86">
            <w:pPr>
              <w:rPr>
                <w:lang w:eastAsia="en-AU"/>
              </w:rPr>
            </w:pPr>
            <w:r>
              <w:t>0.8</w:t>
            </w:r>
            <w:r w:rsidR="00E20099">
              <w:t>5</w:t>
            </w:r>
          </w:p>
        </w:tc>
        <w:tc>
          <w:tcPr>
            <w:tcW w:w="2382" w:type="dxa"/>
          </w:tcPr>
          <w:p w14:paraId="497FA9E9" w14:textId="03D2435A" w:rsidR="00012B5C" w:rsidRDefault="00E20099">
            <w:pPr>
              <w:rPr>
                <w:lang w:eastAsia="en-AU"/>
              </w:rPr>
            </w:pPr>
            <w:r w:rsidRPr="00E20099">
              <w:t>$201,224</w:t>
            </w:r>
          </w:p>
        </w:tc>
        <w:tc>
          <w:tcPr>
            <w:tcW w:w="2382" w:type="dxa"/>
          </w:tcPr>
          <w:p w14:paraId="41A62A9C" w14:textId="1542ACBA" w:rsidR="00012B5C" w:rsidRDefault="00012B5C">
            <w:pPr>
              <w:rPr>
                <w:lang w:eastAsia="en-AU"/>
              </w:rPr>
            </w:pPr>
            <w:r w:rsidRPr="00B933AE">
              <w:t xml:space="preserve"> </w:t>
            </w:r>
            <w:r w:rsidR="00EC2E3F" w:rsidRPr="00EC2E3F">
              <w:t>$237,601</w:t>
            </w:r>
          </w:p>
        </w:tc>
      </w:tr>
      <w:tr w:rsidR="00012B5C" w14:paraId="2A6517AC" w14:textId="77777777">
        <w:tc>
          <w:tcPr>
            <w:tcW w:w="2381" w:type="dxa"/>
          </w:tcPr>
          <w:p w14:paraId="638FDF97" w14:textId="77777777" w:rsidR="00012B5C" w:rsidRPr="005E69E9" w:rsidRDefault="00012B5C">
            <w:pPr>
              <w:rPr>
                <w:b/>
                <w:bCs/>
                <w:lang w:eastAsia="en-AU"/>
              </w:rPr>
            </w:pPr>
            <w:r w:rsidRPr="005E69E9">
              <w:rPr>
                <w:b/>
                <w:bCs/>
              </w:rPr>
              <w:t>Total</w:t>
            </w:r>
          </w:p>
        </w:tc>
        <w:tc>
          <w:tcPr>
            <w:tcW w:w="2381" w:type="dxa"/>
          </w:tcPr>
          <w:p w14:paraId="21819E11" w14:textId="70B40424" w:rsidR="00012B5C" w:rsidRPr="005E69E9" w:rsidRDefault="00A62E86">
            <w:pPr>
              <w:rPr>
                <w:b/>
                <w:bCs/>
                <w:lang w:eastAsia="en-AU"/>
              </w:rPr>
            </w:pPr>
            <w:r w:rsidRPr="005E69E9">
              <w:rPr>
                <w:b/>
                <w:bCs/>
              </w:rPr>
              <w:t>0.8</w:t>
            </w:r>
            <w:r w:rsidR="00E20099" w:rsidRPr="005E69E9">
              <w:rPr>
                <w:b/>
                <w:bCs/>
              </w:rPr>
              <w:t>5</w:t>
            </w:r>
          </w:p>
        </w:tc>
        <w:tc>
          <w:tcPr>
            <w:tcW w:w="2382" w:type="dxa"/>
          </w:tcPr>
          <w:p w14:paraId="0499AF79" w14:textId="032FD5A1" w:rsidR="00012B5C" w:rsidRPr="005E69E9" w:rsidRDefault="00E20099">
            <w:pPr>
              <w:rPr>
                <w:b/>
                <w:bCs/>
                <w:lang w:eastAsia="en-AU"/>
              </w:rPr>
            </w:pPr>
            <w:r w:rsidRPr="005E69E9">
              <w:rPr>
                <w:b/>
                <w:bCs/>
              </w:rPr>
              <w:t>$201,224</w:t>
            </w:r>
          </w:p>
        </w:tc>
        <w:tc>
          <w:tcPr>
            <w:tcW w:w="2382" w:type="dxa"/>
          </w:tcPr>
          <w:p w14:paraId="16ED5867" w14:textId="311D26C8" w:rsidR="00012B5C" w:rsidRPr="005E69E9" w:rsidRDefault="00EC2E3F">
            <w:pPr>
              <w:rPr>
                <w:b/>
                <w:bCs/>
                <w:lang w:eastAsia="en-AU"/>
              </w:rPr>
            </w:pPr>
            <w:r w:rsidRPr="005E69E9">
              <w:rPr>
                <w:b/>
                <w:bCs/>
              </w:rPr>
              <w:t>$237,601</w:t>
            </w:r>
          </w:p>
        </w:tc>
      </w:tr>
    </w:tbl>
    <w:p w14:paraId="3E936D88" w14:textId="71A9D3C4" w:rsidR="00B93DBB" w:rsidRDefault="002E055B" w:rsidP="002E055B">
      <w:pPr>
        <w:pStyle w:val="Caption"/>
        <w:rPr>
          <w:lang w:eastAsia="en-AU"/>
        </w:rPr>
      </w:pPr>
      <w:r>
        <w:t xml:space="preserve">Table A </w:t>
      </w:r>
      <w:r>
        <w:fldChar w:fldCharType="begin"/>
      </w:r>
      <w:r>
        <w:instrText xml:space="preserve"> SEQ Table_A \* ARABIC </w:instrText>
      </w:r>
      <w:r>
        <w:fldChar w:fldCharType="separate"/>
      </w:r>
      <w:r w:rsidR="009D133E">
        <w:rPr>
          <w:noProof/>
        </w:rPr>
        <w:t>6</w:t>
      </w:r>
      <w:r>
        <w:fldChar w:fldCharType="end"/>
      </w:r>
      <w:r w:rsidR="004E0BBC">
        <w:t xml:space="preserve"> </w:t>
      </w:r>
      <w:r w:rsidR="00EA7E87" w:rsidRPr="00EA7E87">
        <w:rPr>
          <w:lang w:eastAsia="en-AU"/>
        </w:rPr>
        <w:t>Other Policing</w:t>
      </w:r>
      <w:r w:rsidR="004E0BBC">
        <w:rPr>
          <w:lang w:eastAsia="en-AU"/>
        </w:rPr>
        <w:t xml:space="preserve"> </w:t>
      </w:r>
      <w:r w:rsidR="004E0BBC" w:rsidRPr="004E0BBC">
        <w:rPr>
          <w:lang w:eastAsia="en-AU"/>
        </w:rPr>
        <w:t>FTE Staff Costs, FY2024/25 and 10-year average costs</w:t>
      </w:r>
    </w:p>
    <w:tbl>
      <w:tblPr>
        <w:tblStyle w:val="Deloittetable"/>
        <w:tblW w:w="0" w:type="auto"/>
        <w:tblLook w:val="04A0" w:firstRow="1" w:lastRow="0" w:firstColumn="1" w:lastColumn="0" w:noHBand="0" w:noVBand="1"/>
      </w:tblPr>
      <w:tblGrid>
        <w:gridCol w:w="2381"/>
        <w:gridCol w:w="2381"/>
        <w:gridCol w:w="2382"/>
        <w:gridCol w:w="2382"/>
      </w:tblGrid>
      <w:tr w:rsidR="00EA7E87" w:rsidRPr="00C65D18" w14:paraId="3E50DDE5" w14:textId="77777777">
        <w:trPr>
          <w:cnfStyle w:val="100000000000" w:firstRow="1" w:lastRow="0" w:firstColumn="0" w:lastColumn="0" w:oddVBand="0" w:evenVBand="0" w:oddHBand="0" w:evenHBand="0" w:firstRowFirstColumn="0" w:firstRowLastColumn="0" w:lastRowFirstColumn="0" w:lastRowLastColumn="0"/>
        </w:trPr>
        <w:tc>
          <w:tcPr>
            <w:tcW w:w="2381" w:type="dxa"/>
          </w:tcPr>
          <w:p w14:paraId="52EA751E" w14:textId="77777777" w:rsidR="00EA7E87" w:rsidRPr="00C65D18" w:rsidRDefault="00EA7E87">
            <w:pPr>
              <w:rPr>
                <w:b/>
                <w:bCs/>
                <w:lang w:eastAsia="en-AU"/>
              </w:rPr>
            </w:pPr>
            <w:r w:rsidRPr="00C65D18">
              <w:rPr>
                <w:b/>
                <w:bCs/>
                <w:lang w:eastAsia="en-AU"/>
              </w:rPr>
              <w:t>VPS Grade</w:t>
            </w:r>
          </w:p>
        </w:tc>
        <w:tc>
          <w:tcPr>
            <w:tcW w:w="2381" w:type="dxa"/>
          </w:tcPr>
          <w:p w14:paraId="079BF4F1" w14:textId="77777777" w:rsidR="00EA7E87" w:rsidRPr="00C65D18" w:rsidRDefault="00EA7E87">
            <w:pPr>
              <w:rPr>
                <w:b/>
                <w:bCs/>
                <w:lang w:eastAsia="en-AU"/>
              </w:rPr>
            </w:pPr>
            <w:r w:rsidRPr="00C65D18">
              <w:rPr>
                <w:b/>
                <w:bCs/>
                <w:lang w:eastAsia="en-AU"/>
              </w:rPr>
              <w:t>No. of FTE</w:t>
            </w:r>
          </w:p>
        </w:tc>
        <w:tc>
          <w:tcPr>
            <w:tcW w:w="2382" w:type="dxa"/>
          </w:tcPr>
          <w:p w14:paraId="05106A64" w14:textId="77777777" w:rsidR="00EA7E87" w:rsidRPr="00C65D18" w:rsidRDefault="00EA7E87">
            <w:pPr>
              <w:rPr>
                <w:b/>
                <w:bCs/>
                <w:lang w:eastAsia="en-AU"/>
              </w:rPr>
            </w:pPr>
            <w:r w:rsidRPr="00C65D18">
              <w:rPr>
                <w:b/>
                <w:bCs/>
                <w:lang w:eastAsia="en-AU"/>
              </w:rPr>
              <w:t>FY2024/25 Cost</w:t>
            </w:r>
          </w:p>
        </w:tc>
        <w:tc>
          <w:tcPr>
            <w:tcW w:w="2382" w:type="dxa"/>
          </w:tcPr>
          <w:p w14:paraId="61CE3194" w14:textId="77777777" w:rsidR="00EA7E87" w:rsidRPr="00C65D18" w:rsidRDefault="00EA7E87">
            <w:pPr>
              <w:rPr>
                <w:b/>
                <w:bCs/>
                <w:lang w:eastAsia="en-AU"/>
              </w:rPr>
            </w:pPr>
            <w:r w:rsidRPr="00C65D18">
              <w:rPr>
                <w:b/>
                <w:bCs/>
                <w:lang w:eastAsia="en-AU"/>
              </w:rPr>
              <w:t>10YR AVG Cost</w:t>
            </w:r>
          </w:p>
        </w:tc>
      </w:tr>
      <w:tr w:rsidR="003B43D1" w14:paraId="5835105D" w14:textId="77777777">
        <w:tc>
          <w:tcPr>
            <w:tcW w:w="2381" w:type="dxa"/>
          </w:tcPr>
          <w:p w14:paraId="3F5D7FF2" w14:textId="3D0691AD" w:rsidR="003B43D1" w:rsidRDefault="003B43D1" w:rsidP="003B43D1">
            <w:pPr>
              <w:rPr>
                <w:lang w:eastAsia="en-AU"/>
              </w:rPr>
            </w:pPr>
            <w:r w:rsidRPr="00B933AE">
              <w:t xml:space="preserve">Leading Senior Constables </w:t>
            </w:r>
          </w:p>
        </w:tc>
        <w:tc>
          <w:tcPr>
            <w:tcW w:w="2381" w:type="dxa"/>
          </w:tcPr>
          <w:p w14:paraId="01023405" w14:textId="2B1E00E3" w:rsidR="003B43D1" w:rsidRDefault="003B43D1" w:rsidP="003B43D1">
            <w:pPr>
              <w:rPr>
                <w:lang w:eastAsia="en-AU"/>
              </w:rPr>
            </w:pPr>
            <w:r w:rsidRPr="00B933AE">
              <w:t>12.00</w:t>
            </w:r>
          </w:p>
        </w:tc>
        <w:tc>
          <w:tcPr>
            <w:tcW w:w="2382" w:type="dxa"/>
          </w:tcPr>
          <w:p w14:paraId="4C9253C5" w14:textId="6FD7F10F" w:rsidR="003B43D1" w:rsidRDefault="003B43D1" w:rsidP="003B43D1">
            <w:pPr>
              <w:rPr>
                <w:lang w:eastAsia="en-AU"/>
              </w:rPr>
            </w:pPr>
            <w:r w:rsidRPr="00B933AE">
              <w:t xml:space="preserve"> $2,365,178 </w:t>
            </w:r>
          </w:p>
        </w:tc>
        <w:tc>
          <w:tcPr>
            <w:tcW w:w="2382" w:type="dxa"/>
          </w:tcPr>
          <w:p w14:paraId="24A49000" w14:textId="3CAE9501" w:rsidR="003B43D1" w:rsidRDefault="003B43D1" w:rsidP="003B43D1">
            <w:pPr>
              <w:rPr>
                <w:lang w:eastAsia="en-AU"/>
              </w:rPr>
            </w:pPr>
            <w:r w:rsidRPr="00B933AE">
              <w:t xml:space="preserve"> $2,792,753 </w:t>
            </w:r>
          </w:p>
        </w:tc>
      </w:tr>
      <w:tr w:rsidR="003B43D1" w14:paraId="709EB8DB" w14:textId="77777777">
        <w:tc>
          <w:tcPr>
            <w:tcW w:w="2381" w:type="dxa"/>
          </w:tcPr>
          <w:p w14:paraId="06C19AC0" w14:textId="124329A9" w:rsidR="003B43D1" w:rsidRPr="005E69E9" w:rsidRDefault="003B43D1" w:rsidP="003B43D1">
            <w:pPr>
              <w:rPr>
                <w:b/>
                <w:bCs/>
                <w:lang w:eastAsia="en-AU"/>
              </w:rPr>
            </w:pPr>
            <w:r w:rsidRPr="005E69E9">
              <w:rPr>
                <w:b/>
                <w:bCs/>
              </w:rPr>
              <w:t>Total</w:t>
            </w:r>
          </w:p>
        </w:tc>
        <w:tc>
          <w:tcPr>
            <w:tcW w:w="2381" w:type="dxa"/>
          </w:tcPr>
          <w:p w14:paraId="4C5A7EDB" w14:textId="35A1E341" w:rsidR="003B43D1" w:rsidRPr="005E69E9" w:rsidRDefault="003B43D1" w:rsidP="003B43D1">
            <w:pPr>
              <w:rPr>
                <w:b/>
                <w:bCs/>
                <w:lang w:eastAsia="en-AU"/>
              </w:rPr>
            </w:pPr>
            <w:r w:rsidRPr="005E69E9">
              <w:rPr>
                <w:b/>
                <w:bCs/>
              </w:rPr>
              <w:t>12.00</w:t>
            </w:r>
          </w:p>
        </w:tc>
        <w:tc>
          <w:tcPr>
            <w:tcW w:w="2382" w:type="dxa"/>
          </w:tcPr>
          <w:p w14:paraId="46C17FDC" w14:textId="49D9D08A" w:rsidR="003B43D1" w:rsidRPr="005E69E9" w:rsidRDefault="003B43D1" w:rsidP="003B43D1">
            <w:pPr>
              <w:rPr>
                <w:b/>
                <w:bCs/>
                <w:lang w:eastAsia="en-AU"/>
              </w:rPr>
            </w:pPr>
            <w:r w:rsidRPr="005E69E9">
              <w:rPr>
                <w:b/>
                <w:bCs/>
              </w:rPr>
              <w:t xml:space="preserve"> $2,365,178 </w:t>
            </w:r>
          </w:p>
        </w:tc>
        <w:tc>
          <w:tcPr>
            <w:tcW w:w="2382" w:type="dxa"/>
          </w:tcPr>
          <w:p w14:paraId="0852EEC5" w14:textId="688BD952" w:rsidR="003B43D1" w:rsidRPr="005E69E9" w:rsidRDefault="003B43D1" w:rsidP="003B43D1">
            <w:pPr>
              <w:rPr>
                <w:b/>
                <w:bCs/>
                <w:lang w:eastAsia="en-AU"/>
              </w:rPr>
            </w:pPr>
            <w:r w:rsidRPr="005E69E9">
              <w:rPr>
                <w:b/>
                <w:bCs/>
              </w:rPr>
              <w:t xml:space="preserve"> $2,792,753 </w:t>
            </w:r>
          </w:p>
        </w:tc>
      </w:tr>
    </w:tbl>
    <w:p w14:paraId="7FF6704F" w14:textId="60C56796" w:rsidR="004E0BBC" w:rsidRPr="000F5DEF" w:rsidRDefault="004E0BBC" w:rsidP="00C16709">
      <w:pPr>
        <w:rPr>
          <w:i/>
          <w:iCs/>
          <w:lang w:eastAsia="en-AU"/>
        </w:rPr>
      </w:pPr>
      <w:r>
        <w:rPr>
          <w:i/>
          <w:iCs/>
          <w:lang w:eastAsia="en-AU"/>
        </w:rPr>
        <w:t xml:space="preserve">Note: </w:t>
      </w:r>
      <w:r w:rsidR="00C16709">
        <w:rPr>
          <w:i/>
          <w:iCs/>
          <w:lang w:eastAsia="en-AU"/>
        </w:rPr>
        <w:t xml:space="preserve">Other private security </w:t>
      </w:r>
      <w:r w:rsidR="00C16709" w:rsidRPr="00C16709">
        <w:rPr>
          <w:i/>
          <w:iCs/>
          <w:lang w:eastAsia="en-AU"/>
        </w:rPr>
        <w:t xml:space="preserve">related </w:t>
      </w:r>
      <w:r w:rsidR="003D31FE">
        <w:rPr>
          <w:i/>
          <w:iCs/>
          <w:lang w:eastAsia="en-AU"/>
        </w:rPr>
        <w:t xml:space="preserve">police </w:t>
      </w:r>
      <w:r w:rsidR="00C16709" w:rsidRPr="00C16709">
        <w:rPr>
          <w:i/>
          <w:iCs/>
          <w:lang w:eastAsia="en-AU"/>
        </w:rPr>
        <w:t>work previously undertaken by taskforces has now been decentralised and imbedded into day-to-day functions of operational members.</w:t>
      </w:r>
      <w:r w:rsidR="003D31FE">
        <w:rPr>
          <w:i/>
          <w:iCs/>
          <w:lang w:eastAsia="en-AU"/>
        </w:rPr>
        <w:t xml:space="preserve"> </w:t>
      </w:r>
      <w:r w:rsidR="00C16709" w:rsidRPr="00C16709">
        <w:rPr>
          <w:i/>
          <w:iCs/>
          <w:lang w:eastAsia="en-AU"/>
        </w:rPr>
        <w:t>An example of this is the recent Land Forces rally where Victoria Police operational members liaised and worked closely with, checked/validated security personnel from the Melbourne Convention Centre and Crown Casino and surrounding facilities.</w:t>
      </w:r>
    </w:p>
    <w:p w14:paraId="70964CE7" w14:textId="77777777" w:rsidR="002E055B" w:rsidRDefault="002E055B">
      <w:pPr>
        <w:spacing w:after="0"/>
        <w:rPr>
          <w:iCs/>
          <w:color w:val="75787B" w:themeColor="accent6"/>
          <w:sz w:val="17"/>
        </w:rPr>
      </w:pPr>
      <w:r>
        <w:br w:type="page"/>
      </w:r>
    </w:p>
    <w:p w14:paraId="540DFECC" w14:textId="696976D9" w:rsidR="00EA7E87" w:rsidRDefault="002E055B" w:rsidP="002E055B">
      <w:pPr>
        <w:pStyle w:val="Caption"/>
        <w:rPr>
          <w:lang w:eastAsia="en-AU"/>
        </w:rPr>
      </w:pPr>
      <w:r>
        <w:lastRenderedPageBreak/>
        <w:t xml:space="preserve">Table A </w:t>
      </w:r>
      <w:r>
        <w:fldChar w:fldCharType="begin"/>
      </w:r>
      <w:r>
        <w:instrText xml:space="preserve"> SEQ Table_A \* ARABIC </w:instrText>
      </w:r>
      <w:r>
        <w:fldChar w:fldCharType="separate"/>
      </w:r>
      <w:r w:rsidR="009D133E">
        <w:rPr>
          <w:noProof/>
        </w:rPr>
        <w:t>7</w:t>
      </w:r>
      <w:r>
        <w:fldChar w:fldCharType="end"/>
      </w:r>
      <w:r w:rsidR="003D31FE">
        <w:t xml:space="preserve"> </w:t>
      </w:r>
      <w:r w:rsidR="00A40FC0">
        <w:rPr>
          <w:lang w:eastAsia="en-AU"/>
        </w:rPr>
        <w:t xml:space="preserve">Other </w:t>
      </w:r>
      <w:r w:rsidR="00DE639B">
        <w:rPr>
          <w:lang w:eastAsia="en-AU"/>
        </w:rPr>
        <w:t>Costs provided by Victoria Police</w:t>
      </w:r>
      <w:r w:rsidR="003D31FE" w:rsidRPr="003D31FE">
        <w:rPr>
          <w:lang w:eastAsia="en-AU"/>
        </w:rPr>
        <w:t>, FY2024/25 and 10-year average costs</w:t>
      </w:r>
    </w:p>
    <w:tbl>
      <w:tblPr>
        <w:tblStyle w:val="Deloittetable"/>
        <w:tblW w:w="0" w:type="auto"/>
        <w:tblLook w:val="04A0" w:firstRow="1" w:lastRow="0" w:firstColumn="1" w:lastColumn="0" w:noHBand="0" w:noVBand="1"/>
      </w:tblPr>
      <w:tblGrid>
        <w:gridCol w:w="3175"/>
        <w:gridCol w:w="3175"/>
        <w:gridCol w:w="3176"/>
      </w:tblGrid>
      <w:tr w:rsidR="005E69E9" w14:paraId="1E6AB393" w14:textId="77777777" w:rsidTr="003D31FE">
        <w:trPr>
          <w:cnfStyle w:val="100000000000" w:firstRow="1" w:lastRow="0" w:firstColumn="0" w:lastColumn="0" w:oddVBand="0" w:evenVBand="0" w:oddHBand="0" w:evenHBand="0" w:firstRowFirstColumn="0" w:firstRowLastColumn="0" w:lastRowFirstColumn="0" w:lastRowLastColumn="0"/>
          <w:tblHeader/>
        </w:trPr>
        <w:tc>
          <w:tcPr>
            <w:tcW w:w="3175" w:type="dxa"/>
          </w:tcPr>
          <w:p w14:paraId="483E2D15" w14:textId="0E68548C" w:rsidR="005E69E9" w:rsidRPr="005E69E9" w:rsidRDefault="005E69E9" w:rsidP="005E69E9">
            <w:pPr>
              <w:rPr>
                <w:b/>
                <w:bCs/>
                <w:lang w:eastAsia="en-AU"/>
              </w:rPr>
            </w:pPr>
            <w:r w:rsidRPr="005E69E9">
              <w:rPr>
                <w:b/>
                <w:bCs/>
              </w:rPr>
              <w:t>Costs</w:t>
            </w:r>
          </w:p>
        </w:tc>
        <w:tc>
          <w:tcPr>
            <w:tcW w:w="3175" w:type="dxa"/>
          </w:tcPr>
          <w:p w14:paraId="14544BCF" w14:textId="53804178" w:rsidR="005E69E9" w:rsidRPr="005E69E9" w:rsidRDefault="005E69E9" w:rsidP="005E69E9">
            <w:pPr>
              <w:jc w:val="center"/>
              <w:rPr>
                <w:b/>
                <w:bCs/>
                <w:lang w:eastAsia="en-AU"/>
              </w:rPr>
            </w:pPr>
            <w:r w:rsidRPr="005E69E9">
              <w:rPr>
                <w:b/>
                <w:bCs/>
              </w:rPr>
              <w:t>FY2024/25 COST</w:t>
            </w:r>
          </w:p>
        </w:tc>
        <w:tc>
          <w:tcPr>
            <w:tcW w:w="3176" w:type="dxa"/>
          </w:tcPr>
          <w:p w14:paraId="00ECFB20" w14:textId="7A5C84C9" w:rsidR="005E69E9" w:rsidRPr="005E69E9" w:rsidRDefault="005E69E9" w:rsidP="005E69E9">
            <w:pPr>
              <w:jc w:val="center"/>
              <w:rPr>
                <w:b/>
                <w:bCs/>
                <w:lang w:eastAsia="en-AU"/>
              </w:rPr>
            </w:pPr>
            <w:r w:rsidRPr="005E69E9">
              <w:rPr>
                <w:b/>
                <w:bCs/>
              </w:rPr>
              <w:t>10YR AVERAGE COST</w:t>
            </w:r>
          </w:p>
        </w:tc>
      </w:tr>
      <w:tr w:rsidR="005E69E9" w14:paraId="24D04004" w14:textId="77777777" w:rsidTr="00DE639B">
        <w:tc>
          <w:tcPr>
            <w:tcW w:w="3175" w:type="dxa"/>
          </w:tcPr>
          <w:p w14:paraId="7E77C3AD" w14:textId="4A5F1E50" w:rsidR="005E69E9" w:rsidRDefault="005E69E9" w:rsidP="005E69E9">
            <w:pPr>
              <w:rPr>
                <w:lang w:eastAsia="en-AU"/>
              </w:rPr>
            </w:pPr>
            <w:r w:rsidRPr="005657F4">
              <w:t>Victoria Police Licensing and Registration System Private Security Costs</w:t>
            </w:r>
          </w:p>
        </w:tc>
        <w:tc>
          <w:tcPr>
            <w:tcW w:w="3175" w:type="dxa"/>
          </w:tcPr>
          <w:p w14:paraId="539AAECF" w14:textId="6F1C732D" w:rsidR="005E69E9" w:rsidRDefault="005E69E9" w:rsidP="005E69E9">
            <w:pPr>
              <w:jc w:val="center"/>
              <w:rPr>
                <w:lang w:eastAsia="en-AU"/>
              </w:rPr>
            </w:pPr>
            <w:r w:rsidRPr="005657F4">
              <w:t>$612,173</w:t>
            </w:r>
          </w:p>
        </w:tc>
        <w:tc>
          <w:tcPr>
            <w:tcW w:w="3176" w:type="dxa"/>
          </w:tcPr>
          <w:p w14:paraId="70310D18" w14:textId="68667F12" w:rsidR="005E69E9" w:rsidRDefault="005E69E9" w:rsidP="005E69E9">
            <w:pPr>
              <w:jc w:val="center"/>
              <w:rPr>
                <w:lang w:eastAsia="en-AU"/>
              </w:rPr>
            </w:pPr>
            <w:r w:rsidRPr="005657F4">
              <w:t>$489,042</w:t>
            </w:r>
          </w:p>
        </w:tc>
      </w:tr>
      <w:tr w:rsidR="005E69E9" w14:paraId="22B4132F" w14:textId="77777777" w:rsidTr="00DE639B">
        <w:tc>
          <w:tcPr>
            <w:tcW w:w="3175" w:type="dxa"/>
          </w:tcPr>
          <w:p w14:paraId="64349B50" w14:textId="6B6CEB9C" w:rsidR="005E69E9" w:rsidRDefault="005E69E9" w:rsidP="005E69E9">
            <w:pPr>
              <w:rPr>
                <w:lang w:eastAsia="en-AU"/>
              </w:rPr>
            </w:pPr>
            <w:r w:rsidRPr="005657F4">
              <w:t>Printing Costs for Private Security</w:t>
            </w:r>
          </w:p>
        </w:tc>
        <w:tc>
          <w:tcPr>
            <w:tcW w:w="3175" w:type="dxa"/>
          </w:tcPr>
          <w:p w14:paraId="51373F4D" w14:textId="286358C2" w:rsidR="005E69E9" w:rsidRDefault="005E69E9" w:rsidP="005E69E9">
            <w:pPr>
              <w:jc w:val="center"/>
              <w:rPr>
                <w:lang w:eastAsia="en-AU"/>
              </w:rPr>
            </w:pPr>
            <w:r w:rsidRPr="005657F4">
              <w:t>$54,771</w:t>
            </w:r>
          </w:p>
        </w:tc>
        <w:tc>
          <w:tcPr>
            <w:tcW w:w="3176" w:type="dxa"/>
          </w:tcPr>
          <w:p w14:paraId="4F8454BF" w14:textId="676533D4" w:rsidR="005E69E9" w:rsidRDefault="005E69E9" w:rsidP="005E69E9">
            <w:pPr>
              <w:jc w:val="center"/>
              <w:rPr>
                <w:lang w:eastAsia="en-AU"/>
              </w:rPr>
            </w:pPr>
            <w:r w:rsidRPr="005657F4">
              <w:t>$54,771</w:t>
            </w:r>
          </w:p>
        </w:tc>
      </w:tr>
      <w:tr w:rsidR="005E69E9" w14:paraId="2A849FE8" w14:textId="77777777" w:rsidTr="00DE639B">
        <w:tc>
          <w:tcPr>
            <w:tcW w:w="3175" w:type="dxa"/>
          </w:tcPr>
          <w:p w14:paraId="7150A5D9" w14:textId="07BC9295" w:rsidR="005E69E9" w:rsidRDefault="005E69E9" w:rsidP="005E69E9">
            <w:pPr>
              <w:rPr>
                <w:lang w:eastAsia="en-AU"/>
              </w:rPr>
            </w:pPr>
            <w:r w:rsidRPr="005657F4">
              <w:t>Digital services project</w:t>
            </w:r>
          </w:p>
        </w:tc>
        <w:tc>
          <w:tcPr>
            <w:tcW w:w="3175" w:type="dxa"/>
          </w:tcPr>
          <w:p w14:paraId="3DF76361" w14:textId="1125F85B" w:rsidR="005E69E9" w:rsidRDefault="005E69E9" w:rsidP="005E69E9">
            <w:pPr>
              <w:jc w:val="center"/>
              <w:rPr>
                <w:lang w:eastAsia="en-AU"/>
              </w:rPr>
            </w:pPr>
            <w:r w:rsidRPr="005657F4">
              <w:t>$429,303</w:t>
            </w:r>
          </w:p>
        </w:tc>
        <w:tc>
          <w:tcPr>
            <w:tcW w:w="3176" w:type="dxa"/>
          </w:tcPr>
          <w:p w14:paraId="56AC494B" w14:textId="64D11EC2" w:rsidR="005E69E9" w:rsidRDefault="005E69E9" w:rsidP="005E69E9">
            <w:pPr>
              <w:jc w:val="center"/>
              <w:rPr>
                <w:lang w:eastAsia="en-AU"/>
              </w:rPr>
            </w:pPr>
            <w:r w:rsidRPr="005657F4">
              <w:t>$386,510</w:t>
            </w:r>
          </w:p>
        </w:tc>
      </w:tr>
      <w:tr w:rsidR="005E69E9" w14:paraId="212F7E8E" w14:textId="77777777" w:rsidTr="00DE639B">
        <w:tc>
          <w:tcPr>
            <w:tcW w:w="3175" w:type="dxa"/>
          </w:tcPr>
          <w:p w14:paraId="3CF76312" w14:textId="11237F73" w:rsidR="005E69E9" w:rsidRDefault="005E69E9" w:rsidP="005E69E9">
            <w:pPr>
              <w:rPr>
                <w:lang w:eastAsia="en-AU"/>
              </w:rPr>
            </w:pPr>
            <w:r w:rsidRPr="005657F4">
              <w:t>Electronic lodgement process (ELP) project costs</w:t>
            </w:r>
          </w:p>
        </w:tc>
        <w:tc>
          <w:tcPr>
            <w:tcW w:w="3175" w:type="dxa"/>
          </w:tcPr>
          <w:p w14:paraId="79A07091" w14:textId="2075B64E" w:rsidR="005E69E9" w:rsidRDefault="005E69E9" w:rsidP="005E69E9">
            <w:pPr>
              <w:jc w:val="center"/>
              <w:rPr>
                <w:lang w:eastAsia="en-AU"/>
              </w:rPr>
            </w:pPr>
            <w:r w:rsidRPr="005657F4">
              <w:t>$235,274</w:t>
            </w:r>
          </w:p>
        </w:tc>
        <w:tc>
          <w:tcPr>
            <w:tcW w:w="3176" w:type="dxa"/>
          </w:tcPr>
          <w:p w14:paraId="1B0B7260" w14:textId="4371ECF8" w:rsidR="005E69E9" w:rsidRDefault="005E69E9" w:rsidP="005E69E9">
            <w:pPr>
              <w:jc w:val="center"/>
              <w:rPr>
                <w:lang w:eastAsia="en-AU"/>
              </w:rPr>
            </w:pPr>
            <w:r w:rsidRPr="005657F4">
              <w:t>$235,274</w:t>
            </w:r>
          </w:p>
        </w:tc>
      </w:tr>
      <w:tr w:rsidR="005E69E9" w14:paraId="5DEC1D51" w14:textId="77777777" w:rsidTr="00DE639B">
        <w:tc>
          <w:tcPr>
            <w:tcW w:w="3175" w:type="dxa"/>
          </w:tcPr>
          <w:p w14:paraId="3616D179" w14:textId="4B91FE40" w:rsidR="005E69E9" w:rsidRDefault="005E69E9" w:rsidP="005E69E9">
            <w:pPr>
              <w:rPr>
                <w:lang w:eastAsia="en-AU"/>
              </w:rPr>
            </w:pPr>
            <w:r w:rsidRPr="005657F4">
              <w:t>Summary costs provided for additional resources</w:t>
            </w:r>
          </w:p>
        </w:tc>
        <w:tc>
          <w:tcPr>
            <w:tcW w:w="3175" w:type="dxa"/>
          </w:tcPr>
          <w:p w14:paraId="246ED82A" w14:textId="0EBAEBA2" w:rsidR="005E69E9" w:rsidRDefault="005E69E9" w:rsidP="005E69E9">
            <w:pPr>
              <w:jc w:val="center"/>
              <w:rPr>
                <w:lang w:eastAsia="en-AU"/>
              </w:rPr>
            </w:pPr>
            <w:r w:rsidRPr="005657F4">
              <w:t>$1,068,814</w:t>
            </w:r>
          </w:p>
        </w:tc>
        <w:tc>
          <w:tcPr>
            <w:tcW w:w="3176" w:type="dxa"/>
          </w:tcPr>
          <w:p w14:paraId="4B67887E" w14:textId="5CCB5BD2" w:rsidR="005E69E9" w:rsidRDefault="005E69E9" w:rsidP="005E69E9">
            <w:pPr>
              <w:jc w:val="center"/>
              <w:rPr>
                <w:lang w:eastAsia="en-AU"/>
              </w:rPr>
            </w:pPr>
            <w:r w:rsidRPr="005657F4">
              <w:t>$1,529,486</w:t>
            </w:r>
          </w:p>
        </w:tc>
      </w:tr>
      <w:tr w:rsidR="005E69E9" w14:paraId="1DCAE1E1" w14:textId="77777777" w:rsidTr="00DE639B">
        <w:tc>
          <w:tcPr>
            <w:tcW w:w="3175" w:type="dxa"/>
          </w:tcPr>
          <w:p w14:paraId="462D9A92" w14:textId="383C7086" w:rsidR="005E69E9" w:rsidRDefault="005E69E9" w:rsidP="005E69E9">
            <w:pPr>
              <w:rPr>
                <w:lang w:eastAsia="en-AU"/>
              </w:rPr>
            </w:pPr>
            <w:r w:rsidRPr="005657F4">
              <w:t>Summary costs provided for new registry management system ongoing maintenance and support costs</w:t>
            </w:r>
          </w:p>
        </w:tc>
        <w:tc>
          <w:tcPr>
            <w:tcW w:w="3175" w:type="dxa"/>
          </w:tcPr>
          <w:p w14:paraId="5E8FAD53" w14:textId="475C1F90" w:rsidR="005E69E9" w:rsidRDefault="005E69E9" w:rsidP="005E69E9">
            <w:pPr>
              <w:jc w:val="center"/>
              <w:rPr>
                <w:lang w:eastAsia="en-AU"/>
              </w:rPr>
            </w:pPr>
            <w:r w:rsidRPr="005657F4">
              <w:t>$315,000</w:t>
            </w:r>
          </w:p>
        </w:tc>
        <w:tc>
          <w:tcPr>
            <w:tcW w:w="3176" w:type="dxa"/>
          </w:tcPr>
          <w:p w14:paraId="48F944A2" w14:textId="3CC9E63B" w:rsidR="005E69E9" w:rsidRDefault="005E69E9" w:rsidP="005E69E9">
            <w:pPr>
              <w:jc w:val="center"/>
              <w:rPr>
                <w:lang w:eastAsia="en-AU"/>
              </w:rPr>
            </w:pPr>
            <w:r w:rsidRPr="005657F4">
              <w:t>$2,952,000</w:t>
            </w:r>
          </w:p>
        </w:tc>
      </w:tr>
      <w:tr w:rsidR="005E69E9" w14:paraId="23B33B26" w14:textId="77777777" w:rsidTr="00DE639B">
        <w:tc>
          <w:tcPr>
            <w:tcW w:w="3175" w:type="dxa"/>
          </w:tcPr>
          <w:p w14:paraId="0B484537" w14:textId="1C1BA538" w:rsidR="005E69E9" w:rsidRPr="005E69E9" w:rsidRDefault="005E69E9" w:rsidP="005E69E9">
            <w:pPr>
              <w:rPr>
                <w:b/>
                <w:bCs/>
                <w:lang w:eastAsia="en-AU"/>
              </w:rPr>
            </w:pPr>
            <w:r w:rsidRPr="005E69E9">
              <w:rPr>
                <w:b/>
                <w:bCs/>
              </w:rPr>
              <w:t>Total</w:t>
            </w:r>
          </w:p>
        </w:tc>
        <w:tc>
          <w:tcPr>
            <w:tcW w:w="3175" w:type="dxa"/>
          </w:tcPr>
          <w:p w14:paraId="6E94059A" w14:textId="0C41E13C" w:rsidR="005E69E9" w:rsidRPr="005E69E9" w:rsidRDefault="005E69E9" w:rsidP="005E69E9">
            <w:pPr>
              <w:jc w:val="center"/>
              <w:rPr>
                <w:b/>
                <w:bCs/>
                <w:lang w:eastAsia="en-AU"/>
              </w:rPr>
            </w:pPr>
            <w:r w:rsidRPr="005E69E9">
              <w:rPr>
                <w:b/>
                <w:bCs/>
              </w:rPr>
              <w:t>$2,715,334</w:t>
            </w:r>
          </w:p>
        </w:tc>
        <w:tc>
          <w:tcPr>
            <w:tcW w:w="3176" w:type="dxa"/>
          </w:tcPr>
          <w:p w14:paraId="3FA7CEBF" w14:textId="4F48803E" w:rsidR="005E69E9" w:rsidRPr="005E69E9" w:rsidRDefault="005E69E9" w:rsidP="005E69E9">
            <w:pPr>
              <w:jc w:val="center"/>
              <w:rPr>
                <w:b/>
                <w:bCs/>
                <w:lang w:eastAsia="en-AU"/>
              </w:rPr>
            </w:pPr>
            <w:r w:rsidRPr="005E69E9">
              <w:rPr>
                <w:b/>
                <w:bCs/>
              </w:rPr>
              <w:t>$5,647,082</w:t>
            </w:r>
          </w:p>
        </w:tc>
      </w:tr>
    </w:tbl>
    <w:p w14:paraId="1A66F90B" w14:textId="6719A55F" w:rsidR="003D31FE" w:rsidRPr="000F5DEF" w:rsidRDefault="003D31FE" w:rsidP="00365FDA">
      <w:pPr>
        <w:rPr>
          <w:i/>
          <w:iCs/>
          <w:lang w:eastAsia="en-AU"/>
        </w:rPr>
      </w:pPr>
      <w:r>
        <w:rPr>
          <w:i/>
          <w:iCs/>
          <w:lang w:eastAsia="en-AU"/>
        </w:rPr>
        <w:t>Note</w:t>
      </w:r>
      <w:r w:rsidR="00365FDA">
        <w:rPr>
          <w:i/>
          <w:iCs/>
          <w:lang w:eastAsia="en-AU"/>
        </w:rPr>
        <w:t>: Summary costs included additional resourcing requested by Victoria Police to i</w:t>
      </w:r>
      <w:r w:rsidR="00365FDA" w:rsidRPr="00365FDA">
        <w:rPr>
          <w:i/>
          <w:iCs/>
          <w:lang w:eastAsia="en-AU"/>
        </w:rPr>
        <w:t>ntroduce 7 Fixed term and 14 ongoing new positions (Police and VPS) to expand the capability of the Regulation Support Unit (RSU) and the Assessments and Determinations Branch (ADB) of the Licensing and Regulation Division (LRD) at a cost of approximately $1,529,486, as well as a project team to implement the change at a cost of $617,629</w:t>
      </w:r>
      <w:r w:rsidR="0089082D">
        <w:rPr>
          <w:i/>
          <w:iCs/>
          <w:lang w:eastAsia="en-AU"/>
        </w:rPr>
        <w:t xml:space="preserve">. </w:t>
      </w:r>
      <w:r w:rsidR="00365FDA" w:rsidRPr="00365FDA">
        <w:rPr>
          <w:i/>
          <w:iCs/>
          <w:lang w:eastAsia="en-AU"/>
        </w:rPr>
        <w:t xml:space="preserve">Additional funding of approximately $760,000 </w:t>
      </w:r>
      <w:r w:rsidR="0089082D">
        <w:rPr>
          <w:i/>
          <w:iCs/>
          <w:lang w:eastAsia="en-AU"/>
        </w:rPr>
        <w:t xml:space="preserve">has also been requested </w:t>
      </w:r>
      <w:r w:rsidR="00365FDA" w:rsidRPr="00365FDA">
        <w:rPr>
          <w:i/>
          <w:iCs/>
          <w:lang w:eastAsia="en-AU"/>
        </w:rPr>
        <w:t>for technical, system and website uplift requirements.</w:t>
      </w:r>
    </w:p>
    <w:p w14:paraId="7BBF1411" w14:textId="77777777" w:rsidR="00697CFC" w:rsidRDefault="00697CFC">
      <w:pPr>
        <w:spacing w:after="0"/>
        <w:rPr>
          <w:rFonts w:eastAsiaTheme="majorEastAsia" w:cstheme="majorBidi"/>
          <w:b/>
          <w:bCs/>
          <w:color w:val="62B5E5" w:themeColor="accent3"/>
          <w:sz w:val="22"/>
          <w:szCs w:val="26"/>
          <w:lang w:eastAsia="en-AU"/>
        </w:rPr>
      </w:pPr>
      <w:r>
        <w:rPr>
          <w:lang w:eastAsia="en-AU"/>
        </w:rPr>
        <w:br w:type="page"/>
      </w:r>
    </w:p>
    <w:p w14:paraId="20330B63" w14:textId="4433B137" w:rsidR="000B21F8" w:rsidRDefault="00E37412" w:rsidP="00E37412">
      <w:pPr>
        <w:pStyle w:val="Heading2un-numbered"/>
        <w:rPr>
          <w:lang w:eastAsia="en-AU"/>
        </w:rPr>
      </w:pPr>
      <w:bookmarkStart w:id="122" w:name="_Toc189832274"/>
      <w:r>
        <w:rPr>
          <w:lang w:eastAsia="en-AU"/>
        </w:rPr>
        <w:lastRenderedPageBreak/>
        <w:t xml:space="preserve">A.3 </w:t>
      </w:r>
      <w:r w:rsidR="006D0DF8">
        <w:rPr>
          <w:lang w:eastAsia="en-AU"/>
        </w:rPr>
        <w:t>R</w:t>
      </w:r>
      <w:r w:rsidR="002953FC">
        <w:rPr>
          <w:lang w:eastAsia="en-AU"/>
        </w:rPr>
        <w:t xml:space="preserve">evenue </w:t>
      </w:r>
      <w:r w:rsidR="00BC4F93">
        <w:rPr>
          <w:lang w:eastAsia="en-AU"/>
        </w:rPr>
        <w:t xml:space="preserve">inputs and </w:t>
      </w:r>
      <w:r w:rsidR="002953FC">
        <w:rPr>
          <w:lang w:eastAsia="en-AU"/>
        </w:rPr>
        <w:t>calculations</w:t>
      </w:r>
      <w:bookmarkEnd w:id="122"/>
      <w:r w:rsidR="002953FC">
        <w:rPr>
          <w:lang w:eastAsia="en-AU"/>
        </w:rPr>
        <w:t xml:space="preserve"> </w:t>
      </w:r>
    </w:p>
    <w:p w14:paraId="784DF484" w14:textId="5C0375ED" w:rsidR="007F424B" w:rsidRPr="00824835" w:rsidRDefault="002E055B" w:rsidP="002E055B">
      <w:pPr>
        <w:pStyle w:val="Caption"/>
        <w:rPr>
          <w:lang w:eastAsia="en-AU"/>
        </w:rPr>
      </w:pPr>
      <w:r>
        <w:t xml:space="preserve">Table A </w:t>
      </w:r>
      <w:r>
        <w:fldChar w:fldCharType="begin"/>
      </w:r>
      <w:r>
        <w:instrText xml:space="preserve"> SEQ Table_A \* ARABIC </w:instrText>
      </w:r>
      <w:r>
        <w:fldChar w:fldCharType="separate"/>
      </w:r>
      <w:r w:rsidR="009D133E">
        <w:rPr>
          <w:noProof/>
        </w:rPr>
        <w:t>8</w:t>
      </w:r>
      <w:r>
        <w:fldChar w:fldCharType="end"/>
      </w:r>
      <w:r w:rsidR="00697CFC">
        <w:t xml:space="preserve"> </w:t>
      </w:r>
      <w:r w:rsidR="00344C76" w:rsidRPr="00697CFC">
        <w:rPr>
          <w:lang w:eastAsia="en-AU"/>
        </w:rPr>
        <w:t>Private Security Fees and Charges 2023-2024</w:t>
      </w:r>
    </w:p>
    <w:tbl>
      <w:tblPr>
        <w:tblStyle w:val="Deloittetable"/>
        <w:tblW w:w="0" w:type="auto"/>
        <w:tblLook w:val="04A0" w:firstRow="1" w:lastRow="0" w:firstColumn="1" w:lastColumn="0" w:noHBand="0" w:noVBand="1"/>
      </w:tblPr>
      <w:tblGrid>
        <w:gridCol w:w="3754"/>
        <w:gridCol w:w="1482"/>
        <w:gridCol w:w="1451"/>
        <w:gridCol w:w="1451"/>
        <w:gridCol w:w="1468"/>
      </w:tblGrid>
      <w:tr w:rsidR="00FF17EA" w:rsidRPr="00FF17EA" w14:paraId="1D0EF771" w14:textId="77777777" w:rsidTr="00D108F3">
        <w:trPr>
          <w:cnfStyle w:val="100000000000" w:firstRow="1" w:lastRow="0" w:firstColumn="0" w:lastColumn="0" w:oddVBand="0" w:evenVBand="0" w:oddHBand="0" w:evenHBand="0" w:firstRowFirstColumn="0" w:firstRowLastColumn="0" w:lastRowFirstColumn="0" w:lastRowLastColumn="0"/>
          <w:trHeight w:val="230"/>
          <w:tblHeader/>
        </w:trPr>
        <w:tc>
          <w:tcPr>
            <w:tcW w:w="3738" w:type="dxa"/>
            <w:noWrap/>
            <w:hideMark/>
          </w:tcPr>
          <w:p w14:paraId="37BBF0FB" w14:textId="14D50B9D" w:rsidR="00FF17EA" w:rsidRPr="00FF17EA" w:rsidRDefault="00FF17EA" w:rsidP="00FF17EA">
            <w:pPr>
              <w:rPr>
                <w:b/>
                <w:bCs/>
                <w:lang w:eastAsia="en-AU"/>
              </w:rPr>
            </w:pPr>
            <w:r w:rsidRPr="00FF17EA">
              <w:rPr>
                <w:b/>
                <w:bCs/>
                <w:lang w:eastAsia="en-AU"/>
              </w:rPr>
              <w:t>Licence</w:t>
            </w:r>
            <w:r>
              <w:rPr>
                <w:b/>
                <w:bCs/>
                <w:lang w:eastAsia="en-AU"/>
              </w:rPr>
              <w:t xml:space="preserve"> and Registration Fee Categories</w:t>
            </w:r>
          </w:p>
        </w:tc>
        <w:tc>
          <w:tcPr>
            <w:tcW w:w="1466" w:type="dxa"/>
            <w:noWrap/>
            <w:hideMark/>
          </w:tcPr>
          <w:p w14:paraId="40189963" w14:textId="77777777" w:rsidR="00FF17EA" w:rsidRPr="00FF17EA" w:rsidRDefault="00FF17EA" w:rsidP="00FF17EA">
            <w:pPr>
              <w:jc w:val="center"/>
              <w:rPr>
                <w:b/>
                <w:bCs/>
                <w:lang w:eastAsia="en-AU"/>
              </w:rPr>
            </w:pPr>
            <w:r w:rsidRPr="00FF17EA">
              <w:rPr>
                <w:b/>
                <w:bCs/>
                <w:lang w:eastAsia="en-AU"/>
              </w:rPr>
              <w:t>No. Activities</w:t>
            </w:r>
          </w:p>
        </w:tc>
        <w:tc>
          <w:tcPr>
            <w:tcW w:w="1435" w:type="dxa"/>
            <w:noWrap/>
            <w:hideMark/>
          </w:tcPr>
          <w:p w14:paraId="0AC13A64" w14:textId="77777777" w:rsidR="00FF17EA" w:rsidRPr="00FF17EA" w:rsidRDefault="00FF17EA">
            <w:pPr>
              <w:rPr>
                <w:b/>
                <w:bCs/>
                <w:lang w:eastAsia="en-AU"/>
              </w:rPr>
            </w:pPr>
            <w:r w:rsidRPr="00FF17EA">
              <w:rPr>
                <w:b/>
                <w:bCs/>
                <w:lang w:eastAsia="en-AU"/>
              </w:rPr>
              <w:t>Application</w:t>
            </w:r>
          </w:p>
        </w:tc>
        <w:tc>
          <w:tcPr>
            <w:tcW w:w="1435" w:type="dxa"/>
            <w:noWrap/>
            <w:hideMark/>
          </w:tcPr>
          <w:p w14:paraId="31E9D67C" w14:textId="77777777" w:rsidR="00FF17EA" w:rsidRPr="00FF17EA" w:rsidRDefault="00FF17EA">
            <w:pPr>
              <w:rPr>
                <w:b/>
                <w:bCs/>
                <w:lang w:eastAsia="en-AU"/>
              </w:rPr>
            </w:pPr>
            <w:r w:rsidRPr="00FF17EA">
              <w:rPr>
                <w:b/>
                <w:bCs/>
                <w:lang w:eastAsia="en-AU"/>
              </w:rPr>
              <w:t>Maintenance</w:t>
            </w:r>
          </w:p>
        </w:tc>
        <w:tc>
          <w:tcPr>
            <w:tcW w:w="1452" w:type="dxa"/>
            <w:noWrap/>
            <w:hideMark/>
          </w:tcPr>
          <w:p w14:paraId="72D629D0" w14:textId="77777777" w:rsidR="00FF17EA" w:rsidRPr="00FF17EA" w:rsidRDefault="00FF17EA">
            <w:pPr>
              <w:rPr>
                <w:b/>
                <w:bCs/>
                <w:lang w:eastAsia="en-AU"/>
              </w:rPr>
            </w:pPr>
            <w:r w:rsidRPr="00FF17EA">
              <w:rPr>
                <w:b/>
                <w:bCs/>
                <w:lang w:eastAsia="en-AU"/>
              </w:rPr>
              <w:t>Total Licence</w:t>
            </w:r>
          </w:p>
        </w:tc>
      </w:tr>
      <w:tr w:rsidR="00FF17EA" w:rsidRPr="00FF17EA" w14:paraId="7031F261" w14:textId="77777777" w:rsidTr="00D108F3">
        <w:trPr>
          <w:trHeight w:val="230"/>
        </w:trPr>
        <w:tc>
          <w:tcPr>
            <w:tcW w:w="3738" w:type="dxa"/>
            <w:vMerge w:val="restart"/>
            <w:noWrap/>
            <w:hideMark/>
          </w:tcPr>
          <w:p w14:paraId="12F3B174" w14:textId="77777777" w:rsidR="00FF17EA" w:rsidRPr="00FF17EA" w:rsidRDefault="00FF17EA">
            <w:pPr>
              <w:ind w:left="0" w:right="0"/>
              <w:rPr>
                <w:sz w:val="18"/>
                <w:lang w:eastAsia="en-AU"/>
              </w:rPr>
            </w:pPr>
            <w:r w:rsidRPr="00FF17EA">
              <w:rPr>
                <w:lang w:eastAsia="en-AU"/>
              </w:rPr>
              <w:t>Individual Licence</w:t>
            </w:r>
          </w:p>
          <w:p w14:paraId="29EB5B93" w14:textId="77777777" w:rsidR="00FF17EA" w:rsidRPr="00FF17EA" w:rsidRDefault="00FF17EA">
            <w:pPr>
              <w:ind w:left="0" w:right="0"/>
              <w:rPr>
                <w:sz w:val="18"/>
                <w:lang w:eastAsia="en-AU"/>
              </w:rPr>
            </w:pPr>
            <w:r w:rsidRPr="00FF17EA">
              <w:rPr>
                <w:lang w:eastAsia="en-AU"/>
              </w:rPr>
              <w:t> </w:t>
            </w:r>
          </w:p>
          <w:p w14:paraId="4524E53A" w14:textId="77777777" w:rsidR="00FF17EA" w:rsidRPr="00FF17EA" w:rsidRDefault="00FF17EA">
            <w:pPr>
              <w:ind w:left="0" w:right="0"/>
              <w:rPr>
                <w:sz w:val="18"/>
                <w:lang w:eastAsia="en-AU"/>
              </w:rPr>
            </w:pPr>
            <w:r w:rsidRPr="00FF17EA">
              <w:rPr>
                <w:lang w:eastAsia="en-AU"/>
              </w:rPr>
              <w:t> </w:t>
            </w:r>
          </w:p>
          <w:p w14:paraId="337ABF35" w14:textId="77777777" w:rsidR="00FF17EA" w:rsidRPr="00FF17EA" w:rsidRDefault="00FF17EA">
            <w:pPr>
              <w:ind w:left="0" w:right="0"/>
              <w:rPr>
                <w:sz w:val="18"/>
                <w:lang w:eastAsia="en-AU"/>
              </w:rPr>
            </w:pPr>
            <w:r w:rsidRPr="00FF17EA">
              <w:rPr>
                <w:lang w:eastAsia="en-AU"/>
              </w:rPr>
              <w:t> </w:t>
            </w:r>
          </w:p>
          <w:p w14:paraId="62376CA9" w14:textId="070625A1" w:rsidR="00FF17EA" w:rsidRPr="00FF17EA" w:rsidRDefault="00FF17EA">
            <w:pPr>
              <w:rPr>
                <w:lang w:eastAsia="en-AU"/>
              </w:rPr>
            </w:pPr>
            <w:r w:rsidRPr="00FF17EA">
              <w:rPr>
                <w:lang w:eastAsia="en-AU"/>
              </w:rPr>
              <w:t> </w:t>
            </w:r>
          </w:p>
        </w:tc>
        <w:tc>
          <w:tcPr>
            <w:tcW w:w="1466" w:type="dxa"/>
            <w:noWrap/>
            <w:hideMark/>
          </w:tcPr>
          <w:p w14:paraId="03507B98" w14:textId="77777777" w:rsidR="00FF17EA" w:rsidRPr="00FF17EA" w:rsidRDefault="00FF17EA" w:rsidP="00FF17EA">
            <w:pPr>
              <w:jc w:val="center"/>
              <w:rPr>
                <w:lang w:eastAsia="en-AU"/>
              </w:rPr>
            </w:pPr>
            <w:r w:rsidRPr="00FF17EA">
              <w:rPr>
                <w:lang w:eastAsia="en-AU"/>
              </w:rPr>
              <w:t>1</w:t>
            </w:r>
          </w:p>
        </w:tc>
        <w:tc>
          <w:tcPr>
            <w:tcW w:w="1435" w:type="dxa"/>
            <w:noWrap/>
            <w:hideMark/>
          </w:tcPr>
          <w:p w14:paraId="41A234C9" w14:textId="6544F95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70.00 </w:t>
            </w:r>
          </w:p>
        </w:tc>
        <w:tc>
          <w:tcPr>
            <w:tcW w:w="1435" w:type="dxa"/>
            <w:noWrap/>
            <w:hideMark/>
          </w:tcPr>
          <w:p w14:paraId="06CFD034" w14:textId="44285B5B"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389.20 </w:t>
            </w:r>
          </w:p>
        </w:tc>
        <w:tc>
          <w:tcPr>
            <w:tcW w:w="1452" w:type="dxa"/>
            <w:noWrap/>
            <w:hideMark/>
          </w:tcPr>
          <w:p w14:paraId="6D730273" w14:textId="1CFD0C19"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459.20 </w:t>
            </w:r>
          </w:p>
        </w:tc>
      </w:tr>
      <w:tr w:rsidR="00FF17EA" w:rsidRPr="00FF17EA" w14:paraId="431A109E" w14:textId="77777777" w:rsidTr="00D108F3">
        <w:trPr>
          <w:trHeight w:val="230"/>
        </w:trPr>
        <w:tc>
          <w:tcPr>
            <w:tcW w:w="3738" w:type="dxa"/>
            <w:vMerge/>
            <w:noWrap/>
            <w:hideMark/>
          </w:tcPr>
          <w:p w14:paraId="472C7623" w14:textId="42AF95E6" w:rsidR="00FF17EA" w:rsidRPr="00FF17EA" w:rsidRDefault="00FF17EA">
            <w:pPr>
              <w:rPr>
                <w:lang w:eastAsia="en-AU"/>
              </w:rPr>
            </w:pPr>
          </w:p>
        </w:tc>
        <w:tc>
          <w:tcPr>
            <w:tcW w:w="1466" w:type="dxa"/>
            <w:noWrap/>
            <w:hideMark/>
          </w:tcPr>
          <w:p w14:paraId="0FBD0325" w14:textId="77777777" w:rsidR="00FF17EA" w:rsidRPr="00FF17EA" w:rsidRDefault="00FF17EA" w:rsidP="00FF17EA">
            <w:pPr>
              <w:jc w:val="center"/>
              <w:rPr>
                <w:lang w:eastAsia="en-AU"/>
              </w:rPr>
            </w:pPr>
            <w:r w:rsidRPr="00FF17EA">
              <w:rPr>
                <w:lang w:eastAsia="en-AU"/>
              </w:rPr>
              <w:t>2</w:t>
            </w:r>
          </w:p>
        </w:tc>
        <w:tc>
          <w:tcPr>
            <w:tcW w:w="1435" w:type="dxa"/>
            <w:noWrap/>
            <w:hideMark/>
          </w:tcPr>
          <w:p w14:paraId="612E6188" w14:textId="4D2F3BB2"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77.00 </w:t>
            </w:r>
          </w:p>
        </w:tc>
        <w:tc>
          <w:tcPr>
            <w:tcW w:w="1435" w:type="dxa"/>
            <w:noWrap/>
            <w:hideMark/>
          </w:tcPr>
          <w:p w14:paraId="4B6075FF" w14:textId="1951B61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446.50 </w:t>
            </w:r>
          </w:p>
        </w:tc>
        <w:tc>
          <w:tcPr>
            <w:tcW w:w="1452" w:type="dxa"/>
            <w:noWrap/>
            <w:hideMark/>
          </w:tcPr>
          <w:p w14:paraId="4E9B9E70" w14:textId="63721CD9"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523.50 </w:t>
            </w:r>
          </w:p>
        </w:tc>
      </w:tr>
      <w:tr w:rsidR="00FF17EA" w:rsidRPr="00FF17EA" w14:paraId="4F2F9E1C" w14:textId="77777777" w:rsidTr="00D108F3">
        <w:trPr>
          <w:trHeight w:val="230"/>
        </w:trPr>
        <w:tc>
          <w:tcPr>
            <w:tcW w:w="3738" w:type="dxa"/>
            <w:vMerge/>
            <w:noWrap/>
            <w:hideMark/>
          </w:tcPr>
          <w:p w14:paraId="59FC66BF" w14:textId="5EF1A390" w:rsidR="00FF17EA" w:rsidRPr="00FF17EA" w:rsidRDefault="00FF17EA">
            <w:pPr>
              <w:rPr>
                <w:lang w:eastAsia="en-AU"/>
              </w:rPr>
            </w:pPr>
          </w:p>
        </w:tc>
        <w:tc>
          <w:tcPr>
            <w:tcW w:w="1466" w:type="dxa"/>
            <w:noWrap/>
            <w:hideMark/>
          </w:tcPr>
          <w:p w14:paraId="42FE9610" w14:textId="77777777" w:rsidR="00FF17EA" w:rsidRPr="00FF17EA" w:rsidRDefault="00FF17EA" w:rsidP="00FF17EA">
            <w:pPr>
              <w:jc w:val="center"/>
              <w:rPr>
                <w:lang w:eastAsia="en-AU"/>
              </w:rPr>
            </w:pPr>
            <w:r w:rsidRPr="00FF17EA">
              <w:rPr>
                <w:lang w:eastAsia="en-AU"/>
              </w:rPr>
              <w:t>3</w:t>
            </w:r>
          </w:p>
        </w:tc>
        <w:tc>
          <w:tcPr>
            <w:tcW w:w="1435" w:type="dxa"/>
            <w:noWrap/>
            <w:hideMark/>
          </w:tcPr>
          <w:p w14:paraId="3BCFB423" w14:textId="5CC4A610"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84.00 </w:t>
            </w:r>
          </w:p>
        </w:tc>
        <w:tc>
          <w:tcPr>
            <w:tcW w:w="1435" w:type="dxa"/>
            <w:noWrap/>
            <w:hideMark/>
          </w:tcPr>
          <w:p w14:paraId="2A3E71C4" w14:textId="4A5EAF62"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474.10 </w:t>
            </w:r>
          </w:p>
        </w:tc>
        <w:tc>
          <w:tcPr>
            <w:tcW w:w="1452" w:type="dxa"/>
            <w:noWrap/>
            <w:hideMark/>
          </w:tcPr>
          <w:p w14:paraId="389F37E2" w14:textId="21ACA5DE"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558.10 </w:t>
            </w:r>
          </w:p>
        </w:tc>
      </w:tr>
      <w:tr w:rsidR="00FF17EA" w:rsidRPr="00FF17EA" w14:paraId="06D7F70C" w14:textId="77777777" w:rsidTr="00D108F3">
        <w:trPr>
          <w:trHeight w:val="230"/>
        </w:trPr>
        <w:tc>
          <w:tcPr>
            <w:tcW w:w="3738" w:type="dxa"/>
            <w:vMerge/>
            <w:noWrap/>
            <w:hideMark/>
          </w:tcPr>
          <w:p w14:paraId="70D17D2C" w14:textId="40047164" w:rsidR="00FF17EA" w:rsidRPr="00FF17EA" w:rsidRDefault="00FF17EA">
            <w:pPr>
              <w:rPr>
                <w:lang w:eastAsia="en-AU"/>
              </w:rPr>
            </w:pPr>
          </w:p>
        </w:tc>
        <w:tc>
          <w:tcPr>
            <w:tcW w:w="1466" w:type="dxa"/>
            <w:noWrap/>
            <w:hideMark/>
          </w:tcPr>
          <w:p w14:paraId="2FBBFB7E" w14:textId="77777777" w:rsidR="00FF17EA" w:rsidRPr="00FF17EA" w:rsidRDefault="00FF17EA" w:rsidP="00FF17EA">
            <w:pPr>
              <w:jc w:val="center"/>
              <w:rPr>
                <w:lang w:eastAsia="en-AU"/>
              </w:rPr>
            </w:pPr>
            <w:r w:rsidRPr="00FF17EA">
              <w:rPr>
                <w:lang w:eastAsia="en-AU"/>
              </w:rPr>
              <w:t>4</w:t>
            </w:r>
          </w:p>
        </w:tc>
        <w:tc>
          <w:tcPr>
            <w:tcW w:w="1435" w:type="dxa"/>
            <w:noWrap/>
            <w:hideMark/>
          </w:tcPr>
          <w:p w14:paraId="59ABEA03" w14:textId="7BB06324"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90.90 </w:t>
            </w:r>
          </w:p>
        </w:tc>
        <w:tc>
          <w:tcPr>
            <w:tcW w:w="1435" w:type="dxa"/>
            <w:noWrap/>
            <w:hideMark/>
          </w:tcPr>
          <w:p w14:paraId="333D5BBE" w14:textId="0FBFFB64"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503.70 </w:t>
            </w:r>
          </w:p>
        </w:tc>
        <w:tc>
          <w:tcPr>
            <w:tcW w:w="1452" w:type="dxa"/>
            <w:noWrap/>
            <w:hideMark/>
          </w:tcPr>
          <w:p w14:paraId="53F55C04" w14:textId="2C5D9039"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594.60 </w:t>
            </w:r>
          </w:p>
        </w:tc>
      </w:tr>
      <w:tr w:rsidR="00FF17EA" w:rsidRPr="00FF17EA" w14:paraId="6AFDB788" w14:textId="77777777" w:rsidTr="00D108F3">
        <w:trPr>
          <w:trHeight w:val="230"/>
        </w:trPr>
        <w:tc>
          <w:tcPr>
            <w:tcW w:w="3738" w:type="dxa"/>
            <w:vMerge/>
            <w:noWrap/>
            <w:hideMark/>
          </w:tcPr>
          <w:p w14:paraId="262D48EC" w14:textId="678614FA" w:rsidR="00FF17EA" w:rsidRPr="00FF17EA" w:rsidRDefault="00FF17EA">
            <w:pPr>
              <w:rPr>
                <w:lang w:eastAsia="en-AU"/>
              </w:rPr>
            </w:pPr>
          </w:p>
        </w:tc>
        <w:tc>
          <w:tcPr>
            <w:tcW w:w="1466" w:type="dxa"/>
            <w:noWrap/>
            <w:hideMark/>
          </w:tcPr>
          <w:p w14:paraId="32535D1A" w14:textId="77777777" w:rsidR="00FF17EA" w:rsidRPr="00FF17EA" w:rsidRDefault="00FF17EA" w:rsidP="00FF17EA">
            <w:pPr>
              <w:jc w:val="center"/>
              <w:rPr>
                <w:lang w:eastAsia="en-AU"/>
              </w:rPr>
            </w:pPr>
            <w:r w:rsidRPr="00FF17EA">
              <w:rPr>
                <w:lang w:eastAsia="en-AU"/>
              </w:rPr>
              <w:t>5</w:t>
            </w:r>
          </w:p>
        </w:tc>
        <w:tc>
          <w:tcPr>
            <w:tcW w:w="1435" w:type="dxa"/>
            <w:noWrap/>
            <w:hideMark/>
          </w:tcPr>
          <w:p w14:paraId="43278058" w14:textId="036E2595"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97.90 </w:t>
            </w:r>
          </w:p>
        </w:tc>
        <w:tc>
          <w:tcPr>
            <w:tcW w:w="1435" w:type="dxa"/>
            <w:noWrap/>
            <w:hideMark/>
          </w:tcPr>
          <w:p w14:paraId="5D7377E6" w14:textId="496F8BC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532.30 </w:t>
            </w:r>
          </w:p>
        </w:tc>
        <w:tc>
          <w:tcPr>
            <w:tcW w:w="1452" w:type="dxa"/>
            <w:noWrap/>
            <w:hideMark/>
          </w:tcPr>
          <w:p w14:paraId="31CB9AC8" w14:textId="79D8BE90"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630.20 </w:t>
            </w:r>
          </w:p>
        </w:tc>
      </w:tr>
      <w:tr w:rsidR="00FF17EA" w:rsidRPr="00FF17EA" w14:paraId="71D8654B" w14:textId="77777777" w:rsidTr="00D108F3">
        <w:trPr>
          <w:trHeight w:val="230"/>
        </w:trPr>
        <w:tc>
          <w:tcPr>
            <w:tcW w:w="3738" w:type="dxa"/>
            <w:vMerge w:val="restart"/>
            <w:noWrap/>
            <w:hideMark/>
          </w:tcPr>
          <w:p w14:paraId="594D3276" w14:textId="77777777" w:rsidR="00FF17EA" w:rsidRPr="00FF17EA" w:rsidRDefault="00FF17EA">
            <w:pPr>
              <w:ind w:left="0" w:right="0"/>
              <w:rPr>
                <w:sz w:val="18"/>
                <w:lang w:eastAsia="en-AU"/>
              </w:rPr>
            </w:pPr>
            <w:r w:rsidRPr="00FF17EA">
              <w:rPr>
                <w:lang w:eastAsia="en-AU"/>
              </w:rPr>
              <w:t>Business Licence (Natural Person)</w:t>
            </w:r>
          </w:p>
          <w:p w14:paraId="0195B410" w14:textId="77777777" w:rsidR="00FF17EA" w:rsidRPr="00FF17EA" w:rsidRDefault="00FF17EA">
            <w:pPr>
              <w:ind w:left="0" w:right="0"/>
              <w:rPr>
                <w:sz w:val="18"/>
                <w:lang w:eastAsia="en-AU"/>
              </w:rPr>
            </w:pPr>
            <w:r w:rsidRPr="00FF17EA">
              <w:rPr>
                <w:lang w:eastAsia="en-AU"/>
              </w:rPr>
              <w:t> </w:t>
            </w:r>
          </w:p>
          <w:p w14:paraId="67297019" w14:textId="77777777" w:rsidR="00FF17EA" w:rsidRPr="00FF17EA" w:rsidRDefault="00FF17EA">
            <w:pPr>
              <w:ind w:left="0" w:right="0"/>
              <w:rPr>
                <w:sz w:val="18"/>
                <w:lang w:eastAsia="en-AU"/>
              </w:rPr>
            </w:pPr>
            <w:r w:rsidRPr="00FF17EA">
              <w:rPr>
                <w:lang w:eastAsia="en-AU"/>
              </w:rPr>
              <w:t> </w:t>
            </w:r>
          </w:p>
          <w:p w14:paraId="3BBE6851" w14:textId="77777777" w:rsidR="00FF17EA" w:rsidRPr="00FF17EA" w:rsidRDefault="00FF17EA">
            <w:pPr>
              <w:ind w:left="0" w:right="0"/>
              <w:rPr>
                <w:sz w:val="18"/>
                <w:lang w:eastAsia="en-AU"/>
              </w:rPr>
            </w:pPr>
            <w:r w:rsidRPr="00FF17EA">
              <w:rPr>
                <w:lang w:eastAsia="en-AU"/>
              </w:rPr>
              <w:t> </w:t>
            </w:r>
          </w:p>
          <w:p w14:paraId="2276C42F" w14:textId="12B4CCB0" w:rsidR="00FF17EA" w:rsidRPr="00FF17EA" w:rsidRDefault="00FF17EA">
            <w:pPr>
              <w:rPr>
                <w:lang w:eastAsia="en-AU"/>
              </w:rPr>
            </w:pPr>
            <w:r w:rsidRPr="00FF17EA">
              <w:rPr>
                <w:lang w:eastAsia="en-AU"/>
              </w:rPr>
              <w:t> </w:t>
            </w:r>
          </w:p>
        </w:tc>
        <w:tc>
          <w:tcPr>
            <w:tcW w:w="1466" w:type="dxa"/>
            <w:noWrap/>
            <w:hideMark/>
          </w:tcPr>
          <w:p w14:paraId="41510894" w14:textId="77777777" w:rsidR="00FF17EA" w:rsidRPr="00FF17EA" w:rsidRDefault="00FF17EA" w:rsidP="00FF17EA">
            <w:pPr>
              <w:jc w:val="center"/>
              <w:rPr>
                <w:lang w:eastAsia="en-AU"/>
              </w:rPr>
            </w:pPr>
            <w:r w:rsidRPr="00FF17EA">
              <w:rPr>
                <w:lang w:eastAsia="en-AU"/>
              </w:rPr>
              <w:t>1</w:t>
            </w:r>
          </w:p>
        </w:tc>
        <w:tc>
          <w:tcPr>
            <w:tcW w:w="1435" w:type="dxa"/>
            <w:noWrap/>
            <w:hideMark/>
          </w:tcPr>
          <w:p w14:paraId="5CC2F6DF" w14:textId="1AD49F0E"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153.90 </w:t>
            </w:r>
          </w:p>
        </w:tc>
        <w:tc>
          <w:tcPr>
            <w:tcW w:w="1435" w:type="dxa"/>
            <w:noWrap/>
            <w:hideMark/>
          </w:tcPr>
          <w:p w14:paraId="3E85B270" w14:textId="37597FEB"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892.90 </w:t>
            </w:r>
          </w:p>
        </w:tc>
        <w:tc>
          <w:tcPr>
            <w:tcW w:w="1452" w:type="dxa"/>
            <w:noWrap/>
            <w:hideMark/>
          </w:tcPr>
          <w:p w14:paraId="2A1B3BF8" w14:textId="7F8D26A5"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1,046.80 </w:t>
            </w:r>
          </w:p>
        </w:tc>
      </w:tr>
      <w:tr w:rsidR="00FF17EA" w:rsidRPr="00FF17EA" w14:paraId="50C2D579" w14:textId="77777777" w:rsidTr="00D108F3">
        <w:trPr>
          <w:trHeight w:val="230"/>
        </w:trPr>
        <w:tc>
          <w:tcPr>
            <w:tcW w:w="3738" w:type="dxa"/>
            <w:vMerge/>
            <w:noWrap/>
            <w:hideMark/>
          </w:tcPr>
          <w:p w14:paraId="15B2E409" w14:textId="0D13945B" w:rsidR="00FF17EA" w:rsidRPr="00FF17EA" w:rsidRDefault="00FF17EA">
            <w:pPr>
              <w:rPr>
                <w:lang w:eastAsia="en-AU"/>
              </w:rPr>
            </w:pPr>
          </w:p>
        </w:tc>
        <w:tc>
          <w:tcPr>
            <w:tcW w:w="1466" w:type="dxa"/>
            <w:noWrap/>
            <w:hideMark/>
          </w:tcPr>
          <w:p w14:paraId="0AE2F56E" w14:textId="77777777" w:rsidR="00FF17EA" w:rsidRPr="00FF17EA" w:rsidRDefault="00FF17EA" w:rsidP="00FF17EA">
            <w:pPr>
              <w:jc w:val="center"/>
              <w:rPr>
                <w:lang w:eastAsia="en-AU"/>
              </w:rPr>
            </w:pPr>
            <w:r w:rsidRPr="00FF17EA">
              <w:rPr>
                <w:lang w:eastAsia="en-AU"/>
              </w:rPr>
              <w:t>2</w:t>
            </w:r>
          </w:p>
        </w:tc>
        <w:tc>
          <w:tcPr>
            <w:tcW w:w="1435" w:type="dxa"/>
            <w:noWrap/>
            <w:hideMark/>
          </w:tcPr>
          <w:p w14:paraId="3FEE2D5D" w14:textId="60499BD3"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169.30 </w:t>
            </w:r>
          </w:p>
        </w:tc>
        <w:tc>
          <w:tcPr>
            <w:tcW w:w="1435" w:type="dxa"/>
            <w:noWrap/>
            <w:hideMark/>
          </w:tcPr>
          <w:p w14:paraId="2F4F2FAA" w14:textId="040BFCF0"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950.20 </w:t>
            </w:r>
          </w:p>
        </w:tc>
        <w:tc>
          <w:tcPr>
            <w:tcW w:w="1452" w:type="dxa"/>
            <w:noWrap/>
            <w:hideMark/>
          </w:tcPr>
          <w:p w14:paraId="0BE44F4C" w14:textId="5AF336A9"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1,119.50 </w:t>
            </w:r>
          </w:p>
        </w:tc>
      </w:tr>
      <w:tr w:rsidR="00FF17EA" w:rsidRPr="00FF17EA" w14:paraId="6CCABBDE" w14:textId="77777777" w:rsidTr="00D108F3">
        <w:trPr>
          <w:trHeight w:val="230"/>
        </w:trPr>
        <w:tc>
          <w:tcPr>
            <w:tcW w:w="3738" w:type="dxa"/>
            <w:vMerge/>
            <w:noWrap/>
            <w:hideMark/>
          </w:tcPr>
          <w:p w14:paraId="5D846C01" w14:textId="4FAF7C7E" w:rsidR="00FF17EA" w:rsidRPr="00FF17EA" w:rsidRDefault="00FF17EA">
            <w:pPr>
              <w:rPr>
                <w:lang w:eastAsia="en-AU"/>
              </w:rPr>
            </w:pPr>
          </w:p>
        </w:tc>
        <w:tc>
          <w:tcPr>
            <w:tcW w:w="1466" w:type="dxa"/>
            <w:noWrap/>
            <w:hideMark/>
          </w:tcPr>
          <w:p w14:paraId="3C305587" w14:textId="77777777" w:rsidR="00FF17EA" w:rsidRPr="00FF17EA" w:rsidRDefault="00FF17EA" w:rsidP="00FF17EA">
            <w:pPr>
              <w:jc w:val="center"/>
              <w:rPr>
                <w:lang w:eastAsia="en-AU"/>
              </w:rPr>
            </w:pPr>
            <w:r w:rsidRPr="00FF17EA">
              <w:rPr>
                <w:lang w:eastAsia="en-AU"/>
              </w:rPr>
              <w:t>3</w:t>
            </w:r>
          </w:p>
        </w:tc>
        <w:tc>
          <w:tcPr>
            <w:tcW w:w="1435" w:type="dxa"/>
            <w:noWrap/>
            <w:hideMark/>
          </w:tcPr>
          <w:p w14:paraId="254DFCDA" w14:textId="25C01CEC"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184.60 </w:t>
            </w:r>
          </w:p>
        </w:tc>
        <w:tc>
          <w:tcPr>
            <w:tcW w:w="1435" w:type="dxa"/>
            <w:noWrap/>
            <w:hideMark/>
          </w:tcPr>
          <w:p w14:paraId="3BEA04BF" w14:textId="5622557C"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1,064.70 </w:t>
            </w:r>
          </w:p>
        </w:tc>
        <w:tc>
          <w:tcPr>
            <w:tcW w:w="1452" w:type="dxa"/>
            <w:noWrap/>
            <w:hideMark/>
          </w:tcPr>
          <w:p w14:paraId="1BC4ED27" w14:textId="7E366862"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1,249.30 </w:t>
            </w:r>
          </w:p>
        </w:tc>
      </w:tr>
      <w:tr w:rsidR="00FF17EA" w:rsidRPr="00FF17EA" w14:paraId="5EC9B005" w14:textId="77777777" w:rsidTr="00D108F3">
        <w:trPr>
          <w:trHeight w:val="230"/>
        </w:trPr>
        <w:tc>
          <w:tcPr>
            <w:tcW w:w="3738" w:type="dxa"/>
            <w:vMerge/>
            <w:noWrap/>
            <w:hideMark/>
          </w:tcPr>
          <w:p w14:paraId="38963786" w14:textId="3C014AEA" w:rsidR="00FF17EA" w:rsidRPr="00FF17EA" w:rsidRDefault="00FF17EA">
            <w:pPr>
              <w:rPr>
                <w:lang w:eastAsia="en-AU"/>
              </w:rPr>
            </w:pPr>
          </w:p>
        </w:tc>
        <w:tc>
          <w:tcPr>
            <w:tcW w:w="1466" w:type="dxa"/>
            <w:noWrap/>
            <w:hideMark/>
          </w:tcPr>
          <w:p w14:paraId="75DCDD87" w14:textId="77777777" w:rsidR="00FF17EA" w:rsidRPr="00FF17EA" w:rsidRDefault="00FF17EA" w:rsidP="00FF17EA">
            <w:pPr>
              <w:jc w:val="center"/>
              <w:rPr>
                <w:lang w:eastAsia="en-AU"/>
              </w:rPr>
            </w:pPr>
            <w:r w:rsidRPr="00FF17EA">
              <w:rPr>
                <w:lang w:eastAsia="en-AU"/>
              </w:rPr>
              <w:t>4</w:t>
            </w:r>
          </w:p>
        </w:tc>
        <w:tc>
          <w:tcPr>
            <w:tcW w:w="1435" w:type="dxa"/>
            <w:noWrap/>
            <w:hideMark/>
          </w:tcPr>
          <w:p w14:paraId="352B79AE" w14:textId="6E3C7535"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200.00 </w:t>
            </w:r>
          </w:p>
        </w:tc>
        <w:tc>
          <w:tcPr>
            <w:tcW w:w="1435" w:type="dxa"/>
            <w:noWrap/>
            <w:hideMark/>
          </w:tcPr>
          <w:p w14:paraId="5FE7E8F1" w14:textId="20695F94"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1,121.90 </w:t>
            </w:r>
          </w:p>
        </w:tc>
        <w:tc>
          <w:tcPr>
            <w:tcW w:w="1452" w:type="dxa"/>
            <w:noWrap/>
            <w:hideMark/>
          </w:tcPr>
          <w:p w14:paraId="5EE0527F" w14:textId="058464D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1,321.90 </w:t>
            </w:r>
          </w:p>
        </w:tc>
      </w:tr>
      <w:tr w:rsidR="00FF17EA" w:rsidRPr="00FF17EA" w14:paraId="53CECC47" w14:textId="77777777" w:rsidTr="00D108F3">
        <w:trPr>
          <w:trHeight w:val="230"/>
        </w:trPr>
        <w:tc>
          <w:tcPr>
            <w:tcW w:w="3738" w:type="dxa"/>
            <w:vMerge/>
            <w:noWrap/>
            <w:hideMark/>
          </w:tcPr>
          <w:p w14:paraId="7A72A081" w14:textId="6911D3B0" w:rsidR="00FF17EA" w:rsidRPr="00FF17EA" w:rsidRDefault="00FF17EA">
            <w:pPr>
              <w:rPr>
                <w:lang w:eastAsia="en-AU"/>
              </w:rPr>
            </w:pPr>
          </w:p>
        </w:tc>
        <w:tc>
          <w:tcPr>
            <w:tcW w:w="1466" w:type="dxa"/>
            <w:noWrap/>
            <w:hideMark/>
          </w:tcPr>
          <w:p w14:paraId="1A847C43" w14:textId="77777777" w:rsidR="00FF17EA" w:rsidRPr="00FF17EA" w:rsidRDefault="00FF17EA" w:rsidP="00FF17EA">
            <w:pPr>
              <w:jc w:val="center"/>
              <w:rPr>
                <w:lang w:eastAsia="en-AU"/>
              </w:rPr>
            </w:pPr>
            <w:r w:rsidRPr="00FF17EA">
              <w:rPr>
                <w:lang w:eastAsia="en-AU"/>
              </w:rPr>
              <w:t>5</w:t>
            </w:r>
          </w:p>
        </w:tc>
        <w:tc>
          <w:tcPr>
            <w:tcW w:w="1435" w:type="dxa"/>
            <w:noWrap/>
            <w:hideMark/>
          </w:tcPr>
          <w:p w14:paraId="679FD281" w14:textId="01902270"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215.40 </w:t>
            </w:r>
          </w:p>
        </w:tc>
        <w:tc>
          <w:tcPr>
            <w:tcW w:w="1435" w:type="dxa"/>
            <w:noWrap/>
            <w:hideMark/>
          </w:tcPr>
          <w:p w14:paraId="795B9998" w14:textId="1185D245"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1,179.10 </w:t>
            </w:r>
          </w:p>
        </w:tc>
        <w:tc>
          <w:tcPr>
            <w:tcW w:w="1452" w:type="dxa"/>
            <w:noWrap/>
            <w:hideMark/>
          </w:tcPr>
          <w:p w14:paraId="4A204A4A" w14:textId="55E061A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1,394.50 </w:t>
            </w:r>
          </w:p>
        </w:tc>
      </w:tr>
      <w:tr w:rsidR="00D108F3" w:rsidRPr="00FF17EA" w14:paraId="73605F07" w14:textId="77777777" w:rsidTr="00D108F3">
        <w:trPr>
          <w:trHeight w:val="230"/>
        </w:trPr>
        <w:tc>
          <w:tcPr>
            <w:tcW w:w="3738" w:type="dxa"/>
            <w:vMerge w:val="restart"/>
            <w:noWrap/>
            <w:hideMark/>
          </w:tcPr>
          <w:p w14:paraId="24416B7D" w14:textId="77777777" w:rsidR="00FF17EA" w:rsidRPr="00FF17EA" w:rsidRDefault="00FF17EA">
            <w:pPr>
              <w:ind w:left="0" w:right="0"/>
              <w:rPr>
                <w:sz w:val="18"/>
                <w:lang w:eastAsia="en-AU"/>
              </w:rPr>
            </w:pPr>
            <w:r w:rsidRPr="00FF17EA">
              <w:rPr>
                <w:lang w:eastAsia="en-AU"/>
              </w:rPr>
              <w:t>Business Licence (Body Corporate)</w:t>
            </w:r>
          </w:p>
          <w:p w14:paraId="7CC55DC4" w14:textId="77777777" w:rsidR="00FF17EA" w:rsidRPr="00FF17EA" w:rsidRDefault="00FF17EA">
            <w:pPr>
              <w:ind w:left="0" w:right="0"/>
              <w:rPr>
                <w:sz w:val="18"/>
                <w:lang w:eastAsia="en-AU"/>
              </w:rPr>
            </w:pPr>
            <w:r w:rsidRPr="00FF17EA">
              <w:rPr>
                <w:lang w:eastAsia="en-AU"/>
              </w:rPr>
              <w:t> </w:t>
            </w:r>
          </w:p>
          <w:p w14:paraId="3AAB33B8" w14:textId="77777777" w:rsidR="00FF17EA" w:rsidRPr="00FF17EA" w:rsidRDefault="00FF17EA">
            <w:pPr>
              <w:ind w:left="0" w:right="0"/>
              <w:rPr>
                <w:sz w:val="18"/>
                <w:lang w:eastAsia="en-AU"/>
              </w:rPr>
            </w:pPr>
            <w:r w:rsidRPr="00FF17EA">
              <w:rPr>
                <w:lang w:eastAsia="en-AU"/>
              </w:rPr>
              <w:t> </w:t>
            </w:r>
          </w:p>
          <w:p w14:paraId="54EBFC13" w14:textId="77777777" w:rsidR="00FF17EA" w:rsidRPr="00FF17EA" w:rsidRDefault="00FF17EA">
            <w:pPr>
              <w:ind w:left="0" w:right="0"/>
              <w:rPr>
                <w:sz w:val="18"/>
                <w:lang w:eastAsia="en-AU"/>
              </w:rPr>
            </w:pPr>
            <w:r w:rsidRPr="00FF17EA">
              <w:rPr>
                <w:lang w:eastAsia="en-AU"/>
              </w:rPr>
              <w:t> </w:t>
            </w:r>
          </w:p>
          <w:p w14:paraId="3F7FA000" w14:textId="7C3243C2" w:rsidR="00FF17EA" w:rsidRPr="00FF17EA" w:rsidRDefault="00FF17EA">
            <w:pPr>
              <w:rPr>
                <w:lang w:eastAsia="en-AU"/>
              </w:rPr>
            </w:pPr>
            <w:r w:rsidRPr="00FF17EA">
              <w:rPr>
                <w:lang w:eastAsia="en-AU"/>
              </w:rPr>
              <w:t> </w:t>
            </w:r>
          </w:p>
        </w:tc>
        <w:tc>
          <w:tcPr>
            <w:tcW w:w="1466" w:type="dxa"/>
            <w:noWrap/>
            <w:hideMark/>
          </w:tcPr>
          <w:p w14:paraId="1E2A0288" w14:textId="77777777" w:rsidR="00FF17EA" w:rsidRPr="00FF17EA" w:rsidRDefault="00FF17EA" w:rsidP="00FF17EA">
            <w:pPr>
              <w:jc w:val="center"/>
              <w:rPr>
                <w:lang w:eastAsia="en-AU"/>
              </w:rPr>
            </w:pPr>
            <w:r w:rsidRPr="00FF17EA">
              <w:rPr>
                <w:lang w:eastAsia="en-AU"/>
              </w:rPr>
              <w:t>1</w:t>
            </w:r>
          </w:p>
        </w:tc>
        <w:tc>
          <w:tcPr>
            <w:tcW w:w="1435" w:type="dxa"/>
            <w:noWrap/>
            <w:hideMark/>
          </w:tcPr>
          <w:p w14:paraId="4CAFEFC6" w14:textId="58913BF3"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256.50 </w:t>
            </w:r>
          </w:p>
        </w:tc>
        <w:tc>
          <w:tcPr>
            <w:tcW w:w="1435" w:type="dxa"/>
            <w:noWrap/>
            <w:hideMark/>
          </w:tcPr>
          <w:p w14:paraId="148E6D01" w14:textId="56B5C6D2"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1,453.90 </w:t>
            </w:r>
          </w:p>
        </w:tc>
        <w:tc>
          <w:tcPr>
            <w:tcW w:w="1452" w:type="dxa"/>
            <w:noWrap/>
            <w:hideMark/>
          </w:tcPr>
          <w:p w14:paraId="36F86C52" w14:textId="1699558F"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1,710.40 </w:t>
            </w:r>
          </w:p>
        </w:tc>
      </w:tr>
      <w:tr w:rsidR="00D108F3" w:rsidRPr="00FF17EA" w14:paraId="6D2FDC78" w14:textId="77777777" w:rsidTr="00D108F3">
        <w:trPr>
          <w:trHeight w:val="230"/>
        </w:trPr>
        <w:tc>
          <w:tcPr>
            <w:tcW w:w="3738" w:type="dxa"/>
            <w:vMerge/>
            <w:noWrap/>
            <w:hideMark/>
          </w:tcPr>
          <w:p w14:paraId="532A7632" w14:textId="7C1ED0CA" w:rsidR="00FF17EA" w:rsidRPr="00FF17EA" w:rsidRDefault="00FF17EA">
            <w:pPr>
              <w:rPr>
                <w:lang w:eastAsia="en-AU"/>
              </w:rPr>
            </w:pPr>
          </w:p>
        </w:tc>
        <w:tc>
          <w:tcPr>
            <w:tcW w:w="1466" w:type="dxa"/>
            <w:noWrap/>
            <w:hideMark/>
          </w:tcPr>
          <w:p w14:paraId="1F053050" w14:textId="77777777" w:rsidR="00FF17EA" w:rsidRPr="00FF17EA" w:rsidRDefault="00FF17EA" w:rsidP="00FF17EA">
            <w:pPr>
              <w:jc w:val="center"/>
              <w:rPr>
                <w:lang w:eastAsia="en-AU"/>
              </w:rPr>
            </w:pPr>
            <w:r w:rsidRPr="00FF17EA">
              <w:rPr>
                <w:lang w:eastAsia="en-AU"/>
              </w:rPr>
              <w:t>2</w:t>
            </w:r>
          </w:p>
        </w:tc>
        <w:tc>
          <w:tcPr>
            <w:tcW w:w="1435" w:type="dxa"/>
            <w:noWrap/>
            <w:hideMark/>
          </w:tcPr>
          <w:p w14:paraId="251B1FDE" w14:textId="17B9DE3D"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282.10 </w:t>
            </w:r>
          </w:p>
        </w:tc>
        <w:tc>
          <w:tcPr>
            <w:tcW w:w="1435" w:type="dxa"/>
            <w:noWrap/>
            <w:hideMark/>
          </w:tcPr>
          <w:p w14:paraId="1CA240F9" w14:textId="508F8C2C"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1,619.90 </w:t>
            </w:r>
          </w:p>
        </w:tc>
        <w:tc>
          <w:tcPr>
            <w:tcW w:w="1452" w:type="dxa"/>
            <w:noWrap/>
            <w:hideMark/>
          </w:tcPr>
          <w:p w14:paraId="17A34236" w14:textId="2E014ECD"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1,902.00 </w:t>
            </w:r>
          </w:p>
        </w:tc>
      </w:tr>
      <w:tr w:rsidR="00D108F3" w:rsidRPr="00FF17EA" w14:paraId="39A4A685" w14:textId="77777777" w:rsidTr="00D108F3">
        <w:trPr>
          <w:trHeight w:val="230"/>
        </w:trPr>
        <w:tc>
          <w:tcPr>
            <w:tcW w:w="3738" w:type="dxa"/>
            <w:vMerge/>
            <w:noWrap/>
            <w:hideMark/>
          </w:tcPr>
          <w:p w14:paraId="6029D30A" w14:textId="1D4D14E5" w:rsidR="00FF17EA" w:rsidRPr="00FF17EA" w:rsidRDefault="00FF17EA">
            <w:pPr>
              <w:rPr>
                <w:lang w:eastAsia="en-AU"/>
              </w:rPr>
            </w:pPr>
          </w:p>
        </w:tc>
        <w:tc>
          <w:tcPr>
            <w:tcW w:w="1466" w:type="dxa"/>
            <w:noWrap/>
            <w:hideMark/>
          </w:tcPr>
          <w:p w14:paraId="3F9212C1" w14:textId="77777777" w:rsidR="00FF17EA" w:rsidRPr="00FF17EA" w:rsidRDefault="00FF17EA" w:rsidP="00FF17EA">
            <w:pPr>
              <w:jc w:val="center"/>
              <w:rPr>
                <w:lang w:eastAsia="en-AU"/>
              </w:rPr>
            </w:pPr>
            <w:r w:rsidRPr="00FF17EA">
              <w:rPr>
                <w:lang w:eastAsia="en-AU"/>
              </w:rPr>
              <w:t>3</w:t>
            </w:r>
          </w:p>
        </w:tc>
        <w:tc>
          <w:tcPr>
            <w:tcW w:w="1435" w:type="dxa"/>
            <w:noWrap/>
            <w:hideMark/>
          </w:tcPr>
          <w:p w14:paraId="61E65412" w14:textId="74C9AB5B"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307.70 </w:t>
            </w:r>
          </w:p>
        </w:tc>
        <w:tc>
          <w:tcPr>
            <w:tcW w:w="1435" w:type="dxa"/>
            <w:noWrap/>
            <w:hideMark/>
          </w:tcPr>
          <w:p w14:paraId="5C342E33" w14:textId="77BFC3C2"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1,763.00 </w:t>
            </w:r>
          </w:p>
        </w:tc>
        <w:tc>
          <w:tcPr>
            <w:tcW w:w="1452" w:type="dxa"/>
            <w:noWrap/>
            <w:hideMark/>
          </w:tcPr>
          <w:p w14:paraId="58DD3770" w14:textId="12C5D381"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2,070.70 </w:t>
            </w:r>
          </w:p>
        </w:tc>
      </w:tr>
      <w:tr w:rsidR="00D108F3" w:rsidRPr="00FF17EA" w14:paraId="1B53E70F" w14:textId="77777777" w:rsidTr="00D108F3">
        <w:trPr>
          <w:trHeight w:val="230"/>
        </w:trPr>
        <w:tc>
          <w:tcPr>
            <w:tcW w:w="3738" w:type="dxa"/>
            <w:vMerge/>
            <w:noWrap/>
            <w:hideMark/>
          </w:tcPr>
          <w:p w14:paraId="7C950631" w14:textId="2D4EDA79" w:rsidR="00FF17EA" w:rsidRPr="00FF17EA" w:rsidRDefault="00FF17EA">
            <w:pPr>
              <w:rPr>
                <w:lang w:eastAsia="en-AU"/>
              </w:rPr>
            </w:pPr>
          </w:p>
        </w:tc>
        <w:tc>
          <w:tcPr>
            <w:tcW w:w="1466" w:type="dxa"/>
            <w:noWrap/>
            <w:hideMark/>
          </w:tcPr>
          <w:p w14:paraId="7C1B89BF" w14:textId="77777777" w:rsidR="00FF17EA" w:rsidRPr="00FF17EA" w:rsidRDefault="00FF17EA" w:rsidP="00FF17EA">
            <w:pPr>
              <w:jc w:val="center"/>
              <w:rPr>
                <w:lang w:eastAsia="en-AU"/>
              </w:rPr>
            </w:pPr>
            <w:r w:rsidRPr="00FF17EA">
              <w:rPr>
                <w:lang w:eastAsia="en-AU"/>
              </w:rPr>
              <w:t>4</w:t>
            </w:r>
          </w:p>
        </w:tc>
        <w:tc>
          <w:tcPr>
            <w:tcW w:w="1435" w:type="dxa"/>
            <w:noWrap/>
            <w:hideMark/>
          </w:tcPr>
          <w:p w14:paraId="47805FA5" w14:textId="330E69DF"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333.40 </w:t>
            </w:r>
          </w:p>
        </w:tc>
        <w:tc>
          <w:tcPr>
            <w:tcW w:w="1435" w:type="dxa"/>
            <w:noWrap/>
            <w:hideMark/>
          </w:tcPr>
          <w:p w14:paraId="22E20F24" w14:textId="4B0062CF"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1,900.40 </w:t>
            </w:r>
          </w:p>
        </w:tc>
        <w:tc>
          <w:tcPr>
            <w:tcW w:w="1452" w:type="dxa"/>
            <w:noWrap/>
            <w:hideMark/>
          </w:tcPr>
          <w:p w14:paraId="556B9585" w14:textId="68DB6E06"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2,233.80 </w:t>
            </w:r>
          </w:p>
        </w:tc>
      </w:tr>
      <w:tr w:rsidR="00D108F3" w:rsidRPr="00FF17EA" w14:paraId="018B02ED" w14:textId="77777777" w:rsidTr="00D108F3">
        <w:trPr>
          <w:trHeight w:val="230"/>
        </w:trPr>
        <w:tc>
          <w:tcPr>
            <w:tcW w:w="3738" w:type="dxa"/>
            <w:vMerge/>
            <w:noWrap/>
            <w:hideMark/>
          </w:tcPr>
          <w:p w14:paraId="7CD3F8D2" w14:textId="730EB4C4" w:rsidR="00FF17EA" w:rsidRPr="00FF17EA" w:rsidRDefault="00FF17EA">
            <w:pPr>
              <w:rPr>
                <w:lang w:eastAsia="en-AU"/>
              </w:rPr>
            </w:pPr>
          </w:p>
        </w:tc>
        <w:tc>
          <w:tcPr>
            <w:tcW w:w="1466" w:type="dxa"/>
            <w:noWrap/>
            <w:hideMark/>
          </w:tcPr>
          <w:p w14:paraId="6AFD9057" w14:textId="77777777" w:rsidR="00FF17EA" w:rsidRPr="00FF17EA" w:rsidRDefault="00FF17EA" w:rsidP="00FF17EA">
            <w:pPr>
              <w:jc w:val="center"/>
              <w:rPr>
                <w:lang w:eastAsia="en-AU"/>
              </w:rPr>
            </w:pPr>
            <w:r w:rsidRPr="00FF17EA">
              <w:rPr>
                <w:lang w:eastAsia="en-AU"/>
              </w:rPr>
              <w:t>5</w:t>
            </w:r>
          </w:p>
        </w:tc>
        <w:tc>
          <w:tcPr>
            <w:tcW w:w="1435" w:type="dxa"/>
            <w:noWrap/>
            <w:hideMark/>
          </w:tcPr>
          <w:p w14:paraId="1C9743C8" w14:textId="2F725AFD"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359.20 </w:t>
            </w:r>
          </w:p>
        </w:tc>
        <w:tc>
          <w:tcPr>
            <w:tcW w:w="1435" w:type="dxa"/>
            <w:noWrap/>
            <w:hideMark/>
          </w:tcPr>
          <w:p w14:paraId="721011F7" w14:textId="51197A9E"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2,037.70 </w:t>
            </w:r>
          </w:p>
        </w:tc>
        <w:tc>
          <w:tcPr>
            <w:tcW w:w="1452" w:type="dxa"/>
            <w:noWrap/>
            <w:hideMark/>
          </w:tcPr>
          <w:p w14:paraId="6D8E276A" w14:textId="5981F004"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2,396.90 </w:t>
            </w:r>
          </w:p>
        </w:tc>
      </w:tr>
      <w:tr w:rsidR="00D108F3" w:rsidRPr="00FF17EA" w14:paraId="393AABBD" w14:textId="77777777" w:rsidTr="00D108F3">
        <w:trPr>
          <w:trHeight w:val="230"/>
        </w:trPr>
        <w:tc>
          <w:tcPr>
            <w:tcW w:w="3738" w:type="dxa"/>
            <w:vMerge w:val="restart"/>
            <w:noWrap/>
            <w:hideMark/>
          </w:tcPr>
          <w:p w14:paraId="1A15EF02" w14:textId="77777777" w:rsidR="00FF17EA" w:rsidRPr="00FF17EA" w:rsidRDefault="00FF17EA">
            <w:pPr>
              <w:ind w:left="0" w:right="0"/>
              <w:rPr>
                <w:sz w:val="18"/>
                <w:lang w:eastAsia="en-AU"/>
              </w:rPr>
            </w:pPr>
            <w:r w:rsidRPr="00FF17EA">
              <w:rPr>
                <w:lang w:eastAsia="en-AU"/>
              </w:rPr>
              <w:t>Individual Registration</w:t>
            </w:r>
          </w:p>
          <w:p w14:paraId="25492A3F" w14:textId="567ECEB5" w:rsidR="00FF17EA" w:rsidRPr="00FF17EA" w:rsidRDefault="00FF17EA">
            <w:pPr>
              <w:rPr>
                <w:lang w:eastAsia="en-AU"/>
              </w:rPr>
            </w:pPr>
            <w:r w:rsidRPr="00FF17EA">
              <w:rPr>
                <w:lang w:eastAsia="en-AU"/>
              </w:rPr>
              <w:t> </w:t>
            </w:r>
          </w:p>
        </w:tc>
        <w:tc>
          <w:tcPr>
            <w:tcW w:w="1466" w:type="dxa"/>
            <w:noWrap/>
            <w:hideMark/>
          </w:tcPr>
          <w:p w14:paraId="02E66A30" w14:textId="77777777" w:rsidR="00FF17EA" w:rsidRPr="00FF17EA" w:rsidRDefault="00FF17EA" w:rsidP="00FF17EA">
            <w:pPr>
              <w:jc w:val="center"/>
              <w:rPr>
                <w:lang w:eastAsia="en-AU"/>
              </w:rPr>
            </w:pPr>
            <w:r w:rsidRPr="00FF17EA">
              <w:rPr>
                <w:lang w:eastAsia="en-AU"/>
              </w:rPr>
              <w:t>1</w:t>
            </w:r>
          </w:p>
        </w:tc>
        <w:tc>
          <w:tcPr>
            <w:tcW w:w="1435" w:type="dxa"/>
            <w:noWrap/>
            <w:hideMark/>
          </w:tcPr>
          <w:p w14:paraId="5C8468DC" w14:textId="4EDDF4AC"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52.80 </w:t>
            </w:r>
          </w:p>
        </w:tc>
        <w:tc>
          <w:tcPr>
            <w:tcW w:w="1435" w:type="dxa"/>
            <w:noWrap/>
            <w:hideMark/>
          </w:tcPr>
          <w:p w14:paraId="5EB7AD51" w14:textId="49BE2B0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286.20 </w:t>
            </w:r>
          </w:p>
        </w:tc>
        <w:tc>
          <w:tcPr>
            <w:tcW w:w="1452" w:type="dxa"/>
            <w:noWrap/>
            <w:hideMark/>
          </w:tcPr>
          <w:p w14:paraId="4780F4C3" w14:textId="784BFDB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339.00 </w:t>
            </w:r>
          </w:p>
        </w:tc>
      </w:tr>
      <w:tr w:rsidR="00D108F3" w:rsidRPr="00FF17EA" w14:paraId="32197C78" w14:textId="77777777" w:rsidTr="00D108F3">
        <w:trPr>
          <w:trHeight w:val="230"/>
        </w:trPr>
        <w:tc>
          <w:tcPr>
            <w:tcW w:w="3738" w:type="dxa"/>
            <w:vMerge/>
            <w:noWrap/>
            <w:hideMark/>
          </w:tcPr>
          <w:p w14:paraId="1ADB55C4" w14:textId="12E9F6AF" w:rsidR="00FF17EA" w:rsidRPr="00FF17EA" w:rsidRDefault="00FF17EA">
            <w:pPr>
              <w:rPr>
                <w:lang w:eastAsia="en-AU"/>
              </w:rPr>
            </w:pPr>
          </w:p>
        </w:tc>
        <w:tc>
          <w:tcPr>
            <w:tcW w:w="1466" w:type="dxa"/>
            <w:noWrap/>
            <w:hideMark/>
          </w:tcPr>
          <w:p w14:paraId="6B760D74" w14:textId="77777777" w:rsidR="00FF17EA" w:rsidRPr="00FF17EA" w:rsidRDefault="00FF17EA" w:rsidP="00FF17EA">
            <w:pPr>
              <w:jc w:val="center"/>
              <w:rPr>
                <w:lang w:eastAsia="en-AU"/>
              </w:rPr>
            </w:pPr>
            <w:r w:rsidRPr="00FF17EA">
              <w:rPr>
                <w:lang w:eastAsia="en-AU"/>
              </w:rPr>
              <w:t>2</w:t>
            </w:r>
          </w:p>
        </w:tc>
        <w:tc>
          <w:tcPr>
            <w:tcW w:w="1435" w:type="dxa"/>
            <w:noWrap/>
            <w:hideMark/>
          </w:tcPr>
          <w:p w14:paraId="2AEEFF65" w14:textId="05C12435"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58.20 </w:t>
            </w:r>
          </w:p>
        </w:tc>
        <w:tc>
          <w:tcPr>
            <w:tcW w:w="1435" w:type="dxa"/>
            <w:noWrap/>
            <w:hideMark/>
          </w:tcPr>
          <w:p w14:paraId="2DC8A108" w14:textId="64BFAED6"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309.10 </w:t>
            </w:r>
          </w:p>
        </w:tc>
        <w:tc>
          <w:tcPr>
            <w:tcW w:w="1452" w:type="dxa"/>
            <w:noWrap/>
            <w:hideMark/>
          </w:tcPr>
          <w:p w14:paraId="04D6737F" w14:textId="66FF9351"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367.30 </w:t>
            </w:r>
          </w:p>
        </w:tc>
      </w:tr>
      <w:tr w:rsidR="00FF17EA" w:rsidRPr="00FF17EA" w14:paraId="555BCCE9" w14:textId="77777777" w:rsidTr="00D108F3">
        <w:trPr>
          <w:trHeight w:val="230"/>
        </w:trPr>
        <w:tc>
          <w:tcPr>
            <w:tcW w:w="3738" w:type="dxa"/>
            <w:vMerge w:val="restart"/>
            <w:noWrap/>
            <w:hideMark/>
          </w:tcPr>
          <w:p w14:paraId="1E2A9171" w14:textId="77777777" w:rsidR="00FF17EA" w:rsidRPr="00FF17EA" w:rsidRDefault="00FF17EA">
            <w:pPr>
              <w:ind w:left="0" w:right="0"/>
              <w:rPr>
                <w:sz w:val="18"/>
                <w:lang w:eastAsia="en-AU"/>
              </w:rPr>
            </w:pPr>
            <w:r w:rsidRPr="00FF17EA">
              <w:rPr>
                <w:lang w:eastAsia="en-AU"/>
              </w:rPr>
              <w:t>Business Registration (Natural Person)</w:t>
            </w:r>
          </w:p>
          <w:p w14:paraId="16C8DD51" w14:textId="621A536C" w:rsidR="00FF17EA" w:rsidRPr="00FF17EA" w:rsidRDefault="00FF17EA">
            <w:pPr>
              <w:rPr>
                <w:lang w:eastAsia="en-AU"/>
              </w:rPr>
            </w:pPr>
            <w:r w:rsidRPr="00FF17EA">
              <w:rPr>
                <w:lang w:eastAsia="en-AU"/>
              </w:rPr>
              <w:t> </w:t>
            </w:r>
          </w:p>
        </w:tc>
        <w:tc>
          <w:tcPr>
            <w:tcW w:w="1466" w:type="dxa"/>
            <w:noWrap/>
            <w:hideMark/>
          </w:tcPr>
          <w:p w14:paraId="32DF181C" w14:textId="77777777" w:rsidR="00FF17EA" w:rsidRPr="00FF17EA" w:rsidRDefault="00FF17EA" w:rsidP="00FF17EA">
            <w:pPr>
              <w:jc w:val="center"/>
              <w:rPr>
                <w:lang w:eastAsia="en-AU"/>
              </w:rPr>
            </w:pPr>
            <w:r w:rsidRPr="00FF17EA">
              <w:rPr>
                <w:lang w:eastAsia="en-AU"/>
              </w:rPr>
              <w:t>1</w:t>
            </w:r>
          </w:p>
        </w:tc>
        <w:tc>
          <w:tcPr>
            <w:tcW w:w="1435" w:type="dxa"/>
            <w:noWrap/>
            <w:hideMark/>
          </w:tcPr>
          <w:p w14:paraId="33ACC00A" w14:textId="02AD827C"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115.00 </w:t>
            </w:r>
          </w:p>
        </w:tc>
        <w:tc>
          <w:tcPr>
            <w:tcW w:w="1435" w:type="dxa"/>
            <w:noWrap/>
            <w:hideMark/>
          </w:tcPr>
          <w:p w14:paraId="05501F9F" w14:textId="1D309093"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669.70 </w:t>
            </w:r>
          </w:p>
        </w:tc>
        <w:tc>
          <w:tcPr>
            <w:tcW w:w="1452" w:type="dxa"/>
            <w:noWrap/>
            <w:hideMark/>
          </w:tcPr>
          <w:p w14:paraId="6DD9BE06" w14:textId="7FEE643A"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784.70 </w:t>
            </w:r>
          </w:p>
        </w:tc>
      </w:tr>
      <w:tr w:rsidR="00FF17EA" w:rsidRPr="00FF17EA" w14:paraId="7321BFD9" w14:textId="77777777" w:rsidTr="00D108F3">
        <w:trPr>
          <w:trHeight w:val="230"/>
        </w:trPr>
        <w:tc>
          <w:tcPr>
            <w:tcW w:w="3738" w:type="dxa"/>
            <w:vMerge/>
            <w:noWrap/>
            <w:hideMark/>
          </w:tcPr>
          <w:p w14:paraId="3DD0F3AA" w14:textId="5E2A689D" w:rsidR="00FF17EA" w:rsidRPr="00FF17EA" w:rsidRDefault="00FF17EA">
            <w:pPr>
              <w:rPr>
                <w:lang w:eastAsia="en-AU"/>
              </w:rPr>
            </w:pPr>
          </w:p>
        </w:tc>
        <w:tc>
          <w:tcPr>
            <w:tcW w:w="1466" w:type="dxa"/>
            <w:noWrap/>
            <w:hideMark/>
          </w:tcPr>
          <w:p w14:paraId="1420A59D" w14:textId="77777777" w:rsidR="00FF17EA" w:rsidRPr="00FF17EA" w:rsidRDefault="00FF17EA" w:rsidP="00FF17EA">
            <w:pPr>
              <w:jc w:val="center"/>
              <w:rPr>
                <w:lang w:eastAsia="en-AU"/>
              </w:rPr>
            </w:pPr>
            <w:r w:rsidRPr="00FF17EA">
              <w:rPr>
                <w:lang w:eastAsia="en-AU"/>
              </w:rPr>
              <w:t>2</w:t>
            </w:r>
          </w:p>
        </w:tc>
        <w:tc>
          <w:tcPr>
            <w:tcW w:w="1435" w:type="dxa"/>
            <w:noWrap/>
            <w:hideMark/>
          </w:tcPr>
          <w:p w14:paraId="437E3E3E" w14:textId="09EE4FBF"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126.60 </w:t>
            </w:r>
          </w:p>
        </w:tc>
        <w:tc>
          <w:tcPr>
            <w:tcW w:w="1435" w:type="dxa"/>
            <w:noWrap/>
            <w:hideMark/>
          </w:tcPr>
          <w:p w14:paraId="5D26B1EE" w14:textId="2FBF9753"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726.90 </w:t>
            </w:r>
          </w:p>
        </w:tc>
        <w:tc>
          <w:tcPr>
            <w:tcW w:w="1452" w:type="dxa"/>
            <w:noWrap/>
            <w:hideMark/>
          </w:tcPr>
          <w:p w14:paraId="3084D665" w14:textId="1A6CD3DD"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853.50 </w:t>
            </w:r>
          </w:p>
        </w:tc>
      </w:tr>
      <w:tr w:rsidR="00FF17EA" w:rsidRPr="00FF17EA" w14:paraId="47033211" w14:textId="77777777" w:rsidTr="00D108F3">
        <w:trPr>
          <w:trHeight w:val="230"/>
        </w:trPr>
        <w:tc>
          <w:tcPr>
            <w:tcW w:w="3738" w:type="dxa"/>
            <w:vMerge w:val="restart"/>
            <w:noWrap/>
            <w:hideMark/>
          </w:tcPr>
          <w:p w14:paraId="442089CB" w14:textId="77777777" w:rsidR="00FF17EA" w:rsidRPr="00FF17EA" w:rsidRDefault="00FF17EA">
            <w:pPr>
              <w:ind w:left="0" w:right="0"/>
              <w:rPr>
                <w:sz w:val="18"/>
                <w:lang w:eastAsia="en-AU"/>
              </w:rPr>
            </w:pPr>
            <w:r w:rsidRPr="00FF17EA">
              <w:rPr>
                <w:lang w:eastAsia="en-AU"/>
              </w:rPr>
              <w:t>Business Registration (Body Corporate)</w:t>
            </w:r>
          </w:p>
          <w:p w14:paraId="70C9DBE5" w14:textId="2F52F7C8" w:rsidR="00FF17EA" w:rsidRPr="00FF17EA" w:rsidRDefault="00FF17EA">
            <w:pPr>
              <w:rPr>
                <w:lang w:eastAsia="en-AU"/>
              </w:rPr>
            </w:pPr>
            <w:r w:rsidRPr="00FF17EA">
              <w:rPr>
                <w:lang w:eastAsia="en-AU"/>
              </w:rPr>
              <w:t> </w:t>
            </w:r>
          </w:p>
        </w:tc>
        <w:tc>
          <w:tcPr>
            <w:tcW w:w="1466" w:type="dxa"/>
            <w:noWrap/>
            <w:hideMark/>
          </w:tcPr>
          <w:p w14:paraId="0B05C7F8" w14:textId="77777777" w:rsidR="00FF17EA" w:rsidRPr="00FF17EA" w:rsidRDefault="00FF17EA" w:rsidP="00FF17EA">
            <w:pPr>
              <w:jc w:val="center"/>
              <w:rPr>
                <w:lang w:eastAsia="en-AU"/>
              </w:rPr>
            </w:pPr>
            <w:r w:rsidRPr="00FF17EA">
              <w:rPr>
                <w:lang w:eastAsia="en-AU"/>
              </w:rPr>
              <w:t>1</w:t>
            </w:r>
          </w:p>
        </w:tc>
        <w:tc>
          <w:tcPr>
            <w:tcW w:w="1435" w:type="dxa"/>
            <w:noWrap/>
            <w:hideMark/>
          </w:tcPr>
          <w:p w14:paraId="77D53E98" w14:textId="049D53C2"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192.70 </w:t>
            </w:r>
          </w:p>
        </w:tc>
        <w:tc>
          <w:tcPr>
            <w:tcW w:w="1435" w:type="dxa"/>
            <w:noWrap/>
            <w:hideMark/>
          </w:tcPr>
          <w:p w14:paraId="4ACF54B0" w14:textId="22A2F1E6"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1,121.90 </w:t>
            </w:r>
          </w:p>
        </w:tc>
        <w:tc>
          <w:tcPr>
            <w:tcW w:w="1452" w:type="dxa"/>
            <w:noWrap/>
            <w:hideMark/>
          </w:tcPr>
          <w:p w14:paraId="0EF0CD5D" w14:textId="6026D5C6"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1,314.60 </w:t>
            </w:r>
          </w:p>
        </w:tc>
      </w:tr>
      <w:tr w:rsidR="00FF17EA" w:rsidRPr="00FF17EA" w14:paraId="1D7CA7BD" w14:textId="77777777" w:rsidTr="00D108F3">
        <w:trPr>
          <w:trHeight w:val="230"/>
        </w:trPr>
        <w:tc>
          <w:tcPr>
            <w:tcW w:w="3738" w:type="dxa"/>
            <w:vMerge/>
            <w:noWrap/>
            <w:hideMark/>
          </w:tcPr>
          <w:p w14:paraId="60A48260" w14:textId="4C8A0985" w:rsidR="00FF17EA" w:rsidRPr="00FF17EA" w:rsidRDefault="00FF17EA">
            <w:pPr>
              <w:rPr>
                <w:lang w:eastAsia="en-AU"/>
              </w:rPr>
            </w:pPr>
          </w:p>
        </w:tc>
        <w:tc>
          <w:tcPr>
            <w:tcW w:w="1466" w:type="dxa"/>
            <w:noWrap/>
            <w:hideMark/>
          </w:tcPr>
          <w:p w14:paraId="222A92AA" w14:textId="77777777" w:rsidR="00FF17EA" w:rsidRPr="00FF17EA" w:rsidRDefault="00FF17EA" w:rsidP="00FF17EA">
            <w:pPr>
              <w:jc w:val="center"/>
              <w:rPr>
                <w:lang w:eastAsia="en-AU"/>
              </w:rPr>
            </w:pPr>
            <w:r w:rsidRPr="00FF17EA">
              <w:rPr>
                <w:lang w:eastAsia="en-AU"/>
              </w:rPr>
              <w:t>2</w:t>
            </w:r>
          </w:p>
        </w:tc>
        <w:tc>
          <w:tcPr>
            <w:tcW w:w="1435" w:type="dxa"/>
            <w:noWrap/>
            <w:hideMark/>
          </w:tcPr>
          <w:p w14:paraId="56494BEA" w14:textId="22A57442"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211.90 </w:t>
            </w:r>
          </w:p>
        </w:tc>
        <w:tc>
          <w:tcPr>
            <w:tcW w:w="1435" w:type="dxa"/>
            <w:noWrap/>
            <w:hideMark/>
          </w:tcPr>
          <w:p w14:paraId="54F226C6" w14:textId="4069C2B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1,230.70 </w:t>
            </w:r>
          </w:p>
        </w:tc>
        <w:tc>
          <w:tcPr>
            <w:tcW w:w="1452" w:type="dxa"/>
            <w:noWrap/>
            <w:hideMark/>
          </w:tcPr>
          <w:p w14:paraId="68C660CE" w14:textId="345FF645"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 1,442.60 </w:t>
            </w:r>
          </w:p>
        </w:tc>
      </w:tr>
      <w:tr w:rsidR="00D108F3" w:rsidRPr="00FF17EA" w14:paraId="3ACBFF86" w14:textId="77777777" w:rsidTr="00D108F3">
        <w:trPr>
          <w:trHeight w:val="230"/>
        </w:trPr>
        <w:tc>
          <w:tcPr>
            <w:tcW w:w="3738" w:type="dxa"/>
            <w:noWrap/>
            <w:hideMark/>
          </w:tcPr>
          <w:p w14:paraId="598B12FA" w14:textId="350D42A3" w:rsidR="00FF17EA" w:rsidRPr="00FF17EA" w:rsidRDefault="00FF17EA">
            <w:pPr>
              <w:rPr>
                <w:lang w:eastAsia="en-AU"/>
              </w:rPr>
            </w:pPr>
            <w:r w:rsidRPr="00FF17EA">
              <w:rPr>
                <w:lang w:eastAsia="en-AU"/>
              </w:rPr>
              <w:t xml:space="preserve">Interstate </w:t>
            </w:r>
            <w:r>
              <w:rPr>
                <w:lang w:eastAsia="en-AU"/>
              </w:rPr>
              <w:t>–</w:t>
            </w:r>
            <w:r w:rsidRPr="00FF17EA">
              <w:rPr>
                <w:lang w:eastAsia="en-AU"/>
              </w:rPr>
              <w:t xml:space="preserve"> Licence</w:t>
            </w:r>
            <w:r>
              <w:rPr>
                <w:lang w:eastAsia="en-AU"/>
              </w:rPr>
              <w:t xml:space="preserve"> (Permit)</w:t>
            </w:r>
          </w:p>
        </w:tc>
        <w:tc>
          <w:tcPr>
            <w:tcW w:w="1466" w:type="dxa"/>
            <w:noWrap/>
            <w:hideMark/>
          </w:tcPr>
          <w:p w14:paraId="4763F0C3" w14:textId="57673D8C" w:rsidR="00FF17EA" w:rsidRPr="00FF17EA" w:rsidRDefault="00FF17EA" w:rsidP="00FF17EA">
            <w:pPr>
              <w:jc w:val="center"/>
              <w:rPr>
                <w:lang w:eastAsia="en-AU"/>
              </w:rPr>
            </w:pPr>
            <w:r>
              <w:rPr>
                <w:lang w:eastAsia="en-AU"/>
              </w:rPr>
              <w:t>n/a</w:t>
            </w:r>
          </w:p>
        </w:tc>
        <w:tc>
          <w:tcPr>
            <w:tcW w:w="1435" w:type="dxa"/>
            <w:noWrap/>
            <w:hideMark/>
          </w:tcPr>
          <w:p w14:paraId="601850EA" w14:textId="707F0951"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70.00 </w:t>
            </w:r>
          </w:p>
        </w:tc>
        <w:tc>
          <w:tcPr>
            <w:tcW w:w="1435" w:type="dxa"/>
            <w:noWrap/>
            <w:hideMark/>
          </w:tcPr>
          <w:p w14:paraId="1FE50650" w14:textId="54DD0A37"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66.00 </w:t>
            </w:r>
          </w:p>
        </w:tc>
        <w:tc>
          <w:tcPr>
            <w:tcW w:w="1452" w:type="dxa"/>
            <w:noWrap/>
            <w:hideMark/>
          </w:tcPr>
          <w:p w14:paraId="302FF4B8" w14:textId="13FCCBE3"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136.00 </w:t>
            </w:r>
          </w:p>
        </w:tc>
      </w:tr>
      <w:tr w:rsidR="00D108F3" w:rsidRPr="00FF17EA" w14:paraId="3CA9F5F7" w14:textId="77777777" w:rsidTr="00D108F3">
        <w:trPr>
          <w:trHeight w:val="230"/>
        </w:trPr>
        <w:tc>
          <w:tcPr>
            <w:tcW w:w="3738" w:type="dxa"/>
            <w:noWrap/>
            <w:hideMark/>
          </w:tcPr>
          <w:p w14:paraId="3F1698DD" w14:textId="58C23C08" w:rsidR="00FF17EA" w:rsidRPr="00FF17EA" w:rsidRDefault="00FF17EA">
            <w:pPr>
              <w:rPr>
                <w:lang w:eastAsia="en-AU"/>
              </w:rPr>
            </w:pPr>
            <w:r w:rsidRPr="00FF17EA">
              <w:rPr>
                <w:lang w:eastAsia="en-AU"/>
              </w:rPr>
              <w:t xml:space="preserve">Interstate </w:t>
            </w:r>
            <w:r>
              <w:rPr>
                <w:lang w:eastAsia="en-AU"/>
              </w:rPr>
              <w:t>–</w:t>
            </w:r>
            <w:r w:rsidRPr="00FF17EA">
              <w:rPr>
                <w:lang w:eastAsia="en-AU"/>
              </w:rPr>
              <w:t xml:space="preserve"> Registration</w:t>
            </w:r>
            <w:r>
              <w:rPr>
                <w:lang w:eastAsia="en-AU"/>
              </w:rPr>
              <w:t xml:space="preserve"> (Permit) </w:t>
            </w:r>
          </w:p>
        </w:tc>
        <w:tc>
          <w:tcPr>
            <w:tcW w:w="1466" w:type="dxa"/>
            <w:noWrap/>
            <w:hideMark/>
          </w:tcPr>
          <w:p w14:paraId="60F32050" w14:textId="395597F5" w:rsidR="00FF17EA" w:rsidRPr="00FF17EA" w:rsidRDefault="00FF17EA" w:rsidP="00FF17EA">
            <w:pPr>
              <w:jc w:val="center"/>
              <w:rPr>
                <w:lang w:eastAsia="en-AU"/>
              </w:rPr>
            </w:pPr>
            <w:r>
              <w:rPr>
                <w:lang w:eastAsia="en-AU"/>
              </w:rPr>
              <w:t>n/a</w:t>
            </w:r>
          </w:p>
        </w:tc>
        <w:tc>
          <w:tcPr>
            <w:tcW w:w="1435" w:type="dxa"/>
            <w:noWrap/>
            <w:hideMark/>
          </w:tcPr>
          <w:p w14:paraId="6A2B8895" w14:textId="3134CEFE"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70.00 </w:t>
            </w:r>
          </w:p>
        </w:tc>
        <w:tc>
          <w:tcPr>
            <w:tcW w:w="1435" w:type="dxa"/>
            <w:noWrap/>
            <w:hideMark/>
          </w:tcPr>
          <w:p w14:paraId="2323AF12" w14:textId="4941A005"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66.00 </w:t>
            </w:r>
          </w:p>
        </w:tc>
        <w:tc>
          <w:tcPr>
            <w:tcW w:w="1452" w:type="dxa"/>
            <w:noWrap/>
            <w:hideMark/>
          </w:tcPr>
          <w:p w14:paraId="2B001171" w14:textId="3D57DB0E"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136.00 </w:t>
            </w:r>
          </w:p>
        </w:tc>
      </w:tr>
      <w:tr w:rsidR="00D108F3" w:rsidRPr="00FF17EA" w14:paraId="1ABE0BAB" w14:textId="77777777" w:rsidTr="00D108F3">
        <w:trPr>
          <w:trHeight w:val="230"/>
        </w:trPr>
        <w:tc>
          <w:tcPr>
            <w:tcW w:w="3738" w:type="dxa"/>
            <w:noWrap/>
            <w:hideMark/>
          </w:tcPr>
          <w:p w14:paraId="5F4DDD5E" w14:textId="716C7075" w:rsidR="00FF17EA" w:rsidRPr="00FF17EA" w:rsidRDefault="00FF17EA">
            <w:pPr>
              <w:rPr>
                <w:lang w:eastAsia="en-AU"/>
              </w:rPr>
            </w:pPr>
            <w:r w:rsidRPr="00FF17EA">
              <w:rPr>
                <w:lang w:eastAsia="en-AU"/>
              </w:rPr>
              <w:t>Overseas - Bodyguard Licence</w:t>
            </w:r>
            <w:r>
              <w:rPr>
                <w:lang w:eastAsia="en-AU"/>
              </w:rPr>
              <w:t xml:space="preserve"> (Permit)</w:t>
            </w:r>
          </w:p>
        </w:tc>
        <w:tc>
          <w:tcPr>
            <w:tcW w:w="1466" w:type="dxa"/>
            <w:noWrap/>
            <w:hideMark/>
          </w:tcPr>
          <w:p w14:paraId="49325AC8" w14:textId="5EAC8BF4" w:rsidR="00FF17EA" w:rsidRPr="00FF17EA" w:rsidRDefault="00FF17EA" w:rsidP="00FF17EA">
            <w:pPr>
              <w:jc w:val="center"/>
              <w:rPr>
                <w:lang w:eastAsia="en-AU"/>
              </w:rPr>
            </w:pPr>
            <w:r>
              <w:rPr>
                <w:lang w:eastAsia="en-AU"/>
              </w:rPr>
              <w:t>n/a</w:t>
            </w:r>
          </w:p>
        </w:tc>
        <w:tc>
          <w:tcPr>
            <w:tcW w:w="1435" w:type="dxa"/>
            <w:noWrap/>
            <w:hideMark/>
          </w:tcPr>
          <w:p w14:paraId="2BD17942" w14:textId="4B2931D1"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139.90 </w:t>
            </w:r>
          </w:p>
        </w:tc>
        <w:tc>
          <w:tcPr>
            <w:tcW w:w="1435" w:type="dxa"/>
            <w:noWrap/>
            <w:hideMark/>
          </w:tcPr>
          <w:p w14:paraId="1E25A136" w14:textId="0EA1918B"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132.00 </w:t>
            </w:r>
          </w:p>
        </w:tc>
        <w:tc>
          <w:tcPr>
            <w:tcW w:w="1452" w:type="dxa"/>
            <w:noWrap/>
            <w:hideMark/>
          </w:tcPr>
          <w:p w14:paraId="24A64BFE" w14:textId="27E9462A"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271.90 </w:t>
            </w:r>
          </w:p>
        </w:tc>
      </w:tr>
      <w:tr w:rsidR="00D108F3" w:rsidRPr="00FF17EA" w14:paraId="7F775123" w14:textId="77777777" w:rsidTr="00D108F3">
        <w:trPr>
          <w:trHeight w:val="230"/>
        </w:trPr>
        <w:tc>
          <w:tcPr>
            <w:tcW w:w="3738" w:type="dxa"/>
            <w:noWrap/>
            <w:hideMark/>
          </w:tcPr>
          <w:p w14:paraId="3A38C445" w14:textId="53993FB6" w:rsidR="00FF17EA" w:rsidRPr="00FF17EA" w:rsidRDefault="00D108F3">
            <w:pPr>
              <w:rPr>
                <w:lang w:eastAsia="en-AU"/>
              </w:rPr>
            </w:pPr>
            <w:r>
              <w:rPr>
                <w:lang w:eastAsia="en-AU"/>
              </w:rPr>
              <w:t xml:space="preserve">Variation of Licence - </w:t>
            </w:r>
            <w:r w:rsidR="00FF17EA" w:rsidRPr="00FF17EA">
              <w:rPr>
                <w:lang w:eastAsia="en-AU"/>
              </w:rPr>
              <w:t>Individual</w:t>
            </w:r>
          </w:p>
        </w:tc>
        <w:tc>
          <w:tcPr>
            <w:tcW w:w="1466" w:type="dxa"/>
            <w:noWrap/>
            <w:hideMark/>
          </w:tcPr>
          <w:p w14:paraId="2ECE62E2" w14:textId="19319369" w:rsidR="00FF17EA" w:rsidRPr="00FF17EA" w:rsidRDefault="00FF17EA" w:rsidP="00FF17EA">
            <w:pPr>
              <w:jc w:val="center"/>
              <w:rPr>
                <w:lang w:eastAsia="en-AU"/>
              </w:rPr>
            </w:pPr>
            <w:r>
              <w:rPr>
                <w:lang w:eastAsia="en-AU"/>
              </w:rPr>
              <w:t>n/a</w:t>
            </w:r>
          </w:p>
        </w:tc>
        <w:tc>
          <w:tcPr>
            <w:tcW w:w="1435" w:type="dxa"/>
            <w:noWrap/>
            <w:hideMark/>
          </w:tcPr>
          <w:p w14:paraId="3EB44D72" w14:textId="6B4A0EC1"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35.00 </w:t>
            </w:r>
          </w:p>
        </w:tc>
        <w:tc>
          <w:tcPr>
            <w:tcW w:w="1435" w:type="dxa"/>
            <w:noWrap/>
            <w:hideMark/>
          </w:tcPr>
          <w:p w14:paraId="260BE3FC" w14:textId="6D2A0C76"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99.10 </w:t>
            </w:r>
          </w:p>
        </w:tc>
        <w:tc>
          <w:tcPr>
            <w:tcW w:w="1452" w:type="dxa"/>
            <w:noWrap/>
            <w:hideMark/>
          </w:tcPr>
          <w:p w14:paraId="3135FEA8" w14:textId="5EF83315"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134.10 </w:t>
            </w:r>
          </w:p>
        </w:tc>
      </w:tr>
      <w:tr w:rsidR="00D108F3" w:rsidRPr="00FF17EA" w14:paraId="1F095A33" w14:textId="77777777" w:rsidTr="00D108F3">
        <w:trPr>
          <w:trHeight w:val="230"/>
        </w:trPr>
        <w:tc>
          <w:tcPr>
            <w:tcW w:w="3738" w:type="dxa"/>
            <w:noWrap/>
            <w:hideMark/>
          </w:tcPr>
          <w:p w14:paraId="1F70B150" w14:textId="261AD546" w:rsidR="00FF17EA" w:rsidRPr="00FF17EA" w:rsidRDefault="00D108F3">
            <w:pPr>
              <w:rPr>
                <w:lang w:eastAsia="en-AU"/>
              </w:rPr>
            </w:pPr>
            <w:r>
              <w:rPr>
                <w:lang w:eastAsia="en-AU"/>
              </w:rPr>
              <w:lastRenderedPageBreak/>
              <w:t xml:space="preserve">Variation of Licence - </w:t>
            </w:r>
            <w:r w:rsidR="00FF17EA" w:rsidRPr="00FF17EA">
              <w:rPr>
                <w:lang w:eastAsia="en-AU"/>
              </w:rPr>
              <w:t>Natural Person</w:t>
            </w:r>
          </w:p>
        </w:tc>
        <w:tc>
          <w:tcPr>
            <w:tcW w:w="1466" w:type="dxa"/>
            <w:noWrap/>
            <w:hideMark/>
          </w:tcPr>
          <w:p w14:paraId="414F1ECF" w14:textId="421E8407" w:rsidR="00FF17EA" w:rsidRPr="00FF17EA" w:rsidRDefault="00FF17EA" w:rsidP="00FF17EA">
            <w:pPr>
              <w:jc w:val="center"/>
              <w:rPr>
                <w:lang w:eastAsia="en-AU"/>
              </w:rPr>
            </w:pPr>
            <w:r>
              <w:rPr>
                <w:lang w:eastAsia="en-AU"/>
              </w:rPr>
              <w:t>n/a</w:t>
            </w:r>
          </w:p>
        </w:tc>
        <w:tc>
          <w:tcPr>
            <w:tcW w:w="1435" w:type="dxa"/>
            <w:noWrap/>
            <w:hideMark/>
          </w:tcPr>
          <w:p w14:paraId="135DAF63" w14:textId="0B763F15"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77.00 </w:t>
            </w:r>
          </w:p>
        </w:tc>
        <w:tc>
          <w:tcPr>
            <w:tcW w:w="1435" w:type="dxa"/>
            <w:noWrap/>
            <w:hideMark/>
          </w:tcPr>
          <w:p w14:paraId="0C1E27AF" w14:textId="3EB9D002"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220.40 </w:t>
            </w:r>
          </w:p>
        </w:tc>
        <w:tc>
          <w:tcPr>
            <w:tcW w:w="1452" w:type="dxa"/>
            <w:noWrap/>
            <w:hideMark/>
          </w:tcPr>
          <w:p w14:paraId="7BE51952" w14:textId="1E9BCB6F"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297.40 </w:t>
            </w:r>
          </w:p>
        </w:tc>
      </w:tr>
      <w:tr w:rsidR="00D108F3" w:rsidRPr="00FF17EA" w14:paraId="1617E813" w14:textId="77777777" w:rsidTr="00D108F3">
        <w:trPr>
          <w:trHeight w:val="230"/>
        </w:trPr>
        <w:tc>
          <w:tcPr>
            <w:tcW w:w="3738" w:type="dxa"/>
            <w:noWrap/>
            <w:hideMark/>
          </w:tcPr>
          <w:p w14:paraId="44D6104C" w14:textId="54CDBF8B" w:rsidR="00FF17EA" w:rsidRPr="00FF17EA" w:rsidRDefault="00D108F3">
            <w:pPr>
              <w:rPr>
                <w:lang w:eastAsia="en-AU"/>
              </w:rPr>
            </w:pPr>
            <w:r>
              <w:rPr>
                <w:lang w:eastAsia="en-AU"/>
              </w:rPr>
              <w:t xml:space="preserve">Variation of Licence - </w:t>
            </w:r>
            <w:r w:rsidR="00FF17EA" w:rsidRPr="00FF17EA">
              <w:rPr>
                <w:lang w:eastAsia="en-AU"/>
              </w:rPr>
              <w:t>Body Corporate</w:t>
            </w:r>
          </w:p>
        </w:tc>
        <w:tc>
          <w:tcPr>
            <w:tcW w:w="1466" w:type="dxa"/>
            <w:noWrap/>
            <w:hideMark/>
          </w:tcPr>
          <w:p w14:paraId="633C0F2C" w14:textId="35A0ED9E" w:rsidR="00FF17EA" w:rsidRPr="00FF17EA" w:rsidRDefault="00FF17EA" w:rsidP="00FF17EA">
            <w:pPr>
              <w:jc w:val="center"/>
              <w:rPr>
                <w:lang w:eastAsia="en-AU"/>
              </w:rPr>
            </w:pPr>
            <w:r>
              <w:rPr>
                <w:lang w:eastAsia="en-AU"/>
              </w:rPr>
              <w:t>n/a</w:t>
            </w:r>
          </w:p>
        </w:tc>
        <w:tc>
          <w:tcPr>
            <w:tcW w:w="1435" w:type="dxa"/>
            <w:noWrap/>
            <w:hideMark/>
          </w:tcPr>
          <w:p w14:paraId="121EE37A" w14:textId="4201CFB7"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128.20 </w:t>
            </w:r>
          </w:p>
        </w:tc>
        <w:tc>
          <w:tcPr>
            <w:tcW w:w="1435" w:type="dxa"/>
            <w:noWrap/>
            <w:hideMark/>
          </w:tcPr>
          <w:p w14:paraId="460986A7" w14:textId="0D149397"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367.10 </w:t>
            </w:r>
          </w:p>
        </w:tc>
        <w:tc>
          <w:tcPr>
            <w:tcW w:w="1452" w:type="dxa"/>
            <w:noWrap/>
            <w:hideMark/>
          </w:tcPr>
          <w:p w14:paraId="767F8B82" w14:textId="68C06F36"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495.30 </w:t>
            </w:r>
          </w:p>
        </w:tc>
      </w:tr>
      <w:tr w:rsidR="00D108F3" w:rsidRPr="00FF17EA" w14:paraId="1B113B33" w14:textId="77777777" w:rsidTr="00D108F3">
        <w:trPr>
          <w:trHeight w:val="230"/>
        </w:trPr>
        <w:tc>
          <w:tcPr>
            <w:tcW w:w="3738" w:type="dxa"/>
            <w:noWrap/>
            <w:hideMark/>
          </w:tcPr>
          <w:p w14:paraId="442779C6" w14:textId="4509ED34" w:rsidR="00FF17EA" w:rsidRPr="00FF17EA" w:rsidRDefault="00D108F3">
            <w:pPr>
              <w:rPr>
                <w:lang w:eastAsia="en-AU"/>
              </w:rPr>
            </w:pPr>
            <w:r>
              <w:rPr>
                <w:lang w:eastAsia="en-AU"/>
              </w:rPr>
              <w:t xml:space="preserve">Variation of Registration - </w:t>
            </w:r>
            <w:r w:rsidR="00FF17EA" w:rsidRPr="00FF17EA">
              <w:rPr>
                <w:lang w:eastAsia="en-AU"/>
              </w:rPr>
              <w:t>Individual</w:t>
            </w:r>
          </w:p>
        </w:tc>
        <w:tc>
          <w:tcPr>
            <w:tcW w:w="1466" w:type="dxa"/>
            <w:noWrap/>
            <w:hideMark/>
          </w:tcPr>
          <w:p w14:paraId="39778CFA" w14:textId="18531043" w:rsidR="00FF17EA" w:rsidRPr="00FF17EA" w:rsidRDefault="00FF17EA" w:rsidP="00FF17EA">
            <w:pPr>
              <w:jc w:val="center"/>
              <w:rPr>
                <w:lang w:eastAsia="en-AU"/>
              </w:rPr>
            </w:pPr>
            <w:r>
              <w:rPr>
                <w:lang w:eastAsia="en-AU"/>
              </w:rPr>
              <w:t>n/a</w:t>
            </w:r>
          </w:p>
        </w:tc>
        <w:tc>
          <w:tcPr>
            <w:tcW w:w="1435" w:type="dxa"/>
            <w:noWrap/>
            <w:hideMark/>
          </w:tcPr>
          <w:p w14:paraId="3A6829D0" w14:textId="1D29FAB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26.40 </w:t>
            </w:r>
          </w:p>
        </w:tc>
        <w:tc>
          <w:tcPr>
            <w:tcW w:w="1435" w:type="dxa"/>
            <w:noWrap/>
            <w:hideMark/>
          </w:tcPr>
          <w:p w14:paraId="4918E5FB" w14:textId="2C70D67E"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74.30 </w:t>
            </w:r>
          </w:p>
        </w:tc>
        <w:tc>
          <w:tcPr>
            <w:tcW w:w="1452" w:type="dxa"/>
            <w:noWrap/>
            <w:hideMark/>
          </w:tcPr>
          <w:p w14:paraId="5B3BAAB8" w14:textId="294820DB"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100.70 </w:t>
            </w:r>
          </w:p>
        </w:tc>
      </w:tr>
      <w:tr w:rsidR="00D108F3" w:rsidRPr="00FF17EA" w14:paraId="34298B05" w14:textId="77777777" w:rsidTr="00D108F3">
        <w:trPr>
          <w:trHeight w:val="230"/>
        </w:trPr>
        <w:tc>
          <w:tcPr>
            <w:tcW w:w="3738" w:type="dxa"/>
            <w:noWrap/>
            <w:hideMark/>
          </w:tcPr>
          <w:p w14:paraId="7F18CBA5" w14:textId="647E5C57" w:rsidR="00FF17EA" w:rsidRPr="00FF17EA" w:rsidRDefault="00D108F3">
            <w:pPr>
              <w:rPr>
                <w:lang w:eastAsia="en-AU"/>
              </w:rPr>
            </w:pPr>
            <w:r>
              <w:rPr>
                <w:lang w:eastAsia="en-AU"/>
              </w:rPr>
              <w:t xml:space="preserve">Variation of Registration - </w:t>
            </w:r>
            <w:r w:rsidR="00FF17EA" w:rsidRPr="00FF17EA">
              <w:rPr>
                <w:lang w:eastAsia="en-AU"/>
              </w:rPr>
              <w:t>Natural Person</w:t>
            </w:r>
          </w:p>
        </w:tc>
        <w:tc>
          <w:tcPr>
            <w:tcW w:w="1466" w:type="dxa"/>
            <w:noWrap/>
            <w:hideMark/>
          </w:tcPr>
          <w:p w14:paraId="75497B04" w14:textId="599F70BE" w:rsidR="00FF17EA" w:rsidRPr="00FF17EA" w:rsidRDefault="00FF17EA" w:rsidP="00FF17EA">
            <w:pPr>
              <w:jc w:val="center"/>
              <w:rPr>
                <w:lang w:eastAsia="en-AU"/>
              </w:rPr>
            </w:pPr>
            <w:r>
              <w:rPr>
                <w:lang w:eastAsia="en-AU"/>
              </w:rPr>
              <w:t>n/a</w:t>
            </w:r>
          </w:p>
        </w:tc>
        <w:tc>
          <w:tcPr>
            <w:tcW w:w="1435" w:type="dxa"/>
            <w:noWrap/>
            <w:hideMark/>
          </w:tcPr>
          <w:p w14:paraId="1F012EE2" w14:textId="5A9D1E0C"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57.60 </w:t>
            </w:r>
          </w:p>
        </w:tc>
        <w:tc>
          <w:tcPr>
            <w:tcW w:w="1435" w:type="dxa"/>
            <w:noWrap/>
            <w:hideMark/>
          </w:tcPr>
          <w:p w14:paraId="0B705345" w14:textId="12865BA9"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165.20 </w:t>
            </w:r>
          </w:p>
        </w:tc>
        <w:tc>
          <w:tcPr>
            <w:tcW w:w="1452" w:type="dxa"/>
            <w:noWrap/>
            <w:hideMark/>
          </w:tcPr>
          <w:p w14:paraId="6F373643" w14:textId="6810D998"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222.80 </w:t>
            </w:r>
          </w:p>
        </w:tc>
      </w:tr>
      <w:tr w:rsidR="00D108F3" w:rsidRPr="00FF17EA" w14:paraId="4B82F3DF" w14:textId="77777777" w:rsidTr="00D108F3">
        <w:trPr>
          <w:trHeight w:val="230"/>
        </w:trPr>
        <w:tc>
          <w:tcPr>
            <w:tcW w:w="3738" w:type="dxa"/>
            <w:noWrap/>
            <w:hideMark/>
          </w:tcPr>
          <w:p w14:paraId="38C72133" w14:textId="5111ECF3" w:rsidR="00FF17EA" w:rsidRPr="00FF17EA" w:rsidRDefault="00D108F3">
            <w:pPr>
              <w:rPr>
                <w:lang w:eastAsia="en-AU"/>
              </w:rPr>
            </w:pPr>
            <w:r>
              <w:rPr>
                <w:lang w:eastAsia="en-AU"/>
              </w:rPr>
              <w:t xml:space="preserve">Variation of Registration - </w:t>
            </w:r>
            <w:r w:rsidR="00FF17EA" w:rsidRPr="00FF17EA">
              <w:rPr>
                <w:lang w:eastAsia="en-AU"/>
              </w:rPr>
              <w:t>Body Corporate</w:t>
            </w:r>
          </w:p>
        </w:tc>
        <w:tc>
          <w:tcPr>
            <w:tcW w:w="1466" w:type="dxa"/>
            <w:noWrap/>
            <w:hideMark/>
          </w:tcPr>
          <w:p w14:paraId="4A5167F6" w14:textId="20F6D28B" w:rsidR="00FF17EA" w:rsidRPr="00FF17EA" w:rsidRDefault="00FF17EA" w:rsidP="00FF17EA">
            <w:pPr>
              <w:jc w:val="center"/>
              <w:rPr>
                <w:lang w:eastAsia="en-AU"/>
              </w:rPr>
            </w:pPr>
            <w:r>
              <w:rPr>
                <w:lang w:eastAsia="en-AU"/>
              </w:rPr>
              <w:t>n/a</w:t>
            </w:r>
          </w:p>
        </w:tc>
        <w:tc>
          <w:tcPr>
            <w:tcW w:w="1435" w:type="dxa"/>
            <w:noWrap/>
            <w:hideMark/>
          </w:tcPr>
          <w:p w14:paraId="300E1851" w14:textId="3EB274F9"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96.40 </w:t>
            </w:r>
          </w:p>
        </w:tc>
        <w:tc>
          <w:tcPr>
            <w:tcW w:w="1435" w:type="dxa"/>
            <w:noWrap/>
            <w:hideMark/>
          </w:tcPr>
          <w:p w14:paraId="27C7AE00" w14:textId="3D9A0453"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275.40 </w:t>
            </w:r>
          </w:p>
        </w:tc>
        <w:tc>
          <w:tcPr>
            <w:tcW w:w="1452" w:type="dxa"/>
            <w:noWrap/>
            <w:hideMark/>
          </w:tcPr>
          <w:p w14:paraId="326AEFEC" w14:textId="1B23BD0C" w:rsidR="00FF17EA" w:rsidRPr="00FF17EA" w:rsidRDefault="00FF17EA">
            <w:pPr>
              <w:rPr>
                <w:lang w:eastAsia="en-AU"/>
              </w:rPr>
            </w:pPr>
            <w:r w:rsidRPr="00FF17EA">
              <w:rPr>
                <w:lang w:eastAsia="en-AU"/>
              </w:rPr>
              <w:t xml:space="preserve"> $</w:t>
            </w:r>
            <w:r w:rsidR="0036598D">
              <w:rPr>
                <w:lang w:eastAsia="en-AU"/>
              </w:rPr>
              <w:t xml:space="preserve">   </w:t>
            </w:r>
            <w:r w:rsidRPr="00FF17EA">
              <w:rPr>
                <w:lang w:eastAsia="en-AU"/>
              </w:rPr>
              <w:t xml:space="preserve">371.80 </w:t>
            </w:r>
          </w:p>
        </w:tc>
      </w:tr>
    </w:tbl>
    <w:p w14:paraId="5A5F2145" w14:textId="42E8124A" w:rsidR="00D108F3" w:rsidRDefault="002E055B" w:rsidP="002E055B">
      <w:pPr>
        <w:pStyle w:val="Caption"/>
        <w:rPr>
          <w:lang w:eastAsia="en-AU"/>
        </w:rPr>
      </w:pPr>
      <w:r>
        <w:t xml:space="preserve">Table A </w:t>
      </w:r>
      <w:r>
        <w:fldChar w:fldCharType="begin"/>
      </w:r>
      <w:r>
        <w:instrText xml:space="preserve"> SEQ Table_A \* ARABIC </w:instrText>
      </w:r>
      <w:r>
        <w:fldChar w:fldCharType="separate"/>
      </w:r>
      <w:r w:rsidR="009D133E">
        <w:rPr>
          <w:noProof/>
        </w:rPr>
        <w:t>9</w:t>
      </w:r>
      <w:r>
        <w:fldChar w:fldCharType="end"/>
      </w:r>
      <w:r w:rsidR="00697CFC" w:rsidRPr="00697CFC">
        <w:t xml:space="preserve"> </w:t>
      </w:r>
      <w:r w:rsidR="00E04AF1" w:rsidRPr="00697CFC">
        <w:rPr>
          <w:lang w:eastAsia="en-AU"/>
        </w:rPr>
        <w:t xml:space="preserve">Estimated application volumes and </w:t>
      </w:r>
      <w:r w:rsidR="005C4B35" w:rsidRPr="00697CFC">
        <w:rPr>
          <w:lang w:eastAsia="en-AU"/>
        </w:rPr>
        <w:t>revenue calculations</w:t>
      </w:r>
      <w:r w:rsidR="00697CFC" w:rsidRPr="00697CFC">
        <w:rPr>
          <w:lang w:eastAsia="en-AU"/>
        </w:rPr>
        <w:t>, for FY2024/25 and 10-year average over life of Regulations</w:t>
      </w:r>
    </w:p>
    <w:tbl>
      <w:tblPr>
        <w:tblStyle w:val="Deloittetable"/>
        <w:tblW w:w="0" w:type="auto"/>
        <w:tblLook w:val="04A0" w:firstRow="1" w:lastRow="0" w:firstColumn="1" w:lastColumn="0" w:noHBand="0" w:noVBand="1"/>
      </w:tblPr>
      <w:tblGrid>
        <w:gridCol w:w="1117"/>
        <w:gridCol w:w="1773"/>
        <w:gridCol w:w="1116"/>
        <w:gridCol w:w="1116"/>
        <w:gridCol w:w="1128"/>
        <w:gridCol w:w="1116"/>
        <w:gridCol w:w="1116"/>
        <w:gridCol w:w="1034"/>
      </w:tblGrid>
      <w:tr w:rsidR="00C76FA7" w14:paraId="770FB628" w14:textId="77777777" w:rsidTr="003A45E5">
        <w:trPr>
          <w:cnfStyle w:val="100000000000" w:firstRow="1" w:lastRow="0" w:firstColumn="0" w:lastColumn="0" w:oddVBand="0" w:evenVBand="0" w:oddHBand="0" w:evenHBand="0" w:firstRowFirstColumn="0" w:firstRowLastColumn="0" w:lastRowFirstColumn="0" w:lastRowLastColumn="0"/>
          <w:tblHeader/>
        </w:trPr>
        <w:tc>
          <w:tcPr>
            <w:tcW w:w="1117" w:type="dxa"/>
          </w:tcPr>
          <w:p w14:paraId="5C598150" w14:textId="6B768482" w:rsidR="00FF63D6" w:rsidRPr="003A45E5" w:rsidRDefault="00FF63D6" w:rsidP="00FF63D6">
            <w:pPr>
              <w:jc w:val="center"/>
              <w:rPr>
                <w:b/>
                <w:bCs/>
                <w:lang w:eastAsia="en-AU"/>
              </w:rPr>
            </w:pPr>
            <w:r w:rsidRPr="003A45E5">
              <w:rPr>
                <w:b/>
                <w:bCs/>
                <w:lang w:eastAsia="en-AU"/>
              </w:rPr>
              <w:t>Fee category</w:t>
            </w:r>
          </w:p>
        </w:tc>
        <w:tc>
          <w:tcPr>
            <w:tcW w:w="1773" w:type="dxa"/>
          </w:tcPr>
          <w:p w14:paraId="70C2B4B9" w14:textId="67D3A852" w:rsidR="00FF63D6" w:rsidRPr="003A45E5" w:rsidRDefault="00FF63D6" w:rsidP="00FF63D6">
            <w:pPr>
              <w:jc w:val="center"/>
              <w:rPr>
                <w:b/>
                <w:bCs/>
                <w:lang w:eastAsia="en-AU"/>
              </w:rPr>
            </w:pPr>
            <w:r w:rsidRPr="003A45E5">
              <w:rPr>
                <w:b/>
                <w:bCs/>
                <w:lang w:eastAsia="en-AU"/>
              </w:rPr>
              <w:t>Sub-category</w:t>
            </w:r>
          </w:p>
        </w:tc>
        <w:tc>
          <w:tcPr>
            <w:tcW w:w="1116" w:type="dxa"/>
          </w:tcPr>
          <w:p w14:paraId="789C152A" w14:textId="3BA2A694" w:rsidR="00FF63D6" w:rsidRPr="003A45E5" w:rsidRDefault="00FF63D6" w:rsidP="00FF63D6">
            <w:pPr>
              <w:jc w:val="center"/>
              <w:rPr>
                <w:b/>
                <w:bCs/>
                <w:lang w:eastAsia="en-AU"/>
              </w:rPr>
            </w:pPr>
            <w:r w:rsidRPr="003A45E5">
              <w:rPr>
                <w:b/>
                <w:bCs/>
                <w:lang w:eastAsia="en-AU"/>
              </w:rPr>
              <w:t>Applications Received 2024/25</w:t>
            </w:r>
          </w:p>
        </w:tc>
        <w:tc>
          <w:tcPr>
            <w:tcW w:w="1116" w:type="dxa"/>
          </w:tcPr>
          <w:p w14:paraId="16E4E51F" w14:textId="40ECE3DA" w:rsidR="00FF63D6" w:rsidRPr="003A45E5" w:rsidRDefault="00FF63D6" w:rsidP="00FF63D6">
            <w:pPr>
              <w:jc w:val="center"/>
              <w:rPr>
                <w:b/>
                <w:bCs/>
                <w:lang w:eastAsia="en-AU"/>
              </w:rPr>
            </w:pPr>
            <w:r w:rsidRPr="003A45E5">
              <w:rPr>
                <w:b/>
                <w:bCs/>
                <w:lang w:eastAsia="en-AU"/>
              </w:rPr>
              <w:t>Applications Approved 2024/25</w:t>
            </w:r>
          </w:p>
        </w:tc>
        <w:tc>
          <w:tcPr>
            <w:tcW w:w="1128" w:type="dxa"/>
          </w:tcPr>
          <w:p w14:paraId="66368949" w14:textId="03634A36" w:rsidR="00FF63D6" w:rsidRPr="003A45E5" w:rsidRDefault="00FF63D6" w:rsidP="00FF63D6">
            <w:pPr>
              <w:jc w:val="center"/>
              <w:rPr>
                <w:b/>
                <w:bCs/>
                <w:lang w:eastAsia="en-AU"/>
              </w:rPr>
            </w:pPr>
            <w:r w:rsidRPr="003A45E5">
              <w:rPr>
                <w:b/>
                <w:bCs/>
                <w:lang w:eastAsia="en-AU"/>
              </w:rPr>
              <w:t>Revenue 2024/25</w:t>
            </w:r>
          </w:p>
        </w:tc>
        <w:tc>
          <w:tcPr>
            <w:tcW w:w="1116" w:type="dxa"/>
          </w:tcPr>
          <w:p w14:paraId="553DAA1B" w14:textId="0CEB23C1" w:rsidR="00FF63D6" w:rsidRPr="003A45E5" w:rsidRDefault="00FF63D6" w:rsidP="00FF63D6">
            <w:pPr>
              <w:jc w:val="center"/>
              <w:rPr>
                <w:b/>
                <w:bCs/>
                <w:lang w:eastAsia="en-AU"/>
              </w:rPr>
            </w:pPr>
            <w:r w:rsidRPr="003A45E5">
              <w:rPr>
                <w:b/>
                <w:bCs/>
                <w:lang w:eastAsia="en-AU"/>
              </w:rPr>
              <w:t>Applications Received 10 YR AVG</w:t>
            </w:r>
          </w:p>
        </w:tc>
        <w:tc>
          <w:tcPr>
            <w:tcW w:w="1116" w:type="dxa"/>
          </w:tcPr>
          <w:p w14:paraId="39B3BFED" w14:textId="7ED5A054" w:rsidR="00FF63D6" w:rsidRPr="003A45E5" w:rsidRDefault="00FF63D6" w:rsidP="00FF63D6">
            <w:pPr>
              <w:jc w:val="center"/>
              <w:rPr>
                <w:b/>
                <w:bCs/>
                <w:lang w:eastAsia="en-AU"/>
              </w:rPr>
            </w:pPr>
            <w:r w:rsidRPr="003A45E5">
              <w:rPr>
                <w:b/>
                <w:bCs/>
                <w:lang w:eastAsia="en-AU"/>
              </w:rPr>
              <w:t>Applications Approved 10 YR AVG</w:t>
            </w:r>
          </w:p>
        </w:tc>
        <w:tc>
          <w:tcPr>
            <w:tcW w:w="1034" w:type="dxa"/>
          </w:tcPr>
          <w:p w14:paraId="3FD6B313" w14:textId="46504E7A" w:rsidR="00FF63D6" w:rsidRPr="003A45E5" w:rsidRDefault="00FF63D6" w:rsidP="00FF63D6">
            <w:pPr>
              <w:jc w:val="center"/>
              <w:rPr>
                <w:b/>
                <w:bCs/>
                <w:lang w:eastAsia="en-AU"/>
              </w:rPr>
            </w:pPr>
            <w:r w:rsidRPr="003A45E5">
              <w:rPr>
                <w:b/>
                <w:bCs/>
                <w:lang w:eastAsia="en-AU"/>
              </w:rPr>
              <w:t>Revenue 10 YR AVG</w:t>
            </w:r>
          </w:p>
        </w:tc>
      </w:tr>
      <w:tr w:rsidR="00732114" w14:paraId="3FEE772D" w14:textId="77777777" w:rsidTr="003A45E5">
        <w:tc>
          <w:tcPr>
            <w:tcW w:w="1117" w:type="dxa"/>
            <w:vMerge w:val="restart"/>
          </w:tcPr>
          <w:p w14:paraId="7410B389" w14:textId="47CF9F51" w:rsidR="00732114" w:rsidRDefault="00732114" w:rsidP="00732114">
            <w:pPr>
              <w:rPr>
                <w:lang w:eastAsia="en-AU"/>
              </w:rPr>
            </w:pPr>
            <w:r w:rsidRPr="00221264">
              <w:rPr>
                <w:lang w:eastAsia="en-AU"/>
              </w:rPr>
              <w:t xml:space="preserve">New Applications </w:t>
            </w:r>
          </w:p>
        </w:tc>
        <w:tc>
          <w:tcPr>
            <w:tcW w:w="1773" w:type="dxa"/>
          </w:tcPr>
          <w:p w14:paraId="3FC48AC7" w14:textId="1D634A9B" w:rsidR="00732114" w:rsidRDefault="00732114" w:rsidP="00732114">
            <w:pPr>
              <w:rPr>
                <w:lang w:eastAsia="en-AU"/>
              </w:rPr>
            </w:pPr>
            <w:r w:rsidRPr="00106D4C">
              <w:t>Individual Operator: 1 activity</w:t>
            </w:r>
            <w:r w:rsidR="0036598D">
              <w:t xml:space="preserve">   </w:t>
            </w:r>
          </w:p>
        </w:tc>
        <w:tc>
          <w:tcPr>
            <w:tcW w:w="1116" w:type="dxa"/>
          </w:tcPr>
          <w:p w14:paraId="720CBF71" w14:textId="2AE11E3B" w:rsidR="00732114" w:rsidRDefault="00732114" w:rsidP="00732114">
            <w:pPr>
              <w:jc w:val="center"/>
              <w:rPr>
                <w:lang w:eastAsia="en-AU"/>
              </w:rPr>
            </w:pPr>
            <w:r w:rsidRPr="003C5E0C">
              <w:t>870</w:t>
            </w:r>
          </w:p>
        </w:tc>
        <w:tc>
          <w:tcPr>
            <w:tcW w:w="1116" w:type="dxa"/>
          </w:tcPr>
          <w:p w14:paraId="6E19595E" w14:textId="4832F645" w:rsidR="00732114" w:rsidRDefault="00732114" w:rsidP="00732114">
            <w:pPr>
              <w:jc w:val="center"/>
              <w:rPr>
                <w:lang w:eastAsia="en-AU"/>
              </w:rPr>
            </w:pPr>
            <w:r w:rsidRPr="00671498">
              <w:t>766</w:t>
            </w:r>
          </w:p>
        </w:tc>
        <w:tc>
          <w:tcPr>
            <w:tcW w:w="1128" w:type="dxa"/>
          </w:tcPr>
          <w:p w14:paraId="5D866D26" w14:textId="66F6FA6E" w:rsidR="00732114" w:rsidRDefault="00732114" w:rsidP="00732114">
            <w:pPr>
              <w:jc w:val="center"/>
              <w:rPr>
                <w:lang w:eastAsia="en-AU"/>
              </w:rPr>
            </w:pPr>
            <w:r w:rsidRPr="00421F2D">
              <w:t xml:space="preserve"> $322,866 </w:t>
            </w:r>
          </w:p>
        </w:tc>
        <w:tc>
          <w:tcPr>
            <w:tcW w:w="1116" w:type="dxa"/>
          </w:tcPr>
          <w:p w14:paraId="09162A58" w14:textId="1BDAF67D" w:rsidR="00732114" w:rsidRDefault="00732114" w:rsidP="00732114">
            <w:pPr>
              <w:jc w:val="center"/>
              <w:rPr>
                <w:lang w:eastAsia="en-AU"/>
              </w:rPr>
            </w:pPr>
            <w:r w:rsidRPr="00B67767">
              <w:t>972</w:t>
            </w:r>
          </w:p>
        </w:tc>
        <w:tc>
          <w:tcPr>
            <w:tcW w:w="1116" w:type="dxa"/>
          </w:tcPr>
          <w:p w14:paraId="326315C9" w14:textId="1D60F4B2" w:rsidR="00732114" w:rsidRDefault="00732114" w:rsidP="00732114">
            <w:pPr>
              <w:jc w:val="center"/>
              <w:rPr>
                <w:lang w:eastAsia="en-AU"/>
              </w:rPr>
            </w:pPr>
            <w:r w:rsidRPr="009C397D">
              <w:t>855</w:t>
            </w:r>
          </w:p>
        </w:tc>
        <w:tc>
          <w:tcPr>
            <w:tcW w:w="1034" w:type="dxa"/>
          </w:tcPr>
          <w:p w14:paraId="1E47931E" w14:textId="4C672F17" w:rsidR="00732114" w:rsidRDefault="00732114" w:rsidP="00732114">
            <w:pPr>
              <w:jc w:val="center"/>
              <w:rPr>
                <w:lang w:eastAsia="en-AU"/>
              </w:rPr>
            </w:pPr>
            <w:r w:rsidRPr="00520D76">
              <w:t xml:space="preserve"> $488,713 </w:t>
            </w:r>
          </w:p>
        </w:tc>
      </w:tr>
      <w:tr w:rsidR="00732114" w14:paraId="228F84C5" w14:textId="77777777" w:rsidTr="003A45E5">
        <w:tc>
          <w:tcPr>
            <w:tcW w:w="1117" w:type="dxa"/>
            <w:vMerge/>
          </w:tcPr>
          <w:p w14:paraId="4B068C73" w14:textId="77777777" w:rsidR="00732114" w:rsidRDefault="00732114" w:rsidP="00732114">
            <w:pPr>
              <w:rPr>
                <w:lang w:eastAsia="en-AU"/>
              </w:rPr>
            </w:pPr>
          </w:p>
        </w:tc>
        <w:tc>
          <w:tcPr>
            <w:tcW w:w="1773" w:type="dxa"/>
          </w:tcPr>
          <w:p w14:paraId="5546EAA6" w14:textId="718D985A" w:rsidR="00732114" w:rsidRDefault="00732114" w:rsidP="00732114">
            <w:pPr>
              <w:rPr>
                <w:lang w:eastAsia="en-AU"/>
              </w:rPr>
            </w:pPr>
            <w:r w:rsidRPr="00106D4C">
              <w:t>Individual Operator: 2 activities</w:t>
            </w:r>
          </w:p>
        </w:tc>
        <w:tc>
          <w:tcPr>
            <w:tcW w:w="1116" w:type="dxa"/>
          </w:tcPr>
          <w:p w14:paraId="1CA4B81A" w14:textId="19519840" w:rsidR="00732114" w:rsidRDefault="00732114" w:rsidP="00732114">
            <w:pPr>
              <w:jc w:val="center"/>
              <w:rPr>
                <w:lang w:eastAsia="en-AU"/>
              </w:rPr>
            </w:pPr>
            <w:r w:rsidRPr="003C5E0C">
              <w:t>8,340</w:t>
            </w:r>
          </w:p>
        </w:tc>
        <w:tc>
          <w:tcPr>
            <w:tcW w:w="1116" w:type="dxa"/>
          </w:tcPr>
          <w:p w14:paraId="76377018" w14:textId="661E8311" w:rsidR="00732114" w:rsidRDefault="00732114" w:rsidP="00732114">
            <w:pPr>
              <w:jc w:val="center"/>
              <w:rPr>
                <w:lang w:eastAsia="en-AU"/>
              </w:rPr>
            </w:pPr>
            <w:r w:rsidRPr="00671498">
              <w:t>7,373</w:t>
            </w:r>
          </w:p>
        </w:tc>
        <w:tc>
          <w:tcPr>
            <w:tcW w:w="1128" w:type="dxa"/>
          </w:tcPr>
          <w:p w14:paraId="47D440D4" w14:textId="079C8ABB" w:rsidR="00732114" w:rsidRDefault="00732114" w:rsidP="00732114">
            <w:pPr>
              <w:jc w:val="center"/>
              <w:rPr>
                <w:lang w:eastAsia="en-AU"/>
              </w:rPr>
            </w:pPr>
            <w:r w:rsidRPr="00421F2D">
              <w:t xml:space="preserve"> $3,874,271 </w:t>
            </w:r>
          </w:p>
        </w:tc>
        <w:tc>
          <w:tcPr>
            <w:tcW w:w="1116" w:type="dxa"/>
          </w:tcPr>
          <w:p w14:paraId="34C7E573" w14:textId="3A2EDAAC" w:rsidR="00732114" w:rsidRDefault="00732114" w:rsidP="00732114">
            <w:pPr>
              <w:jc w:val="center"/>
              <w:rPr>
                <w:lang w:eastAsia="en-AU"/>
              </w:rPr>
            </w:pPr>
            <w:r w:rsidRPr="00B67767">
              <w:t>9,314</w:t>
            </w:r>
          </w:p>
        </w:tc>
        <w:tc>
          <w:tcPr>
            <w:tcW w:w="1116" w:type="dxa"/>
          </w:tcPr>
          <w:p w14:paraId="73BA3DD9" w14:textId="2B980E08" w:rsidR="00732114" w:rsidRDefault="00732114" w:rsidP="00732114">
            <w:pPr>
              <w:jc w:val="center"/>
              <w:rPr>
                <w:lang w:eastAsia="en-AU"/>
              </w:rPr>
            </w:pPr>
            <w:r w:rsidRPr="009C397D">
              <w:t>8,235</w:t>
            </w:r>
          </w:p>
        </w:tc>
        <w:tc>
          <w:tcPr>
            <w:tcW w:w="1034" w:type="dxa"/>
          </w:tcPr>
          <w:p w14:paraId="4AE39C33" w14:textId="2D86529C" w:rsidR="00732114" w:rsidRDefault="00732114" w:rsidP="00732114">
            <w:pPr>
              <w:jc w:val="center"/>
              <w:rPr>
                <w:lang w:eastAsia="en-AU"/>
              </w:rPr>
            </w:pPr>
            <w:r w:rsidRPr="00520D76">
              <w:t xml:space="preserve"> $5,356,238 </w:t>
            </w:r>
          </w:p>
        </w:tc>
      </w:tr>
      <w:tr w:rsidR="00732114" w14:paraId="262952B7" w14:textId="77777777" w:rsidTr="003A45E5">
        <w:tc>
          <w:tcPr>
            <w:tcW w:w="1117" w:type="dxa"/>
            <w:vMerge/>
          </w:tcPr>
          <w:p w14:paraId="3A5844D5" w14:textId="77777777" w:rsidR="00732114" w:rsidRDefault="00732114" w:rsidP="00732114">
            <w:pPr>
              <w:rPr>
                <w:lang w:eastAsia="en-AU"/>
              </w:rPr>
            </w:pPr>
          </w:p>
        </w:tc>
        <w:tc>
          <w:tcPr>
            <w:tcW w:w="1773" w:type="dxa"/>
          </w:tcPr>
          <w:p w14:paraId="67558368" w14:textId="601AA8FB" w:rsidR="00732114" w:rsidRDefault="00732114" w:rsidP="00732114">
            <w:pPr>
              <w:rPr>
                <w:lang w:eastAsia="en-AU"/>
              </w:rPr>
            </w:pPr>
            <w:r w:rsidRPr="00106D4C">
              <w:t>Individual Operator: 3 activities</w:t>
            </w:r>
          </w:p>
        </w:tc>
        <w:tc>
          <w:tcPr>
            <w:tcW w:w="1116" w:type="dxa"/>
          </w:tcPr>
          <w:p w14:paraId="569F196D" w14:textId="6A4A886B" w:rsidR="00732114" w:rsidRDefault="00732114" w:rsidP="00732114">
            <w:pPr>
              <w:jc w:val="center"/>
              <w:rPr>
                <w:lang w:eastAsia="en-AU"/>
              </w:rPr>
            </w:pPr>
            <w:r w:rsidRPr="003C5E0C">
              <w:t>320</w:t>
            </w:r>
          </w:p>
        </w:tc>
        <w:tc>
          <w:tcPr>
            <w:tcW w:w="1116" w:type="dxa"/>
          </w:tcPr>
          <w:p w14:paraId="309F52F9" w14:textId="3B970063" w:rsidR="00732114" w:rsidRDefault="00732114" w:rsidP="00732114">
            <w:pPr>
              <w:jc w:val="center"/>
              <w:rPr>
                <w:lang w:eastAsia="en-AU"/>
              </w:rPr>
            </w:pPr>
            <w:r w:rsidRPr="00671498">
              <w:t>283</w:t>
            </w:r>
          </w:p>
        </w:tc>
        <w:tc>
          <w:tcPr>
            <w:tcW w:w="1128" w:type="dxa"/>
          </w:tcPr>
          <w:p w14:paraId="6B3EF545" w14:textId="04BDED1E" w:rsidR="00732114" w:rsidRDefault="00732114" w:rsidP="00732114">
            <w:pPr>
              <w:jc w:val="center"/>
              <w:rPr>
                <w:lang w:eastAsia="en-AU"/>
              </w:rPr>
            </w:pPr>
            <w:r w:rsidRPr="00421F2D">
              <w:t xml:space="preserve"> $161,032 </w:t>
            </w:r>
          </w:p>
        </w:tc>
        <w:tc>
          <w:tcPr>
            <w:tcW w:w="1116" w:type="dxa"/>
          </w:tcPr>
          <w:p w14:paraId="69543799" w14:textId="3287DA58" w:rsidR="00732114" w:rsidRDefault="00732114" w:rsidP="00732114">
            <w:pPr>
              <w:jc w:val="center"/>
              <w:rPr>
                <w:lang w:eastAsia="en-AU"/>
              </w:rPr>
            </w:pPr>
            <w:r w:rsidRPr="00B67767">
              <w:t>357</w:t>
            </w:r>
          </w:p>
        </w:tc>
        <w:tc>
          <w:tcPr>
            <w:tcW w:w="1116" w:type="dxa"/>
          </w:tcPr>
          <w:p w14:paraId="5EE5D933" w14:textId="035F19AF" w:rsidR="00732114" w:rsidRDefault="00732114" w:rsidP="00732114">
            <w:pPr>
              <w:jc w:val="center"/>
              <w:rPr>
                <w:lang w:eastAsia="en-AU"/>
              </w:rPr>
            </w:pPr>
            <w:r w:rsidRPr="009C397D">
              <w:t>316</w:t>
            </w:r>
          </w:p>
        </w:tc>
        <w:tc>
          <w:tcPr>
            <w:tcW w:w="1034" w:type="dxa"/>
          </w:tcPr>
          <w:p w14:paraId="32CA5398" w14:textId="151BE891" w:rsidR="00732114" w:rsidRDefault="00732114" w:rsidP="00732114">
            <w:pPr>
              <w:jc w:val="center"/>
              <w:rPr>
                <w:lang w:eastAsia="en-AU"/>
              </w:rPr>
            </w:pPr>
            <w:r w:rsidRPr="00520D76">
              <w:t xml:space="preserve"> $219,238 </w:t>
            </w:r>
          </w:p>
        </w:tc>
      </w:tr>
      <w:tr w:rsidR="00732114" w14:paraId="20C25575" w14:textId="77777777" w:rsidTr="003A45E5">
        <w:tc>
          <w:tcPr>
            <w:tcW w:w="1117" w:type="dxa"/>
            <w:vMerge/>
          </w:tcPr>
          <w:p w14:paraId="6A31A559" w14:textId="77777777" w:rsidR="00732114" w:rsidRDefault="00732114" w:rsidP="00732114">
            <w:pPr>
              <w:rPr>
                <w:lang w:eastAsia="en-AU"/>
              </w:rPr>
            </w:pPr>
          </w:p>
        </w:tc>
        <w:tc>
          <w:tcPr>
            <w:tcW w:w="1773" w:type="dxa"/>
          </w:tcPr>
          <w:p w14:paraId="0DA13D0C" w14:textId="79D1A1C9" w:rsidR="00732114" w:rsidRDefault="00732114" w:rsidP="00732114">
            <w:pPr>
              <w:rPr>
                <w:lang w:eastAsia="en-AU"/>
              </w:rPr>
            </w:pPr>
            <w:r w:rsidRPr="00106D4C">
              <w:t>Individual Operator: 4 activities</w:t>
            </w:r>
          </w:p>
        </w:tc>
        <w:tc>
          <w:tcPr>
            <w:tcW w:w="1116" w:type="dxa"/>
          </w:tcPr>
          <w:p w14:paraId="7DAFB68B" w14:textId="4860616A" w:rsidR="00732114" w:rsidRDefault="00732114" w:rsidP="00732114">
            <w:pPr>
              <w:jc w:val="center"/>
              <w:rPr>
                <w:lang w:eastAsia="en-AU"/>
              </w:rPr>
            </w:pPr>
            <w:r w:rsidRPr="003C5E0C">
              <w:t>53</w:t>
            </w:r>
          </w:p>
        </w:tc>
        <w:tc>
          <w:tcPr>
            <w:tcW w:w="1116" w:type="dxa"/>
          </w:tcPr>
          <w:p w14:paraId="58FAF3BF" w14:textId="2AF6AE4F" w:rsidR="00732114" w:rsidRDefault="00732114" w:rsidP="00732114">
            <w:pPr>
              <w:jc w:val="center"/>
              <w:rPr>
                <w:lang w:eastAsia="en-AU"/>
              </w:rPr>
            </w:pPr>
            <w:r w:rsidRPr="00671498">
              <w:t>47</w:t>
            </w:r>
          </w:p>
        </w:tc>
        <w:tc>
          <w:tcPr>
            <w:tcW w:w="1128" w:type="dxa"/>
          </w:tcPr>
          <w:p w14:paraId="2E65CCF7" w14:textId="3F21131A" w:rsidR="00732114" w:rsidRDefault="00732114" w:rsidP="00732114">
            <w:pPr>
              <w:jc w:val="center"/>
              <w:rPr>
                <w:lang w:eastAsia="en-AU"/>
              </w:rPr>
            </w:pPr>
            <w:r w:rsidRPr="00421F2D">
              <w:t xml:space="preserve"> $28,603 </w:t>
            </w:r>
          </w:p>
        </w:tc>
        <w:tc>
          <w:tcPr>
            <w:tcW w:w="1116" w:type="dxa"/>
          </w:tcPr>
          <w:p w14:paraId="1274ECC3" w14:textId="20D01DFD" w:rsidR="00732114" w:rsidRDefault="00732114" w:rsidP="00732114">
            <w:pPr>
              <w:jc w:val="center"/>
              <w:rPr>
                <w:lang w:eastAsia="en-AU"/>
              </w:rPr>
            </w:pPr>
            <w:r w:rsidRPr="00B67767">
              <w:t>60</w:t>
            </w:r>
          </w:p>
        </w:tc>
        <w:tc>
          <w:tcPr>
            <w:tcW w:w="1116" w:type="dxa"/>
          </w:tcPr>
          <w:p w14:paraId="2AAB9DD4" w14:textId="7268FAB4" w:rsidR="00732114" w:rsidRDefault="00732114" w:rsidP="00732114">
            <w:pPr>
              <w:jc w:val="center"/>
              <w:rPr>
                <w:lang w:eastAsia="en-AU"/>
              </w:rPr>
            </w:pPr>
            <w:r w:rsidRPr="009C397D">
              <w:t>53</w:t>
            </w:r>
          </w:p>
        </w:tc>
        <w:tc>
          <w:tcPr>
            <w:tcW w:w="1034" w:type="dxa"/>
          </w:tcPr>
          <w:p w14:paraId="14D28F35" w14:textId="6AB5B77F" w:rsidR="00732114" w:rsidRDefault="00732114" w:rsidP="00732114">
            <w:pPr>
              <w:jc w:val="center"/>
              <w:rPr>
                <w:lang w:eastAsia="en-AU"/>
              </w:rPr>
            </w:pPr>
            <w:r w:rsidRPr="00520D76">
              <w:t xml:space="preserve"> $38,941 </w:t>
            </w:r>
          </w:p>
        </w:tc>
      </w:tr>
      <w:tr w:rsidR="00732114" w14:paraId="57F2FF3D" w14:textId="77777777" w:rsidTr="003A45E5">
        <w:tc>
          <w:tcPr>
            <w:tcW w:w="1117" w:type="dxa"/>
            <w:vMerge/>
          </w:tcPr>
          <w:p w14:paraId="000DF0CD" w14:textId="77777777" w:rsidR="00732114" w:rsidRDefault="00732114" w:rsidP="00732114">
            <w:pPr>
              <w:rPr>
                <w:lang w:eastAsia="en-AU"/>
              </w:rPr>
            </w:pPr>
          </w:p>
        </w:tc>
        <w:tc>
          <w:tcPr>
            <w:tcW w:w="1773" w:type="dxa"/>
          </w:tcPr>
          <w:p w14:paraId="31DB882B" w14:textId="7A389ED7" w:rsidR="00732114" w:rsidRDefault="00732114" w:rsidP="00732114">
            <w:pPr>
              <w:rPr>
                <w:lang w:eastAsia="en-AU"/>
              </w:rPr>
            </w:pPr>
            <w:r w:rsidRPr="00106D4C">
              <w:t>Individual Operator: 5 activities</w:t>
            </w:r>
          </w:p>
        </w:tc>
        <w:tc>
          <w:tcPr>
            <w:tcW w:w="1116" w:type="dxa"/>
          </w:tcPr>
          <w:p w14:paraId="4E03AD18" w14:textId="3485F29B" w:rsidR="00732114" w:rsidRDefault="00732114" w:rsidP="00732114">
            <w:pPr>
              <w:jc w:val="center"/>
              <w:rPr>
                <w:lang w:eastAsia="en-AU"/>
              </w:rPr>
            </w:pPr>
            <w:r w:rsidRPr="003C5E0C">
              <w:t>9</w:t>
            </w:r>
          </w:p>
        </w:tc>
        <w:tc>
          <w:tcPr>
            <w:tcW w:w="1116" w:type="dxa"/>
          </w:tcPr>
          <w:p w14:paraId="7E14402A" w14:textId="5489C618" w:rsidR="00732114" w:rsidRDefault="00732114" w:rsidP="00732114">
            <w:pPr>
              <w:jc w:val="center"/>
              <w:rPr>
                <w:lang w:eastAsia="en-AU"/>
              </w:rPr>
            </w:pPr>
            <w:r w:rsidRPr="00671498">
              <w:t>8</w:t>
            </w:r>
          </w:p>
        </w:tc>
        <w:tc>
          <w:tcPr>
            <w:tcW w:w="1128" w:type="dxa"/>
          </w:tcPr>
          <w:p w14:paraId="69EE9247" w14:textId="16AB4301" w:rsidR="00732114" w:rsidRDefault="00732114" w:rsidP="00732114">
            <w:pPr>
              <w:jc w:val="center"/>
              <w:rPr>
                <w:lang w:eastAsia="en-AU"/>
              </w:rPr>
            </w:pPr>
            <w:r w:rsidRPr="00421F2D">
              <w:t xml:space="preserve"> $5,054 </w:t>
            </w:r>
          </w:p>
        </w:tc>
        <w:tc>
          <w:tcPr>
            <w:tcW w:w="1116" w:type="dxa"/>
          </w:tcPr>
          <w:p w14:paraId="006E93ED" w14:textId="6B1B3957" w:rsidR="00732114" w:rsidRDefault="00732114" w:rsidP="00732114">
            <w:pPr>
              <w:jc w:val="center"/>
              <w:rPr>
                <w:lang w:eastAsia="en-AU"/>
              </w:rPr>
            </w:pPr>
            <w:r w:rsidRPr="00B67767">
              <w:t>10</w:t>
            </w:r>
          </w:p>
        </w:tc>
        <w:tc>
          <w:tcPr>
            <w:tcW w:w="1116" w:type="dxa"/>
          </w:tcPr>
          <w:p w14:paraId="2D2D8E51" w14:textId="4066CB12" w:rsidR="00732114" w:rsidRDefault="00732114" w:rsidP="00732114">
            <w:pPr>
              <w:jc w:val="center"/>
              <w:rPr>
                <w:lang w:eastAsia="en-AU"/>
              </w:rPr>
            </w:pPr>
            <w:r w:rsidRPr="009C397D">
              <w:t>9</w:t>
            </w:r>
          </w:p>
        </w:tc>
        <w:tc>
          <w:tcPr>
            <w:tcW w:w="1034" w:type="dxa"/>
          </w:tcPr>
          <w:p w14:paraId="47B97B24" w14:textId="584D8583" w:rsidR="00732114" w:rsidRDefault="00732114" w:rsidP="00732114">
            <w:pPr>
              <w:jc w:val="center"/>
              <w:rPr>
                <w:lang w:eastAsia="en-AU"/>
              </w:rPr>
            </w:pPr>
            <w:r w:rsidRPr="00520D76">
              <w:t xml:space="preserve"> $6,881 </w:t>
            </w:r>
          </w:p>
        </w:tc>
      </w:tr>
      <w:tr w:rsidR="00732114" w14:paraId="02625B69" w14:textId="77777777" w:rsidTr="003A45E5">
        <w:tc>
          <w:tcPr>
            <w:tcW w:w="1117" w:type="dxa"/>
            <w:vMerge/>
          </w:tcPr>
          <w:p w14:paraId="29266C95" w14:textId="77777777" w:rsidR="00732114" w:rsidRDefault="00732114" w:rsidP="00732114">
            <w:pPr>
              <w:rPr>
                <w:lang w:eastAsia="en-AU"/>
              </w:rPr>
            </w:pPr>
          </w:p>
        </w:tc>
        <w:tc>
          <w:tcPr>
            <w:tcW w:w="1773" w:type="dxa"/>
          </w:tcPr>
          <w:p w14:paraId="422068EB" w14:textId="6932A400" w:rsidR="00732114" w:rsidRDefault="00732114" w:rsidP="00732114">
            <w:pPr>
              <w:rPr>
                <w:lang w:eastAsia="en-AU"/>
              </w:rPr>
            </w:pPr>
            <w:r w:rsidRPr="00106D4C">
              <w:t>Business: 1 activity</w:t>
            </w:r>
          </w:p>
        </w:tc>
        <w:tc>
          <w:tcPr>
            <w:tcW w:w="1116" w:type="dxa"/>
          </w:tcPr>
          <w:p w14:paraId="7065E293" w14:textId="11B8E8A5" w:rsidR="00732114" w:rsidRDefault="00732114" w:rsidP="00732114">
            <w:pPr>
              <w:jc w:val="center"/>
              <w:rPr>
                <w:lang w:eastAsia="en-AU"/>
              </w:rPr>
            </w:pPr>
            <w:r w:rsidRPr="003C5E0C">
              <w:t>64</w:t>
            </w:r>
          </w:p>
        </w:tc>
        <w:tc>
          <w:tcPr>
            <w:tcW w:w="1116" w:type="dxa"/>
          </w:tcPr>
          <w:p w14:paraId="0FB20E20" w14:textId="448165CE" w:rsidR="00732114" w:rsidRDefault="00732114" w:rsidP="00732114">
            <w:pPr>
              <w:jc w:val="center"/>
              <w:rPr>
                <w:lang w:eastAsia="en-AU"/>
              </w:rPr>
            </w:pPr>
            <w:r w:rsidRPr="00671498">
              <w:t>54</w:t>
            </w:r>
          </w:p>
        </w:tc>
        <w:tc>
          <w:tcPr>
            <w:tcW w:w="1128" w:type="dxa"/>
          </w:tcPr>
          <w:p w14:paraId="3CD4AAAE" w14:textId="112A77B6" w:rsidR="00732114" w:rsidRDefault="00732114" w:rsidP="00732114">
            <w:pPr>
              <w:jc w:val="center"/>
              <w:rPr>
                <w:lang w:eastAsia="en-AU"/>
              </w:rPr>
            </w:pPr>
            <w:r w:rsidRPr="00421F2D">
              <w:t xml:space="preserve"> $83,349 </w:t>
            </w:r>
          </w:p>
        </w:tc>
        <w:tc>
          <w:tcPr>
            <w:tcW w:w="1116" w:type="dxa"/>
          </w:tcPr>
          <w:p w14:paraId="45A4B2DF" w14:textId="0E73B4EC" w:rsidR="00732114" w:rsidRDefault="00732114" w:rsidP="00732114">
            <w:pPr>
              <w:jc w:val="center"/>
              <w:rPr>
                <w:lang w:eastAsia="en-AU"/>
              </w:rPr>
            </w:pPr>
            <w:r w:rsidRPr="00B67767">
              <w:t>71</w:t>
            </w:r>
          </w:p>
        </w:tc>
        <w:tc>
          <w:tcPr>
            <w:tcW w:w="1116" w:type="dxa"/>
          </w:tcPr>
          <w:p w14:paraId="5A6EF0CC" w14:textId="428938CC" w:rsidR="00732114" w:rsidRDefault="00732114" w:rsidP="00732114">
            <w:pPr>
              <w:jc w:val="center"/>
              <w:rPr>
                <w:lang w:eastAsia="en-AU"/>
              </w:rPr>
            </w:pPr>
            <w:r w:rsidRPr="009C397D">
              <w:t>61</w:t>
            </w:r>
          </w:p>
        </w:tc>
        <w:tc>
          <w:tcPr>
            <w:tcW w:w="1034" w:type="dxa"/>
          </w:tcPr>
          <w:p w14:paraId="6D18AF81" w14:textId="3107CE87" w:rsidR="00732114" w:rsidRDefault="00732114" w:rsidP="00732114">
            <w:pPr>
              <w:jc w:val="center"/>
              <w:rPr>
                <w:lang w:eastAsia="en-AU"/>
              </w:rPr>
            </w:pPr>
            <w:r w:rsidRPr="00520D76">
              <w:t xml:space="preserve"> $124,104 </w:t>
            </w:r>
          </w:p>
        </w:tc>
      </w:tr>
      <w:tr w:rsidR="00732114" w14:paraId="3BA3224B" w14:textId="77777777" w:rsidTr="003A45E5">
        <w:tc>
          <w:tcPr>
            <w:tcW w:w="1117" w:type="dxa"/>
            <w:vMerge/>
          </w:tcPr>
          <w:p w14:paraId="30605B35" w14:textId="77777777" w:rsidR="00732114" w:rsidRDefault="00732114" w:rsidP="00732114">
            <w:pPr>
              <w:rPr>
                <w:lang w:eastAsia="en-AU"/>
              </w:rPr>
            </w:pPr>
          </w:p>
        </w:tc>
        <w:tc>
          <w:tcPr>
            <w:tcW w:w="1773" w:type="dxa"/>
          </w:tcPr>
          <w:p w14:paraId="7B97C423" w14:textId="56CA849E" w:rsidR="00732114" w:rsidRDefault="00732114" w:rsidP="00732114">
            <w:pPr>
              <w:rPr>
                <w:lang w:eastAsia="en-AU"/>
              </w:rPr>
            </w:pPr>
            <w:r w:rsidRPr="00106D4C">
              <w:t>Business: 2 activities</w:t>
            </w:r>
          </w:p>
        </w:tc>
        <w:tc>
          <w:tcPr>
            <w:tcW w:w="1116" w:type="dxa"/>
          </w:tcPr>
          <w:p w14:paraId="084C6249" w14:textId="7DC1CE97" w:rsidR="00732114" w:rsidRDefault="00732114" w:rsidP="00732114">
            <w:pPr>
              <w:jc w:val="center"/>
              <w:rPr>
                <w:lang w:eastAsia="en-AU"/>
              </w:rPr>
            </w:pPr>
            <w:r w:rsidRPr="003C5E0C">
              <w:t>147</w:t>
            </w:r>
          </w:p>
        </w:tc>
        <w:tc>
          <w:tcPr>
            <w:tcW w:w="1116" w:type="dxa"/>
          </w:tcPr>
          <w:p w14:paraId="75634FD3" w14:textId="332B5692" w:rsidR="00732114" w:rsidRDefault="00732114" w:rsidP="00732114">
            <w:pPr>
              <w:jc w:val="center"/>
              <w:rPr>
                <w:lang w:eastAsia="en-AU"/>
              </w:rPr>
            </w:pPr>
            <w:r w:rsidRPr="00671498">
              <w:t>126</w:t>
            </w:r>
          </w:p>
        </w:tc>
        <w:tc>
          <w:tcPr>
            <w:tcW w:w="1128" w:type="dxa"/>
          </w:tcPr>
          <w:p w14:paraId="7DFA5287" w14:textId="065E2B0C" w:rsidR="00732114" w:rsidRDefault="00732114" w:rsidP="00732114">
            <w:pPr>
              <w:jc w:val="center"/>
              <w:rPr>
                <w:lang w:eastAsia="en-AU"/>
              </w:rPr>
            </w:pPr>
            <w:r w:rsidRPr="00421F2D">
              <w:t xml:space="preserve"> $202,981 </w:t>
            </w:r>
          </w:p>
        </w:tc>
        <w:tc>
          <w:tcPr>
            <w:tcW w:w="1116" w:type="dxa"/>
          </w:tcPr>
          <w:p w14:paraId="073CEF12" w14:textId="07F06E05" w:rsidR="00732114" w:rsidRDefault="00732114" w:rsidP="00732114">
            <w:pPr>
              <w:jc w:val="center"/>
              <w:rPr>
                <w:lang w:eastAsia="en-AU"/>
              </w:rPr>
            </w:pPr>
            <w:r w:rsidRPr="00B67767">
              <w:t>164</w:t>
            </w:r>
          </w:p>
        </w:tc>
        <w:tc>
          <w:tcPr>
            <w:tcW w:w="1116" w:type="dxa"/>
          </w:tcPr>
          <w:p w14:paraId="47AC39EA" w14:textId="2554B9FC" w:rsidR="00732114" w:rsidRDefault="00732114" w:rsidP="00732114">
            <w:pPr>
              <w:jc w:val="center"/>
              <w:rPr>
                <w:lang w:eastAsia="en-AU"/>
              </w:rPr>
            </w:pPr>
            <w:r w:rsidRPr="009C397D">
              <w:t>141</w:t>
            </w:r>
          </w:p>
        </w:tc>
        <w:tc>
          <w:tcPr>
            <w:tcW w:w="1034" w:type="dxa"/>
          </w:tcPr>
          <w:p w14:paraId="35369E93" w14:textId="138AE604" w:rsidR="00732114" w:rsidRDefault="00732114" w:rsidP="00732114">
            <w:pPr>
              <w:jc w:val="center"/>
              <w:rPr>
                <w:lang w:eastAsia="en-AU"/>
              </w:rPr>
            </w:pPr>
            <w:r w:rsidRPr="00520D76">
              <w:t xml:space="preserve"> $319,181 </w:t>
            </w:r>
          </w:p>
        </w:tc>
      </w:tr>
      <w:tr w:rsidR="00732114" w14:paraId="07C07356" w14:textId="77777777" w:rsidTr="003A45E5">
        <w:tc>
          <w:tcPr>
            <w:tcW w:w="1117" w:type="dxa"/>
            <w:vMerge/>
          </w:tcPr>
          <w:p w14:paraId="6D365E37" w14:textId="77777777" w:rsidR="00732114" w:rsidRDefault="00732114" w:rsidP="00732114">
            <w:pPr>
              <w:rPr>
                <w:lang w:eastAsia="en-AU"/>
              </w:rPr>
            </w:pPr>
          </w:p>
        </w:tc>
        <w:tc>
          <w:tcPr>
            <w:tcW w:w="1773" w:type="dxa"/>
          </w:tcPr>
          <w:p w14:paraId="59C9605C" w14:textId="324E7B77" w:rsidR="00732114" w:rsidRDefault="00732114" w:rsidP="00732114">
            <w:pPr>
              <w:rPr>
                <w:lang w:eastAsia="en-AU"/>
              </w:rPr>
            </w:pPr>
            <w:r w:rsidRPr="00106D4C">
              <w:t>Business: 3 activities</w:t>
            </w:r>
          </w:p>
        </w:tc>
        <w:tc>
          <w:tcPr>
            <w:tcW w:w="1116" w:type="dxa"/>
          </w:tcPr>
          <w:p w14:paraId="1D829758" w14:textId="0F1F7018" w:rsidR="00732114" w:rsidRDefault="00732114" w:rsidP="00732114">
            <w:pPr>
              <w:jc w:val="center"/>
              <w:rPr>
                <w:lang w:eastAsia="en-AU"/>
              </w:rPr>
            </w:pPr>
            <w:r w:rsidRPr="003C5E0C">
              <w:t>16</w:t>
            </w:r>
          </w:p>
        </w:tc>
        <w:tc>
          <w:tcPr>
            <w:tcW w:w="1116" w:type="dxa"/>
          </w:tcPr>
          <w:p w14:paraId="35F4D05A" w14:textId="20A4E480" w:rsidR="00732114" w:rsidRDefault="00732114" w:rsidP="00732114">
            <w:pPr>
              <w:jc w:val="center"/>
              <w:rPr>
                <w:lang w:eastAsia="en-AU"/>
              </w:rPr>
            </w:pPr>
            <w:r w:rsidRPr="00671498">
              <w:t>13</w:t>
            </w:r>
          </w:p>
        </w:tc>
        <w:tc>
          <w:tcPr>
            <w:tcW w:w="1128" w:type="dxa"/>
          </w:tcPr>
          <w:p w14:paraId="0BE9EE2E" w14:textId="31EB3E8D" w:rsidR="00732114" w:rsidRDefault="00732114" w:rsidP="00732114">
            <w:pPr>
              <w:jc w:val="center"/>
              <w:rPr>
                <w:lang w:eastAsia="en-AU"/>
              </w:rPr>
            </w:pPr>
            <w:r w:rsidRPr="00421F2D">
              <w:t xml:space="preserve"> $26,286 </w:t>
            </w:r>
          </w:p>
        </w:tc>
        <w:tc>
          <w:tcPr>
            <w:tcW w:w="1116" w:type="dxa"/>
          </w:tcPr>
          <w:p w14:paraId="28631A40" w14:textId="2DB976B5" w:rsidR="00732114" w:rsidRDefault="00732114" w:rsidP="00732114">
            <w:pPr>
              <w:jc w:val="center"/>
              <w:rPr>
                <w:lang w:eastAsia="en-AU"/>
              </w:rPr>
            </w:pPr>
            <w:r w:rsidRPr="00B67767">
              <w:t>17</w:t>
            </w:r>
          </w:p>
        </w:tc>
        <w:tc>
          <w:tcPr>
            <w:tcW w:w="1116" w:type="dxa"/>
          </w:tcPr>
          <w:p w14:paraId="7CF2E449" w14:textId="3E6FC426" w:rsidR="00732114" w:rsidRDefault="00732114" w:rsidP="00732114">
            <w:pPr>
              <w:jc w:val="center"/>
              <w:rPr>
                <w:lang w:eastAsia="en-AU"/>
              </w:rPr>
            </w:pPr>
            <w:r w:rsidRPr="009C397D">
              <w:t>15</w:t>
            </w:r>
          </w:p>
        </w:tc>
        <w:tc>
          <w:tcPr>
            <w:tcW w:w="1034" w:type="dxa"/>
          </w:tcPr>
          <w:p w14:paraId="0D2CB8F6" w14:textId="52A6DA2E" w:rsidR="00732114" w:rsidRDefault="00732114" w:rsidP="00732114">
            <w:pPr>
              <w:jc w:val="center"/>
              <w:rPr>
                <w:lang w:eastAsia="en-AU"/>
              </w:rPr>
            </w:pPr>
            <w:r w:rsidRPr="00520D76">
              <w:t xml:space="preserve"> $35,787 </w:t>
            </w:r>
          </w:p>
        </w:tc>
      </w:tr>
      <w:tr w:rsidR="00732114" w14:paraId="646F2CC9" w14:textId="77777777" w:rsidTr="003A45E5">
        <w:tc>
          <w:tcPr>
            <w:tcW w:w="1117" w:type="dxa"/>
            <w:vMerge/>
          </w:tcPr>
          <w:p w14:paraId="7D156608" w14:textId="77777777" w:rsidR="00732114" w:rsidRDefault="00732114" w:rsidP="00732114">
            <w:pPr>
              <w:rPr>
                <w:lang w:eastAsia="en-AU"/>
              </w:rPr>
            </w:pPr>
          </w:p>
        </w:tc>
        <w:tc>
          <w:tcPr>
            <w:tcW w:w="1773" w:type="dxa"/>
          </w:tcPr>
          <w:p w14:paraId="38F83F29" w14:textId="07E34473" w:rsidR="00732114" w:rsidRDefault="00732114" w:rsidP="00732114">
            <w:pPr>
              <w:rPr>
                <w:lang w:eastAsia="en-AU"/>
              </w:rPr>
            </w:pPr>
            <w:r w:rsidRPr="00106D4C">
              <w:t>Business: 4 activities</w:t>
            </w:r>
          </w:p>
        </w:tc>
        <w:tc>
          <w:tcPr>
            <w:tcW w:w="1116" w:type="dxa"/>
          </w:tcPr>
          <w:p w14:paraId="269BE448" w14:textId="441BF84C" w:rsidR="00732114" w:rsidRDefault="00732114" w:rsidP="00732114">
            <w:pPr>
              <w:jc w:val="center"/>
              <w:rPr>
                <w:lang w:eastAsia="en-AU"/>
              </w:rPr>
            </w:pPr>
            <w:r w:rsidRPr="003C5E0C">
              <w:t>9</w:t>
            </w:r>
          </w:p>
        </w:tc>
        <w:tc>
          <w:tcPr>
            <w:tcW w:w="1116" w:type="dxa"/>
          </w:tcPr>
          <w:p w14:paraId="45917692" w14:textId="70DEC496" w:rsidR="00732114" w:rsidRDefault="00732114" w:rsidP="00732114">
            <w:pPr>
              <w:jc w:val="center"/>
              <w:rPr>
                <w:lang w:eastAsia="en-AU"/>
              </w:rPr>
            </w:pPr>
            <w:r w:rsidRPr="00671498">
              <w:t>8</w:t>
            </w:r>
          </w:p>
        </w:tc>
        <w:tc>
          <w:tcPr>
            <w:tcW w:w="1128" w:type="dxa"/>
          </w:tcPr>
          <w:p w14:paraId="787EA5C3" w14:textId="21EF56D0" w:rsidR="00732114" w:rsidRDefault="00732114" w:rsidP="00732114">
            <w:pPr>
              <w:jc w:val="center"/>
              <w:rPr>
                <w:lang w:eastAsia="en-AU"/>
              </w:rPr>
            </w:pPr>
            <w:r w:rsidRPr="00421F2D">
              <w:t xml:space="preserve"> $16,212 </w:t>
            </w:r>
          </w:p>
        </w:tc>
        <w:tc>
          <w:tcPr>
            <w:tcW w:w="1116" w:type="dxa"/>
          </w:tcPr>
          <w:p w14:paraId="2DAA2B2B" w14:textId="3F0BBCC5" w:rsidR="00732114" w:rsidRDefault="00732114" w:rsidP="00732114">
            <w:pPr>
              <w:jc w:val="center"/>
              <w:rPr>
                <w:lang w:eastAsia="en-AU"/>
              </w:rPr>
            </w:pPr>
            <w:r w:rsidRPr="00B67767">
              <w:t>10</w:t>
            </w:r>
          </w:p>
        </w:tc>
        <w:tc>
          <w:tcPr>
            <w:tcW w:w="1116" w:type="dxa"/>
          </w:tcPr>
          <w:p w14:paraId="7446D7E0" w14:textId="60C4CA35" w:rsidR="00732114" w:rsidRDefault="00732114" w:rsidP="00732114">
            <w:pPr>
              <w:jc w:val="center"/>
              <w:rPr>
                <w:lang w:eastAsia="en-AU"/>
              </w:rPr>
            </w:pPr>
            <w:r w:rsidRPr="009C397D">
              <w:t>8</w:t>
            </w:r>
          </w:p>
        </w:tc>
        <w:tc>
          <w:tcPr>
            <w:tcW w:w="1034" w:type="dxa"/>
          </w:tcPr>
          <w:p w14:paraId="5CD4A29C" w14:textId="660CEF6D" w:rsidR="00732114" w:rsidRDefault="00732114" w:rsidP="00732114">
            <w:pPr>
              <w:jc w:val="center"/>
              <w:rPr>
                <w:lang w:eastAsia="en-AU"/>
              </w:rPr>
            </w:pPr>
            <w:r w:rsidRPr="00520D76">
              <w:t xml:space="preserve"> $22,072 </w:t>
            </w:r>
          </w:p>
        </w:tc>
      </w:tr>
      <w:tr w:rsidR="00732114" w14:paraId="7D98EAAC" w14:textId="77777777" w:rsidTr="003A45E5">
        <w:tc>
          <w:tcPr>
            <w:tcW w:w="1117" w:type="dxa"/>
            <w:vMerge/>
          </w:tcPr>
          <w:p w14:paraId="18160D5D" w14:textId="77777777" w:rsidR="00732114" w:rsidRDefault="00732114" w:rsidP="00732114">
            <w:pPr>
              <w:rPr>
                <w:lang w:eastAsia="en-AU"/>
              </w:rPr>
            </w:pPr>
          </w:p>
        </w:tc>
        <w:tc>
          <w:tcPr>
            <w:tcW w:w="1773" w:type="dxa"/>
          </w:tcPr>
          <w:p w14:paraId="210B634E" w14:textId="2C9DECF9" w:rsidR="00732114" w:rsidRDefault="00732114" w:rsidP="00732114">
            <w:pPr>
              <w:rPr>
                <w:lang w:eastAsia="en-AU"/>
              </w:rPr>
            </w:pPr>
            <w:r w:rsidRPr="00106D4C">
              <w:t>Temporary Interstate Visitor Permit</w:t>
            </w:r>
            <w:r w:rsidR="0036598D">
              <w:t xml:space="preserve">           </w:t>
            </w:r>
            <w:r w:rsidRPr="00106D4C">
              <w:t xml:space="preserve"> </w:t>
            </w:r>
          </w:p>
        </w:tc>
        <w:tc>
          <w:tcPr>
            <w:tcW w:w="1116" w:type="dxa"/>
          </w:tcPr>
          <w:p w14:paraId="4CED7BDB" w14:textId="00116291" w:rsidR="00732114" w:rsidRDefault="00732114" w:rsidP="00732114">
            <w:pPr>
              <w:jc w:val="center"/>
              <w:rPr>
                <w:lang w:eastAsia="en-AU"/>
              </w:rPr>
            </w:pPr>
            <w:r w:rsidRPr="003C5E0C">
              <w:t>17</w:t>
            </w:r>
          </w:p>
        </w:tc>
        <w:tc>
          <w:tcPr>
            <w:tcW w:w="1116" w:type="dxa"/>
          </w:tcPr>
          <w:p w14:paraId="4DB55633" w14:textId="2D289046" w:rsidR="00732114" w:rsidRDefault="00732114" w:rsidP="00732114">
            <w:pPr>
              <w:jc w:val="center"/>
              <w:rPr>
                <w:lang w:eastAsia="en-AU"/>
              </w:rPr>
            </w:pPr>
            <w:r w:rsidRPr="00671498">
              <w:t>14</w:t>
            </w:r>
          </w:p>
        </w:tc>
        <w:tc>
          <w:tcPr>
            <w:tcW w:w="1128" w:type="dxa"/>
          </w:tcPr>
          <w:p w14:paraId="40B8D3F8" w14:textId="03CD9D44" w:rsidR="00732114" w:rsidRDefault="00732114" w:rsidP="00732114">
            <w:pPr>
              <w:jc w:val="center"/>
              <w:rPr>
                <w:lang w:eastAsia="en-AU"/>
              </w:rPr>
            </w:pPr>
            <w:r w:rsidRPr="00421F2D">
              <w:t xml:space="preserve"> $2,120 </w:t>
            </w:r>
          </w:p>
        </w:tc>
        <w:tc>
          <w:tcPr>
            <w:tcW w:w="1116" w:type="dxa"/>
          </w:tcPr>
          <w:p w14:paraId="0DA8AB16" w14:textId="4055A231" w:rsidR="00732114" w:rsidRDefault="00732114" w:rsidP="00732114">
            <w:pPr>
              <w:jc w:val="center"/>
              <w:rPr>
                <w:lang w:eastAsia="en-AU"/>
              </w:rPr>
            </w:pPr>
            <w:r w:rsidRPr="00B67767">
              <w:t>17</w:t>
            </w:r>
          </w:p>
        </w:tc>
        <w:tc>
          <w:tcPr>
            <w:tcW w:w="1116" w:type="dxa"/>
          </w:tcPr>
          <w:p w14:paraId="1AB8243D" w14:textId="3316525B" w:rsidR="00732114" w:rsidRDefault="005253D0" w:rsidP="00732114">
            <w:pPr>
              <w:jc w:val="center"/>
              <w:rPr>
                <w:lang w:eastAsia="en-AU"/>
              </w:rPr>
            </w:pPr>
            <w:r>
              <w:rPr>
                <w:lang w:eastAsia="en-AU"/>
              </w:rPr>
              <w:t>14</w:t>
            </w:r>
          </w:p>
        </w:tc>
        <w:tc>
          <w:tcPr>
            <w:tcW w:w="1034" w:type="dxa"/>
          </w:tcPr>
          <w:p w14:paraId="2553094F" w14:textId="0E1DF3FA" w:rsidR="00732114" w:rsidRDefault="00AB3D72" w:rsidP="00732114">
            <w:pPr>
              <w:jc w:val="center"/>
              <w:rPr>
                <w:lang w:eastAsia="en-AU"/>
              </w:rPr>
            </w:pPr>
            <w:r w:rsidRPr="00AB3D72">
              <w:t>$2,584</w:t>
            </w:r>
          </w:p>
        </w:tc>
      </w:tr>
      <w:tr w:rsidR="00732114" w14:paraId="38ABC534" w14:textId="77777777" w:rsidTr="003A45E5">
        <w:tc>
          <w:tcPr>
            <w:tcW w:w="1117" w:type="dxa"/>
            <w:vMerge/>
          </w:tcPr>
          <w:p w14:paraId="6E6FB38E" w14:textId="77777777" w:rsidR="00732114" w:rsidRDefault="00732114" w:rsidP="00732114">
            <w:pPr>
              <w:rPr>
                <w:lang w:eastAsia="en-AU"/>
              </w:rPr>
            </w:pPr>
          </w:p>
        </w:tc>
        <w:tc>
          <w:tcPr>
            <w:tcW w:w="1773" w:type="dxa"/>
          </w:tcPr>
          <w:p w14:paraId="4E483E27" w14:textId="1F1E81EF" w:rsidR="00732114" w:rsidRDefault="00732114" w:rsidP="00732114">
            <w:pPr>
              <w:rPr>
                <w:lang w:eastAsia="en-AU"/>
              </w:rPr>
            </w:pPr>
            <w:r w:rsidRPr="00106D4C">
              <w:t>Temporary Overseas Bodyguard Visitor Permit</w:t>
            </w:r>
            <w:r w:rsidR="0036598D">
              <w:t xml:space="preserve">  </w:t>
            </w:r>
            <w:r w:rsidRPr="00106D4C">
              <w:t xml:space="preserve"> </w:t>
            </w:r>
          </w:p>
        </w:tc>
        <w:tc>
          <w:tcPr>
            <w:tcW w:w="1116" w:type="dxa"/>
          </w:tcPr>
          <w:p w14:paraId="448549D7" w14:textId="35FEF7D1" w:rsidR="00732114" w:rsidRDefault="00732114" w:rsidP="00732114">
            <w:pPr>
              <w:jc w:val="center"/>
              <w:rPr>
                <w:lang w:eastAsia="en-AU"/>
              </w:rPr>
            </w:pPr>
            <w:r w:rsidRPr="003C5E0C">
              <w:t>1</w:t>
            </w:r>
          </w:p>
        </w:tc>
        <w:tc>
          <w:tcPr>
            <w:tcW w:w="1116" w:type="dxa"/>
          </w:tcPr>
          <w:p w14:paraId="486E979E" w14:textId="0833A8EC" w:rsidR="00732114" w:rsidRDefault="00732114" w:rsidP="00732114">
            <w:pPr>
              <w:jc w:val="center"/>
              <w:rPr>
                <w:lang w:eastAsia="en-AU"/>
              </w:rPr>
            </w:pPr>
            <w:r w:rsidRPr="00671498">
              <w:t>0</w:t>
            </w:r>
          </w:p>
        </w:tc>
        <w:tc>
          <w:tcPr>
            <w:tcW w:w="1128" w:type="dxa"/>
          </w:tcPr>
          <w:p w14:paraId="55BB726C" w14:textId="463F3C3E" w:rsidR="00732114" w:rsidRDefault="00732114" w:rsidP="00732114">
            <w:pPr>
              <w:jc w:val="center"/>
              <w:rPr>
                <w:lang w:eastAsia="en-AU"/>
              </w:rPr>
            </w:pPr>
            <w:r w:rsidRPr="00421F2D">
              <w:t xml:space="preserve"> $140 </w:t>
            </w:r>
          </w:p>
        </w:tc>
        <w:tc>
          <w:tcPr>
            <w:tcW w:w="1116" w:type="dxa"/>
          </w:tcPr>
          <w:p w14:paraId="132173E7" w14:textId="303BF65D" w:rsidR="00732114" w:rsidRDefault="00732114" w:rsidP="00732114">
            <w:pPr>
              <w:jc w:val="center"/>
              <w:rPr>
                <w:lang w:eastAsia="en-AU"/>
              </w:rPr>
            </w:pPr>
            <w:r w:rsidRPr="00B67767">
              <w:t>1</w:t>
            </w:r>
          </w:p>
        </w:tc>
        <w:tc>
          <w:tcPr>
            <w:tcW w:w="1116" w:type="dxa"/>
          </w:tcPr>
          <w:p w14:paraId="05681028" w14:textId="554BC59B" w:rsidR="00732114" w:rsidRDefault="005253D0" w:rsidP="00732114">
            <w:pPr>
              <w:jc w:val="center"/>
              <w:rPr>
                <w:lang w:eastAsia="en-AU"/>
              </w:rPr>
            </w:pPr>
            <w:r>
              <w:rPr>
                <w:lang w:eastAsia="en-AU"/>
              </w:rPr>
              <w:t>0</w:t>
            </w:r>
          </w:p>
        </w:tc>
        <w:tc>
          <w:tcPr>
            <w:tcW w:w="1034" w:type="dxa"/>
          </w:tcPr>
          <w:p w14:paraId="04407A98" w14:textId="47A85039" w:rsidR="00732114" w:rsidRDefault="00732114" w:rsidP="00732114">
            <w:pPr>
              <w:jc w:val="center"/>
              <w:rPr>
                <w:lang w:eastAsia="en-AU"/>
              </w:rPr>
            </w:pPr>
            <w:r w:rsidRPr="00520D76">
              <w:t xml:space="preserve"> $171 </w:t>
            </w:r>
          </w:p>
        </w:tc>
      </w:tr>
      <w:tr w:rsidR="00CB74C7" w14:paraId="677E6DE9" w14:textId="77777777" w:rsidTr="003A45E5">
        <w:tc>
          <w:tcPr>
            <w:tcW w:w="1117" w:type="dxa"/>
            <w:vMerge w:val="restart"/>
          </w:tcPr>
          <w:p w14:paraId="20081DBA" w14:textId="5EFEFB07" w:rsidR="00CB74C7" w:rsidRDefault="00CB74C7" w:rsidP="00CB74C7">
            <w:pPr>
              <w:rPr>
                <w:lang w:eastAsia="en-AU"/>
              </w:rPr>
            </w:pPr>
            <w:r>
              <w:rPr>
                <w:lang w:eastAsia="en-AU"/>
              </w:rPr>
              <w:t>Renewal applications</w:t>
            </w:r>
          </w:p>
        </w:tc>
        <w:tc>
          <w:tcPr>
            <w:tcW w:w="1773" w:type="dxa"/>
          </w:tcPr>
          <w:p w14:paraId="726939F1" w14:textId="1F69845F" w:rsidR="00CB74C7" w:rsidRPr="00106D4C" w:rsidRDefault="00CB74C7" w:rsidP="00CB74C7">
            <w:r w:rsidRPr="004646C4">
              <w:t>Individual Operator: 1 activity</w:t>
            </w:r>
            <w:r w:rsidR="0036598D">
              <w:t xml:space="preserve">   </w:t>
            </w:r>
          </w:p>
        </w:tc>
        <w:tc>
          <w:tcPr>
            <w:tcW w:w="1116" w:type="dxa"/>
          </w:tcPr>
          <w:p w14:paraId="49E0B66E" w14:textId="1E4FFCA0" w:rsidR="00CB74C7" w:rsidRPr="003C5E0C" w:rsidRDefault="00CB74C7" w:rsidP="00CB74C7">
            <w:pPr>
              <w:jc w:val="center"/>
            </w:pPr>
            <w:r w:rsidRPr="00AB30CE">
              <w:t>920</w:t>
            </w:r>
          </w:p>
        </w:tc>
        <w:tc>
          <w:tcPr>
            <w:tcW w:w="1116" w:type="dxa"/>
          </w:tcPr>
          <w:p w14:paraId="4CC378BF" w14:textId="20BCB083" w:rsidR="00CB74C7" w:rsidRPr="00671498" w:rsidRDefault="00CB74C7" w:rsidP="00CB74C7">
            <w:pPr>
              <w:jc w:val="center"/>
            </w:pPr>
            <w:r w:rsidRPr="007D1603">
              <w:t>893</w:t>
            </w:r>
          </w:p>
        </w:tc>
        <w:tc>
          <w:tcPr>
            <w:tcW w:w="1128" w:type="dxa"/>
          </w:tcPr>
          <w:p w14:paraId="01FC089D" w14:textId="5A52B393" w:rsidR="00CB74C7" w:rsidRPr="00421F2D" w:rsidRDefault="00CB74C7" w:rsidP="00CB74C7">
            <w:pPr>
              <w:jc w:val="center"/>
            </w:pPr>
            <w:r w:rsidRPr="0049443F">
              <w:t xml:space="preserve"> $356,520 </w:t>
            </w:r>
          </w:p>
        </w:tc>
        <w:tc>
          <w:tcPr>
            <w:tcW w:w="1116" w:type="dxa"/>
          </w:tcPr>
          <w:p w14:paraId="3CE31E9D" w14:textId="50BDE50F" w:rsidR="00CB74C7" w:rsidRPr="00B67767" w:rsidRDefault="00CB74C7" w:rsidP="00CB74C7">
            <w:pPr>
              <w:jc w:val="center"/>
            </w:pPr>
            <w:r w:rsidRPr="00B71905">
              <w:t>1,028</w:t>
            </w:r>
          </w:p>
        </w:tc>
        <w:tc>
          <w:tcPr>
            <w:tcW w:w="1116" w:type="dxa"/>
          </w:tcPr>
          <w:p w14:paraId="701A53FD" w14:textId="0339426F" w:rsidR="00CB74C7" w:rsidRPr="009C397D" w:rsidRDefault="00CB74C7" w:rsidP="00CB74C7">
            <w:pPr>
              <w:jc w:val="center"/>
            </w:pPr>
            <w:r w:rsidRPr="00282C22">
              <w:t>998</w:t>
            </w:r>
          </w:p>
        </w:tc>
        <w:tc>
          <w:tcPr>
            <w:tcW w:w="1034" w:type="dxa"/>
          </w:tcPr>
          <w:p w14:paraId="3D14F16B" w14:textId="5A21B71A" w:rsidR="00CB74C7" w:rsidRPr="00520D76" w:rsidRDefault="00CB74C7" w:rsidP="00CB74C7">
            <w:pPr>
              <w:jc w:val="center"/>
            </w:pPr>
            <w:r w:rsidRPr="005B61BC">
              <w:t xml:space="preserve"> $561,010 </w:t>
            </w:r>
          </w:p>
        </w:tc>
      </w:tr>
      <w:tr w:rsidR="00CB74C7" w14:paraId="7FBC141C" w14:textId="77777777" w:rsidTr="003A45E5">
        <w:tc>
          <w:tcPr>
            <w:tcW w:w="1117" w:type="dxa"/>
            <w:vMerge/>
          </w:tcPr>
          <w:p w14:paraId="784B6DE4" w14:textId="77777777" w:rsidR="00CB74C7" w:rsidRDefault="00CB74C7" w:rsidP="00CB74C7">
            <w:pPr>
              <w:rPr>
                <w:lang w:eastAsia="en-AU"/>
              </w:rPr>
            </w:pPr>
          </w:p>
        </w:tc>
        <w:tc>
          <w:tcPr>
            <w:tcW w:w="1773" w:type="dxa"/>
          </w:tcPr>
          <w:p w14:paraId="00C3B367" w14:textId="760F554A" w:rsidR="00CB74C7" w:rsidRPr="00106D4C" w:rsidRDefault="00CB74C7" w:rsidP="00CB74C7">
            <w:r w:rsidRPr="004646C4">
              <w:t>Individual Operator: 2 activities</w:t>
            </w:r>
          </w:p>
        </w:tc>
        <w:tc>
          <w:tcPr>
            <w:tcW w:w="1116" w:type="dxa"/>
          </w:tcPr>
          <w:p w14:paraId="6EC6155C" w14:textId="7D9B565F" w:rsidR="00CB74C7" w:rsidRPr="003C5E0C" w:rsidRDefault="00CB74C7" w:rsidP="00CB74C7">
            <w:pPr>
              <w:jc w:val="center"/>
            </w:pPr>
            <w:r w:rsidRPr="00AB30CE">
              <w:t>7,194</w:t>
            </w:r>
          </w:p>
        </w:tc>
        <w:tc>
          <w:tcPr>
            <w:tcW w:w="1116" w:type="dxa"/>
          </w:tcPr>
          <w:p w14:paraId="402E6B4D" w14:textId="01CC4DC3" w:rsidR="00CB74C7" w:rsidRPr="00671498" w:rsidRDefault="00CB74C7" w:rsidP="00CB74C7">
            <w:pPr>
              <w:jc w:val="center"/>
            </w:pPr>
            <w:r w:rsidRPr="007D1603">
              <w:t>7,020</w:t>
            </w:r>
          </w:p>
        </w:tc>
        <w:tc>
          <w:tcPr>
            <w:tcW w:w="1128" w:type="dxa"/>
          </w:tcPr>
          <w:p w14:paraId="4FD7382C" w14:textId="31BFE240" w:rsidR="00CB74C7" w:rsidRPr="00421F2D" w:rsidRDefault="00CB74C7" w:rsidP="00CB74C7">
            <w:pPr>
              <w:jc w:val="center"/>
            </w:pPr>
            <w:r w:rsidRPr="0049443F">
              <w:t xml:space="preserve"> $3,595,820 </w:t>
            </w:r>
          </w:p>
        </w:tc>
        <w:tc>
          <w:tcPr>
            <w:tcW w:w="1116" w:type="dxa"/>
          </w:tcPr>
          <w:p w14:paraId="0E92C99A" w14:textId="20095501" w:rsidR="00CB74C7" w:rsidRPr="00B67767" w:rsidRDefault="00CB74C7" w:rsidP="00CB74C7">
            <w:pPr>
              <w:jc w:val="center"/>
            </w:pPr>
            <w:r w:rsidRPr="00B71905">
              <w:t>8,035</w:t>
            </w:r>
          </w:p>
        </w:tc>
        <w:tc>
          <w:tcPr>
            <w:tcW w:w="1116" w:type="dxa"/>
          </w:tcPr>
          <w:p w14:paraId="304CD5B7" w14:textId="46B65019" w:rsidR="00CB74C7" w:rsidRPr="009C397D" w:rsidRDefault="00CB74C7" w:rsidP="00CB74C7">
            <w:pPr>
              <w:jc w:val="center"/>
            </w:pPr>
            <w:r w:rsidRPr="00282C22">
              <w:t>7,840</w:t>
            </w:r>
          </w:p>
        </w:tc>
        <w:tc>
          <w:tcPr>
            <w:tcW w:w="1034" w:type="dxa"/>
          </w:tcPr>
          <w:p w14:paraId="0EAF8CE0" w14:textId="5A7A3A0F" w:rsidR="00CB74C7" w:rsidRPr="00520D76" w:rsidRDefault="00CB74C7" w:rsidP="00CB74C7">
            <w:pPr>
              <w:jc w:val="center"/>
            </w:pPr>
            <w:r w:rsidRPr="005B61BC">
              <w:t xml:space="preserve"> $5,021,392 </w:t>
            </w:r>
          </w:p>
        </w:tc>
      </w:tr>
      <w:tr w:rsidR="00CB74C7" w14:paraId="0278C676" w14:textId="77777777" w:rsidTr="003A45E5">
        <w:tc>
          <w:tcPr>
            <w:tcW w:w="1117" w:type="dxa"/>
            <w:vMerge/>
          </w:tcPr>
          <w:p w14:paraId="6D5C72DA" w14:textId="77777777" w:rsidR="00CB74C7" w:rsidRDefault="00CB74C7" w:rsidP="00CB74C7">
            <w:pPr>
              <w:rPr>
                <w:lang w:eastAsia="en-AU"/>
              </w:rPr>
            </w:pPr>
          </w:p>
        </w:tc>
        <w:tc>
          <w:tcPr>
            <w:tcW w:w="1773" w:type="dxa"/>
          </w:tcPr>
          <w:p w14:paraId="0EAEF8A1" w14:textId="4547EECB" w:rsidR="00CB74C7" w:rsidRPr="00106D4C" w:rsidRDefault="00CB74C7" w:rsidP="00CB74C7">
            <w:r w:rsidRPr="004646C4">
              <w:t>Individual Operator: 3 activities</w:t>
            </w:r>
          </w:p>
        </w:tc>
        <w:tc>
          <w:tcPr>
            <w:tcW w:w="1116" w:type="dxa"/>
          </w:tcPr>
          <w:p w14:paraId="6984ED76" w14:textId="4B4D68F5" w:rsidR="00CB74C7" w:rsidRPr="003C5E0C" w:rsidRDefault="00CB74C7" w:rsidP="00CB74C7">
            <w:pPr>
              <w:jc w:val="center"/>
            </w:pPr>
            <w:r w:rsidRPr="00AB30CE">
              <w:t>266</w:t>
            </w:r>
          </w:p>
        </w:tc>
        <w:tc>
          <w:tcPr>
            <w:tcW w:w="1116" w:type="dxa"/>
          </w:tcPr>
          <w:p w14:paraId="2B96B1D1" w14:textId="15CFDFD9" w:rsidR="00CB74C7" w:rsidRPr="00671498" w:rsidRDefault="00CB74C7" w:rsidP="00CB74C7">
            <w:pPr>
              <w:jc w:val="center"/>
            </w:pPr>
            <w:r w:rsidRPr="007D1603">
              <w:t>260</w:t>
            </w:r>
          </w:p>
        </w:tc>
        <w:tc>
          <w:tcPr>
            <w:tcW w:w="1128" w:type="dxa"/>
          </w:tcPr>
          <w:p w14:paraId="4F30729F" w14:textId="29576E8B" w:rsidR="00CB74C7" w:rsidRPr="00421F2D" w:rsidRDefault="00CB74C7" w:rsidP="00CB74C7">
            <w:pPr>
              <w:jc w:val="center"/>
            </w:pPr>
            <w:r w:rsidRPr="0049443F">
              <w:t xml:space="preserve"> $145,689 </w:t>
            </w:r>
          </w:p>
        </w:tc>
        <w:tc>
          <w:tcPr>
            <w:tcW w:w="1116" w:type="dxa"/>
          </w:tcPr>
          <w:p w14:paraId="10AA137C" w14:textId="210ED810" w:rsidR="00CB74C7" w:rsidRPr="00B67767" w:rsidRDefault="00CB74C7" w:rsidP="00CB74C7">
            <w:pPr>
              <w:jc w:val="center"/>
            </w:pPr>
            <w:r w:rsidRPr="00B71905">
              <w:t>297</w:t>
            </w:r>
          </w:p>
        </w:tc>
        <w:tc>
          <w:tcPr>
            <w:tcW w:w="1116" w:type="dxa"/>
          </w:tcPr>
          <w:p w14:paraId="67BA27BA" w14:textId="5B2BBCA1" w:rsidR="00CB74C7" w:rsidRPr="009C397D" w:rsidRDefault="00CB74C7" w:rsidP="00CB74C7">
            <w:pPr>
              <w:jc w:val="center"/>
            </w:pPr>
            <w:r w:rsidRPr="00282C22">
              <w:t>291</w:t>
            </w:r>
          </w:p>
        </w:tc>
        <w:tc>
          <w:tcPr>
            <w:tcW w:w="1034" w:type="dxa"/>
          </w:tcPr>
          <w:p w14:paraId="6B9306CD" w14:textId="1E123495" w:rsidR="00CB74C7" w:rsidRPr="00520D76" w:rsidRDefault="00CB74C7" w:rsidP="00CB74C7">
            <w:pPr>
              <w:jc w:val="center"/>
            </w:pPr>
            <w:r w:rsidRPr="005B61BC">
              <w:t xml:space="preserve"> $198,350 </w:t>
            </w:r>
          </w:p>
        </w:tc>
      </w:tr>
      <w:tr w:rsidR="00CB74C7" w14:paraId="1BB0FED5" w14:textId="77777777" w:rsidTr="003A45E5">
        <w:tc>
          <w:tcPr>
            <w:tcW w:w="1117" w:type="dxa"/>
            <w:vMerge/>
          </w:tcPr>
          <w:p w14:paraId="6E624434" w14:textId="77777777" w:rsidR="00CB74C7" w:rsidRDefault="00CB74C7" w:rsidP="00CB74C7">
            <w:pPr>
              <w:rPr>
                <w:lang w:eastAsia="en-AU"/>
              </w:rPr>
            </w:pPr>
          </w:p>
        </w:tc>
        <w:tc>
          <w:tcPr>
            <w:tcW w:w="1773" w:type="dxa"/>
          </w:tcPr>
          <w:p w14:paraId="4ADF6698" w14:textId="73A0C5C6" w:rsidR="00CB74C7" w:rsidRPr="00106D4C" w:rsidRDefault="00CB74C7" w:rsidP="00CB74C7">
            <w:r w:rsidRPr="004646C4">
              <w:t>Individual Operator: 4 activities</w:t>
            </w:r>
          </w:p>
        </w:tc>
        <w:tc>
          <w:tcPr>
            <w:tcW w:w="1116" w:type="dxa"/>
          </w:tcPr>
          <w:p w14:paraId="776FAEC1" w14:textId="73C04EF3" w:rsidR="00CB74C7" w:rsidRPr="003C5E0C" w:rsidRDefault="00CB74C7" w:rsidP="00CB74C7">
            <w:pPr>
              <w:jc w:val="center"/>
            </w:pPr>
            <w:r w:rsidRPr="00AB30CE">
              <w:t>44</w:t>
            </w:r>
          </w:p>
        </w:tc>
        <w:tc>
          <w:tcPr>
            <w:tcW w:w="1116" w:type="dxa"/>
          </w:tcPr>
          <w:p w14:paraId="129024A4" w14:textId="62CB4F8A" w:rsidR="00CB74C7" w:rsidRPr="00671498" w:rsidRDefault="00CB74C7" w:rsidP="00CB74C7">
            <w:pPr>
              <w:jc w:val="center"/>
            </w:pPr>
            <w:r w:rsidRPr="007D1603">
              <w:t>43</w:t>
            </w:r>
          </w:p>
        </w:tc>
        <w:tc>
          <w:tcPr>
            <w:tcW w:w="1128" w:type="dxa"/>
          </w:tcPr>
          <w:p w14:paraId="3EDA6B3D" w14:textId="1A38944E" w:rsidR="00CB74C7" w:rsidRPr="00421F2D" w:rsidRDefault="00CB74C7" w:rsidP="00CB74C7">
            <w:pPr>
              <w:jc w:val="center"/>
            </w:pPr>
            <w:r w:rsidRPr="0049443F">
              <w:t xml:space="preserve"> $25,871 </w:t>
            </w:r>
          </w:p>
        </w:tc>
        <w:tc>
          <w:tcPr>
            <w:tcW w:w="1116" w:type="dxa"/>
          </w:tcPr>
          <w:p w14:paraId="5C50DDD2" w14:textId="5183A957" w:rsidR="00CB74C7" w:rsidRPr="00B67767" w:rsidRDefault="00CB74C7" w:rsidP="00CB74C7">
            <w:pPr>
              <w:jc w:val="center"/>
            </w:pPr>
            <w:r w:rsidRPr="00B71905">
              <w:t>50</w:t>
            </w:r>
          </w:p>
        </w:tc>
        <w:tc>
          <w:tcPr>
            <w:tcW w:w="1116" w:type="dxa"/>
          </w:tcPr>
          <w:p w14:paraId="255AB940" w14:textId="37F04C66" w:rsidR="00CB74C7" w:rsidRPr="009C397D" w:rsidRDefault="00CB74C7" w:rsidP="00CB74C7">
            <w:pPr>
              <w:jc w:val="center"/>
            </w:pPr>
            <w:r w:rsidRPr="00282C22">
              <w:t>48</w:t>
            </w:r>
          </w:p>
        </w:tc>
        <w:tc>
          <w:tcPr>
            <w:tcW w:w="1034" w:type="dxa"/>
          </w:tcPr>
          <w:p w14:paraId="24819EAC" w14:textId="3B77F785" w:rsidR="00CB74C7" w:rsidRPr="00520D76" w:rsidRDefault="00CB74C7" w:rsidP="00CB74C7">
            <w:pPr>
              <w:jc w:val="center"/>
            </w:pPr>
            <w:r w:rsidRPr="005B61BC">
              <w:t xml:space="preserve"> $35,222 </w:t>
            </w:r>
          </w:p>
        </w:tc>
      </w:tr>
      <w:tr w:rsidR="00CB74C7" w14:paraId="475993D1" w14:textId="77777777" w:rsidTr="003A45E5">
        <w:tc>
          <w:tcPr>
            <w:tcW w:w="1117" w:type="dxa"/>
            <w:vMerge/>
          </w:tcPr>
          <w:p w14:paraId="702CFCC1" w14:textId="77777777" w:rsidR="00CB74C7" w:rsidRDefault="00CB74C7" w:rsidP="00CB74C7">
            <w:pPr>
              <w:rPr>
                <w:lang w:eastAsia="en-AU"/>
              </w:rPr>
            </w:pPr>
          </w:p>
        </w:tc>
        <w:tc>
          <w:tcPr>
            <w:tcW w:w="1773" w:type="dxa"/>
          </w:tcPr>
          <w:p w14:paraId="08E96DFB" w14:textId="79D02993" w:rsidR="00CB74C7" w:rsidRPr="00106D4C" w:rsidRDefault="00CB74C7" w:rsidP="00CB74C7">
            <w:r w:rsidRPr="004646C4">
              <w:t>Individual Operator: 5 activities</w:t>
            </w:r>
          </w:p>
        </w:tc>
        <w:tc>
          <w:tcPr>
            <w:tcW w:w="1116" w:type="dxa"/>
          </w:tcPr>
          <w:p w14:paraId="7E2CDF04" w14:textId="33A1B936" w:rsidR="00CB74C7" w:rsidRPr="003C5E0C" w:rsidRDefault="00CB74C7" w:rsidP="00CB74C7">
            <w:pPr>
              <w:jc w:val="center"/>
            </w:pPr>
            <w:r w:rsidRPr="00AB30CE">
              <w:t>7</w:t>
            </w:r>
          </w:p>
        </w:tc>
        <w:tc>
          <w:tcPr>
            <w:tcW w:w="1116" w:type="dxa"/>
          </w:tcPr>
          <w:p w14:paraId="1A749C6F" w14:textId="2CB74B75" w:rsidR="00CB74C7" w:rsidRPr="00671498" w:rsidRDefault="00CB74C7" w:rsidP="00CB74C7">
            <w:pPr>
              <w:jc w:val="center"/>
            </w:pPr>
            <w:r w:rsidRPr="007D1603">
              <w:t>7</w:t>
            </w:r>
          </w:p>
        </w:tc>
        <w:tc>
          <w:tcPr>
            <w:tcW w:w="1128" w:type="dxa"/>
          </w:tcPr>
          <w:p w14:paraId="06A20B18" w14:textId="079E2498" w:rsidR="00CB74C7" w:rsidRPr="00421F2D" w:rsidRDefault="00CB74C7" w:rsidP="00CB74C7">
            <w:pPr>
              <w:jc w:val="center"/>
            </w:pPr>
            <w:r w:rsidRPr="0049443F">
              <w:t xml:space="preserve"> $4,570 </w:t>
            </w:r>
          </w:p>
        </w:tc>
        <w:tc>
          <w:tcPr>
            <w:tcW w:w="1116" w:type="dxa"/>
          </w:tcPr>
          <w:p w14:paraId="1190571C" w14:textId="43044C0B" w:rsidR="00CB74C7" w:rsidRPr="00B67767" w:rsidRDefault="00CB74C7" w:rsidP="00CB74C7">
            <w:pPr>
              <w:jc w:val="center"/>
            </w:pPr>
            <w:r w:rsidRPr="00B71905">
              <w:t>8</w:t>
            </w:r>
          </w:p>
        </w:tc>
        <w:tc>
          <w:tcPr>
            <w:tcW w:w="1116" w:type="dxa"/>
          </w:tcPr>
          <w:p w14:paraId="696A9A45" w14:textId="18AFABB7" w:rsidR="00CB74C7" w:rsidRPr="009C397D" w:rsidRDefault="00CB74C7" w:rsidP="00CB74C7">
            <w:pPr>
              <w:jc w:val="center"/>
            </w:pPr>
            <w:r w:rsidRPr="00282C22">
              <w:t>8</w:t>
            </w:r>
          </w:p>
        </w:tc>
        <w:tc>
          <w:tcPr>
            <w:tcW w:w="1034" w:type="dxa"/>
          </w:tcPr>
          <w:p w14:paraId="39AD45BF" w14:textId="045F766C" w:rsidR="00CB74C7" w:rsidRPr="00520D76" w:rsidRDefault="00CB74C7" w:rsidP="00CB74C7">
            <w:pPr>
              <w:jc w:val="center"/>
            </w:pPr>
            <w:r w:rsidRPr="005B61BC">
              <w:t xml:space="preserve"> $6,222 </w:t>
            </w:r>
          </w:p>
        </w:tc>
      </w:tr>
      <w:tr w:rsidR="00CB74C7" w14:paraId="29713717" w14:textId="77777777" w:rsidTr="003A45E5">
        <w:tc>
          <w:tcPr>
            <w:tcW w:w="1117" w:type="dxa"/>
            <w:vMerge/>
          </w:tcPr>
          <w:p w14:paraId="52889430" w14:textId="77777777" w:rsidR="00CB74C7" w:rsidRDefault="00CB74C7" w:rsidP="00CB74C7">
            <w:pPr>
              <w:rPr>
                <w:lang w:eastAsia="en-AU"/>
              </w:rPr>
            </w:pPr>
          </w:p>
        </w:tc>
        <w:tc>
          <w:tcPr>
            <w:tcW w:w="1773" w:type="dxa"/>
          </w:tcPr>
          <w:p w14:paraId="5CA9D86B" w14:textId="41D7D4ED" w:rsidR="00CB74C7" w:rsidRPr="00106D4C" w:rsidRDefault="00CB74C7" w:rsidP="00CB74C7">
            <w:r w:rsidRPr="004646C4">
              <w:t>Business: 1 activity</w:t>
            </w:r>
          </w:p>
        </w:tc>
        <w:tc>
          <w:tcPr>
            <w:tcW w:w="1116" w:type="dxa"/>
          </w:tcPr>
          <w:p w14:paraId="7AE058AF" w14:textId="5E4B2D0C" w:rsidR="00CB74C7" w:rsidRPr="003C5E0C" w:rsidRDefault="00CB74C7" w:rsidP="00CB74C7">
            <w:pPr>
              <w:jc w:val="center"/>
            </w:pPr>
            <w:r w:rsidRPr="00AB30CE">
              <w:t>164</w:t>
            </w:r>
          </w:p>
        </w:tc>
        <w:tc>
          <w:tcPr>
            <w:tcW w:w="1116" w:type="dxa"/>
          </w:tcPr>
          <w:p w14:paraId="0BB72D49" w14:textId="0ED697AE" w:rsidR="00CB74C7" w:rsidRPr="00671498" w:rsidRDefault="00CB74C7" w:rsidP="00CB74C7">
            <w:pPr>
              <w:jc w:val="center"/>
            </w:pPr>
            <w:r w:rsidRPr="007D1603">
              <w:t>158</w:t>
            </w:r>
          </w:p>
        </w:tc>
        <w:tc>
          <w:tcPr>
            <w:tcW w:w="1128" w:type="dxa"/>
          </w:tcPr>
          <w:p w14:paraId="0D50F8CD" w14:textId="58EE8DCB" w:rsidR="00CB74C7" w:rsidRPr="00421F2D" w:rsidRDefault="00CB74C7" w:rsidP="00CB74C7">
            <w:pPr>
              <w:jc w:val="center"/>
            </w:pPr>
            <w:r w:rsidRPr="0049443F">
              <w:t xml:space="preserve"> $237,401 </w:t>
            </w:r>
          </w:p>
        </w:tc>
        <w:tc>
          <w:tcPr>
            <w:tcW w:w="1116" w:type="dxa"/>
          </w:tcPr>
          <w:p w14:paraId="76659B8C" w14:textId="16E608E2" w:rsidR="00CB74C7" w:rsidRPr="00B67767" w:rsidRDefault="00CB74C7" w:rsidP="00CB74C7">
            <w:pPr>
              <w:jc w:val="center"/>
            </w:pPr>
            <w:r w:rsidRPr="00B71905">
              <w:t>184</w:t>
            </w:r>
          </w:p>
        </w:tc>
        <w:tc>
          <w:tcPr>
            <w:tcW w:w="1116" w:type="dxa"/>
          </w:tcPr>
          <w:p w14:paraId="330D4A36" w14:textId="265B49F9" w:rsidR="00CB74C7" w:rsidRPr="009C397D" w:rsidRDefault="00CB74C7" w:rsidP="00CB74C7">
            <w:pPr>
              <w:jc w:val="center"/>
            </w:pPr>
            <w:r w:rsidRPr="00282C22">
              <w:t>176</w:t>
            </w:r>
          </w:p>
        </w:tc>
        <w:tc>
          <w:tcPr>
            <w:tcW w:w="1034" w:type="dxa"/>
          </w:tcPr>
          <w:p w14:paraId="1FE4D94E" w14:textId="5D4EBD30" w:rsidR="00CB74C7" w:rsidRPr="00520D76" w:rsidRDefault="00CB74C7" w:rsidP="00CB74C7">
            <w:pPr>
              <w:jc w:val="center"/>
            </w:pPr>
            <w:r w:rsidRPr="005B61BC">
              <w:t xml:space="preserve"> $352,667 </w:t>
            </w:r>
          </w:p>
        </w:tc>
      </w:tr>
      <w:tr w:rsidR="00CB74C7" w14:paraId="3B3BCB37" w14:textId="77777777" w:rsidTr="003A45E5">
        <w:tc>
          <w:tcPr>
            <w:tcW w:w="1117" w:type="dxa"/>
            <w:vMerge/>
          </w:tcPr>
          <w:p w14:paraId="775B3835" w14:textId="77777777" w:rsidR="00CB74C7" w:rsidRDefault="00CB74C7" w:rsidP="00CB74C7">
            <w:pPr>
              <w:rPr>
                <w:lang w:eastAsia="en-AU"/>
              </w:rPr>
            </w:pPr>
          </w:p>
        </w:tc>
        <w:tc>
          <w:tcPr>
            <w:tcW w:w="1773" w:type="dxa"/>
          </w:tcPr>
          <w:p w14:paraId="018834B5" w14:textId="101070ED" w:rsidR="00CB74C7" w:rsidRPr="00106D4C" w:rsidRDefault="00CB74C7" w:rsidP="00CB74C7">
            <w:r w:rsidRPr="004646C4">
              <w:t>Business: 2 activities</w:t>
            </w:r>
          </w:p>
        </w:tc>
        <w:tc>
          <w:tcPr>
            <w:tcW w:w="1116" w:type="dxa"/>
          </w:tcPr>
          <w:p w14:paraId="615AA326" w14:textId="050C1CCD" w:rsidR="00CB74C7" w:rsidRPr="003C5E0C" w:rsidRDefault="00CB74C7" w:rsidP="00CB74C7">
            <w:pPr>
              <w:jc w:val="center"/>
            </w:pPr>
            <w:r w:rsidRPr="00AB30CE">
              <w:t>377</w:t>
            </w:r>
          </w:p>
        </w:tc>
        <w:tc>
          <w:tcPr>
            <w:tcW w:w="1116" w:type="dxa"/>
          </w:tcPr>
          <w:p w14:paraId="6D31C6C3" w14:textId="5985AF53" w:rsidR="00CB74C7" w:rsidRPr="00671498" w:rsidRDefault="00CB74C7" w:rsidP="00CB74C7">
            <w:pPr>
              <w:jc w:val="center"/>
            </w:pPr>
            <w:r w:rsidRPr="007D1603">
              <w:t>362</w:t>
            </w:r>
          </w:p>
        </w:tc>
        <w:tc>
          <w:tcPr>
            <w:tcW w:w="1128" w:type="dxa"/>
          </w:tcPr>
          <w:p w14:paraId="29A329F7" w14:textId="52C295E3" w:rsidR="00CB74C7" w:rsidRPr="00421F2D" w:rsidRDefault="00CB74C7" w:rsidP="00CB74C7">
            <w:pPr>
              <w:jc w:val="center"/>
            </w:pPr>
            <w:r w:rsidRPr="0049443F">
              <w:t xml:space="preserve"> $574,407 </w:t>
            </w:r>
          </w:p>
        </w:tc>
        <w:tc>
          <w:tcPr>
            <w:tcW w:w="1116" w:type="dxa"/>
          </w:tcPr>
          <w:p w14:paraId="738DBDC5" w14:textId="11EF7323" w:rsidR="00CB74C7" w:rsidRPr="00B67767" w:rsidRDefault="00CB74C7" w:rsidP="00CB74C7">
            <w:pPr>
              <w:jc w:val="center"/>
            </w:pPr>
            <w:r w:rsidRPr="00B71905">
              <w:t>421</w:t>
            </w:r>
          </w:p>
        </w:tc>
        <w:tc>
          <w:tcPr>
            <w:tcW w:w="1116" w:type="dxa"/>
          </w:tcPr>
          <w:p w14:paraId="1FB634FD" w14:textId="17319BAB" w:rsidR="00CB74C7" w:rsidRPr="009C397D" w:rsidRDefault="00CB74C7" w:rsidP="00CB74C7">
            <w:pPr>
              <w:jc w:val="center"/>
            </w:pPr>
            <w:r w:rsidRPr="00282C22">
              <w:t>404</w:t>
            </w:r>
          </w:p>
        </w:tc>
        <w:tc>
          <w:tcPr>
            <w:tcW w:w="1034" w:type="dxa"/>
          </w:tcPr>
          <w:p w14:paraId="2C1BA2A8" w14:textId="30BCBDDE" w:rsidR="00CB74C7" w:rsidRPr="00520D76" w:rsidRDefault="00CB74C7" w:rsidP="00CB74C7">
            <w:pPr>
              <w:jc w:val="center"/>
            </w:pPr>
            <w:r w:rsidRPr="005B61BC">
              <w:t xml:space="preserve"> $880,611 </w:t>
            </w:r>
          </w:p>
        </w:tc>
      </w:tr>
      <w:tr w:rsidR="00CB74C7" w14:paraId="2492B42C" w14:textId="77777777" w:rsidTr="003A45E5">
        <w:tc>
          <w:tcPr>
            <w:tcW w:w="1117" w:type="dxa"/>
            <w:vMerge/>
          </w:tcPr>
          <w:p w14:paraId="7FEFE20E" w14:textId="77777777" w:rsidR="00CB74C7" w:rsidRDefault="00CB74C7" w:rsidP="00CB74C7">
            <w:pPr>
              <w:rPr>
                <w:lang w:eastAsia="en-AU"/>
              </w:rPr>
            </w:pPr>
          </w:p>
        </w:tc>
        <w:tc>
          <w:tcPr>
            <w:tcW w:w="1773" w:type="dxa"/>
          </w:tcPr>
          <w:p w14:paraId="30C03490" w14:textId="61C8EBFE" w:rsidR="00CB74C7" w:rsidRPr="00106D4C" w:rsidRDefault="00CB74C7" w:rsidP="00CB74C7">
            <w:r w:rsidRPr="004646C4">
              <w:t>Business: 3 activities</w:t>
            </w:r>
          </w:p>
        </w:tc>
        <w:tc>
          <w:tcPr>
            <w:tcW w:w="1116" w:type="dxa"/>
          </w:tcPr>
          <w:p w14:paraId="58AD4D5B" w14:textId="3CB9861E" w:rsidR="00CB74C7" w:rsidRPr="003C5E0C" w:rsidRDefault="00CB74C7" w:rsidP="00CB74C7">
            <w:pPr>
              <w:jc w:val="center"/>
            </w:pPr>
            <w:r w:rsidRPr="00AB30CE">
              <w:t>40</w:t>
            </w:r>
          </w:p>
        </w:tc>
        <w:tc>
          <w:tcPr>
            <w:tcW w:w="1116" w:type="dxa"/>
          </w:tcPr>
          <w:p w14:paraId="0B7D7C1F" w14:textId="78A3D712" w:rsidR="00CB74C7" w:rsidRPr="00671498" w:rsidRDefault="00CB74C7" w:rsidP="00CB74C7">
            <w:pPr>
              <w:jc w:val="center"/>
            </w:pPr>
            <w:r w:rsidRPr="007D1603">
              <w:t>39</w:t>
            </w:r>
          </w:p>
        </w:tc>
        <w:tc>
          <w:tcPr>
            <w:tcW w:w="1128" w:type="dxa"/>
          </w:tcPr>
          <w:p w14:paraId="680F5F7E" w14:textId="0DFD09F2" w:rsidR="00CB74C7" w:rsidRPr="00421F2D" w:rsidRDefault="00CB74C7" w:rsidP="00CB74C7">
            <w:pPr>
              <w:jc w:val="center"/>
            </w:pPr>
            <w:r w:rsidRPr="0049443F">
              <w:t xml:space="preserve"> $75,729 </w:t>
            </w:r>
          </w:p>
        </w:tc>
        <w:tc>
          <w:tcPr>
            <w:tcW w:w="1116" w:type="dxa"/>
          </w:tcPr>
          <w:p w14:paraId="30CF4163" w14:textId="2A20BF90" w:rsidR="00CB74C7" w:rsidRPr="00B67767" w:rsidRDefault="00CB74C7" w:rsidP="00CB74C7">
            <w:pPr>
              <w:jc w:val="center"/>
            </w:pPr>
            <w:r w:rsidRPr="00B71905">
              <w:t>45</w:t>
            </w:r>
          </w:p>
        </w:tc>
        <w:tc>
          <w:tcPr>
            <w:tcW w:w="1116" w:type="dxa"/>
          </w:tcPr>
          <w:p w14:paraId="1A0C39ED" w14:textId="652DAA2A" w:rsidR="00CB74C7" w:rsidRPr="009C397D" w:rsidRDefault="00CB74C7" w:rsidP="00CB74C7">
            <w:pPr>
              <w:jc w:val="center"/>
            </w:pPr>
            <w:r w:rsidRPr="00282C22">
              <w:t>43</w:t>
            </w:r>
          </w:p>
        </w:tc>
        <w:tc>
          <w:tcPr>
            <w:tcW w:w="1034" w:type="dxa"/>
          </w:tcPr>
          <w:p w14:paraId="6216ED19" w14:textId="53CCC8E9" w:rsidR="00CB74C7" w:rsidRPr="00520D76" w:rsidRDefault="00CB74C7" w:rsidP="00CB74C7">
            <w:pPr>
              <w:jc w:val="center"/>
            </w:pPr>
            <w:r w:rsidRPr="005B61BC">
              <w:t xml:space="preserve"> $103,102 </w:t>
            </w:r>
          </w:p>
        </w:tc>
      </w:tr>
      <w:tr w:rsidR="00CB74C7" w14:paraId="79494B2B" w14:textId="77777777" w:rsidTr="003A45E5">
        <w:tc>
          <w:tcPr>
            <w:tcW w:w="1117" w:type="dxa"/>
            <w:vMerge/>
          </w:tcPr>
          <w:p w14:paraId="2B16B887" w14:textId="77777777" w:rsidR="00CB74C7" w:rsidRDefault="00CB74C7" w:rsidP="00CB74C7">
            <w:pPr>
              <w:rPr>
                <w:lang w:eastAsia="en-AU"/>
              </w:rPr>
            </w:pPr>
          </w:p>
        </w:tc>
        <w:tc>
          <w:tcPr>
            <w:tcW w:w="1773" w:type="dxa"/>
          </w:tcPr>
          <w:p w14:paraId="21B1E3E5" w14:textId="74125C71" w:rsidR="00CB74C7" w:rsidRPr="00106D4C" w:rsidRDefault="00CB74C7" w:rsidP="00CB74C7">
            <w:r w:rsidRPr="004646C4">
              <w:t>Business: 4 activities</w:t>
            </w:r>
          </w:p>
        </w:tc>
        <w:tc>
          <w:tcPr>
            <w:tcW w:w="1116" w:type="dxa"/>
          </w:tcPr>
          <w:p w14:paraId="40807B4B" w14:textId="345AF5BB" w:rsidR="00CB74C7" w:rsidRPr="003C5E0C" w:rsidRDefault="00CB74C7" w:rsidP="00CB74C7">
            <w:pPr>
              <w:jc w:val="center"/>
            </w:pPr>
            <w:r w:rsidRPr="00AB30CE">
              <w:t>23</w:t>
            </w:r>
          </w:p>
        </w:tc>
        <w:tc>
          <w:tcPr>
            <w:tcW w:w="1116" w:type="dxa"/>
          </w:tcPr>
          <w:p w14:paraId="1C06C171" w14:textId="407EB82A" w:rsidR="00CB74C7" w:rsidRPr="00671498" w:rsidRDefault="00CB74C7" w:rsidP="00CB74C7">
            <w:pPr>
              <w:jc w:val="center"/>
            </w:pPr>
            <w:r w:rsidRPr="007D1603">
              <w:t>22</w:t>
            </w:r>
          </w:p>
        </w:tc>
        <w:tc>
          <w:tcPr>
            <w:tcW w:w="1128" w:type="dxa"/>
          </w:tcPr>
          <w:p w14:paraId="4A37D3AF" w14:textId="3F7352A5" w:rsidR="00CB74C7" w:rsidRPr="00421F2D" w:rsidRDefault="00CB74C7" w:rsidP="00CB74C7">
            <w:pPr>
              <w:jc w:val="center"/>
            </w:pPr>
            <w:r w:rsidRPr="0049443F">
              <w:t xml:space="preserve"> $46,701 </w:t>
            </w:r>
          </w:p>
        </w:tc>
        <w:tc>
          <w:tcPr>
            <w:tcW w:w="1116" w:type="dxa"/>
          </w:tcPr>
          <w:p w14:paraId="5AC0ACED" w14:textId="4561B37B" w:rsidR="00CB74C7" w:rsidRPr="00B67767" w:rsidRDefault="00CB74C7" w:rsidP="00CB74C7">
            <w:pPr>
              <w:jc w:val="center"/>
            </w:pPr>
            <w:r w:rsidRPr="00B71905">
              <w:t>26</w:t>
            </w:r>
          </w:p>
        </w:tc>
        <w:tc>
          <w:tcPr>
            <w:tcW w:w="1116" w:type="dxa"/>
          </w:tcPr>
          <w:p w14:paraId="2CB6DD76" w14:textId="23E5EC32" w:rsidR="00CB74C7" w:rsidRPr="009C397D" w:rsidRDefault="00CB74C7" w:rsidP="00CB74C7">
            <w:pPr>
              <w:jc w:val="center"/>
            </w:pPr>
            <w:r w:rsidRPr="00282C22">
              <w:t>25</w:t>
            </w:r>
          </w:p>
        </w:tc>
        <w:tc>
          <w:tcPr>
            <w:tcW w:w="1034" w:type="dxa"/>
          </w:tcPr>
          <w:p w14:paraId="7E5AB7C7" w14:textId="7244759F" w:rsidR="00CB74C7" w:rsidRPr="00520D76" w:rsidRDefault="00CB74C7" w:rsidP="00CB74C7">
            <w:pPr>
              <w:jc w:val="center"/>
            </w:pPr>
            <w:r w:rsidRPr="005B61BC">
              <w:t xml:space="preserve"> $63,582 </w:t>
            </w:r>
          </w:p>
        </w:tc>
      </w:tr>
      <w:tr w:rsidR="00697CFC" w14:paraId="549D035A" w14:textId="77777777" w:rsidTr="003A45E5">
        <w:tc>
          <w:tcPr>
            <w:tcW w:w="1117" w:type="dxa"/>
            <w:vMerge w:val="restart"/>
          </w:tcPr>
          <w:p w14:paraId="12E50E7F" w14:textId="63827355" w:rsidR="00697CFC" w:rsidRDefault="00697CFC" w:rsidP="00AB3D72">
            <w:pPr>
              <w:rPr>
                <w:lang w:eastAsia="en-AU"/>
              </w:rPr>
            </w:pPr>
            <w:r>
              <w:rPr>
                <w:lang w:eastAsia="en-AU"/>
              </w:rPr>
              <w:t>Variation Applications</w:t>
            </w:r>
          </w:p>
        </w:tc>
        <w:tc>
          <w:tcPr>
            <w:tcW w:w="1773" w:type="dxa"/>
          </w:tcPr>
          <w:p w14:paraId="7869E205" w14:textId="140D2B87" w:rsidR="00697CFC" w:rsidRPr="004646C4" w:rsidRDefault="00697CFC" w:rsidP="00AB3D72">
            <w:r w:rsidRPr="00E83792">
              <w:t>Private Security Licence – Individual Operator</w:t>
            </w:r>
            <w:r w:rsidR="0036598D">
              <w:t xml:space="preserve"> </w:t>
            </w:r>
            <w:r w:rsidRPr="00E83792" w:rsidDel="0036598D">
              <w:t xml:space="preserve"> </w:t>
            </w:r>
            <w:r w:rsidR="0036598D">
              <w:t xml:space="preserve"> </w:t>
            </w:r>
          </w:p>
        </w:tc>
        <w:tc>
          <w:tcPr>
            <w:tcW w:w="1116" w:type="dxa"/>
          </w:tcPr>
          <w:p w14:paraId="1110C963" w14:textId="48EBD6FF" w:rsidR="00697CFC" w:rsidRPr="00AB30CE" w:rsidRDefault="00697CFC" w:rsidP="00AB3D72">
            <w:pPr>
              <w:jc w:val="center"/>
            </w:pPr>
            <w:r w:rsidRPr="00A26B9B">
              <w:t>441</w:t>
            </w:r>
          </w:p>
        </w:tc>
        <w:tc>
          <w:tcPr>
            <w:tcW w:w="1116" w:type="dxa"/>
          </w:tcPr>
          <w:p w14:paraId="4C0AA046" w14:textId="1AA3E2C9" w:rsidR="00697CFC" w:rsidRPr="007D1603" w:rsidRDefault="00697CFC" w:rsidP="00AB3D72">
            <w:pPr>
              <w:jc w:val="center"/>
            </w:pPr>
            <w:r w:rsidRPr="00A26B9B">
              <w:t>395</w:t>
            </w:r>
          </w:p>
        </w:tc>
        <w:tc>
          <w:tcPr>
            <w:tcW w:w="1128" w:type="dxa"/>
          </w:tcPr>
          <w:p w14:paraId="4EB377F1" w14:textId="6D60FF63" w:rsidR="00697CFC" w:rsidRPr="0049443F" w:rsidRDefault="00697CFC" w:rsidP="00AB3D72">
            <w:pPr>
              <w:jc w:val="center"/>
            </w:pPr>
            <w:r w:rsidRPr="009A79B4">
              <w:t xml:space="preserve"> $54,558 </w:t>
            </w:r>
          </w:p>
        </w:tc>
        <w:tc>
          <w:tcPr>
            <w:tcW w:w="1116" w:type="dxa"/>
          </w:tcPr>
          <w:p w14:paraId="560D4293" w14:textId="5E0BE6C3" w:rsidR="00697CFC" w:rsidRPr="00B71905" w:rsidRDefault="00697CFC" w:rsidP="00AB3D72">
            <w:pPr>
              <w:jc w:val="center"/>
            </w:pPr>
            <w:r w:rsidRPr="00AC7842">
              <w:t>492</w:t>
            </w:r>
          </w:p>
        </w:tc>
        <w:tc>
          <w:tcPr>
            <w:tcW w:w="1116" w:type="dxa"/>
          </w:tcPr>
          <w:p w14:paraId="55BFDC11" w14:textId="09A0BF07" w:rsidR="00697CFC" w:rsidRPr="00282C22" w:rsidRDefault="00697CFC" w:rsidP="00AB3D72">
            <w:pPr>
              <w:jc w:val="center"/>
            </w:pPr>
            <w:r w:rsidRPr="00AC7842">
              <w:t>443</w:t>
            </w:r>
          </w:p>
        </w:tc>
        <w:tc>
          <w:tcPr>
            <w:tcW w:w="1034" w:type="dxa"/>
          </w:tcPr>
          <w:p w14:paraId="3C6A49C6" w14:textId="385FF74D" w:rsidR="00697CFC" w:rsidRPr="005B61BC" w:rsidRDefault="00697CFC" w:rsidP="00AB3D72">
            <w:pPr>
              <w:jc w:val="center"/>
            </w:pPr>
            <w:r w:rsidRPr="003365D7">
              <w:t xml:space="preserve"> $74,503 </w:t>
            </w:r>
          </w:p>
        </w:tc>
      </w:tr>
      <w:tr w:rsidR="00697CFC" w14:paraId="0ED47E74" w14:textId="77777777" w:rsidTr="003A45E5">
        <w:tc>
          <w:tcPr>
            <w:tcW w:w="1117" w:type="dxa"/>
            <w:vMerge/>
          </w:tcPr>
          <w:p w14:paraId="2696660B" w14:textId="77777777" w:rsidR="00697CFC" w:rsidRDefault="00697CFC" w:rsidP="00AB3D72">
            <w:pPr>
              <w:rPr>
                <w:lang w:eastAsia="en-AU"/>
              </w:rPr>
            </w:pPr>
          </w:p>
        </w:tc>
        <w:tc>
          <w:tcPr>
            <w:tcW w:w="1773" w:type="dxa"/>
          </w:tcPr>
          <w:p w14:paraId="72D57F5F" w14:textId="50B85506" w:rsidR="00697CFC" w:rsidRPr="004646C4" w:rsidRDefault="00697CFC" w:rsidP="00AB3D72">
            <w:r w:rsidRPr="00E83792">
              <w:t>Private Security Licence – Business</w:t>
            </w:r>
            <w:r w:rsidR="0036598D">
              <w:t xml:space="preserve">            </w:t>
            </w:r>
          </w:p>
        </w:tc>
        <w:tc>
          <w:tcPr>
            <w:tcW w:w="1116" w:type="dxa"/>
          </w:tcPr>
          <w:p w14:paraId="03845561" w14:textId="1C3FECF3" w:rsidR="00697CFC" w:rsidRPr="00AB30CE" w:rsidRDefault="00697CFC" w:rsidP="00AB3D72">
            <w:pPr>
              <w:jc w:val="center"/>
            </w:pPr>
            <w:r w:rsidRPr="00A26B9B">
              <w:t>8</w:t>
            </w:r>
          </w:p>
        </w:tc>
        <w:tc>
          <w:tcPr>
            <w:tcW w:w="1116" w:type="dxa"/>
          </w:tcPr>
          <w:p w14:paraId="06CC1314" w14:textId="5B71D508" w:rsidR="00697CFC" w:rsidRPr="007D1603" w:rsidRDefault="00697CFC" w:rsidP="00AB3D72">
            <w:pPr>
              <w:jc w:val="center"/>
            </w:pPr>
            <w:r w:rsidRPr="00A26B9B">
              <w:t>7</w:t>
            </w:r>
          </w:p>
        </w:tc>
        <w:tc>
          <w:tcPr>
            <w:tcW w:w="1128" w:type="dxa"/>
          </w:tcPr>
          <w:p w14:paraId="5E049984" w14:textId="3D3275F2" w:rsidR="00697CFC" w:rsidRPr="0049443F" w:rsidRDefault="00697CFC" w:rsidP="00AB3D72">
            <w:pPr>
              <w:jc w:val="center"/>
            </w:pPr>
            <w:r w:rsidRPr="009A79B4">
              <w:t xml:space="preserve"> $3,347 </w:t>
            </w:r>
          </w:p>
        </w:tc>
        <w:tc>
          <w:tcPr>
            <w:tcW w:w="1116" w:type="dxa"/>
          </w:tcPr>
          <w:p w14:paraId="71824015" w14:textId="76CD3081" w:rsidR="00697CFC" w:rsidRPr="00B71905" w:rsidRDefault="00697CFC" w:rsidP="00AB3D72">
            <w:pPr>
              <w:jc w:val="center"/>
            </w:pPr>
            <w:r w:rsidRPr="00AC7842">
              <w:t>9</w:t>
            </w:r>
          </w:p>
        </w:tc>
        <w:tc>
          <w:tcPr>
            <w:tcW w:w="1116" w:type="dxa"/>
          </w:tcPr>
          <w:p w14:paraId="2CE14B62" w14:textId="38CAB136" w:rsidR="00697CFC" w:rsidRPr="00282C22" w:rsidRDefault="00697CFC" w:rsidP="00AB3D72">
            <w:pPr>
              <w:jc w:val="center"/>
            </w:pPr>
            <w:r w:rsidRPr="00AC7842">
              <w:t>8</w:t>
            </w:r>
          </w:p>
        </w:tc>
        <w:tc>
          <w:tcPr>
            <w:tcW w:w="1034" w:type="dxa"/>
          </w:tcPr>
          <w:p w14:paraId="5A15BBDA" w14:textId="549F1C43" w:rsidR="00697CFC" w:rsidRPr="005B61BC" w:rsidRDefault="00697CFC" w:rsidP="00AB3D72">
            <w:pPr>
              <w:jc w:val="center"/>
            </w:pPr>
            <w:r w:rsidRPr="003365D7">
              <w:t xml:space="preserve"> $4,801 </w:t>
            </w:r>
          </w:p>
        </w:tc>
      </w:tr>
      <w:tr w:rsidR="00697CFC" w14:paraId="5C45554C" w14:textId="77777777" w:rsidTr="003A45E5">
        <w:tc>
          <w:tcPr>
            <w:tcW w:w="1117" w:type="dxa"/>
            <w:vMerge/>
          </w:tcPr>
          <w:p w14:paraId="0903DCF8" w14:textId="77777777" w:rsidR="00697CFC" w:rsidRDefault="00697CFC" w:rsidP="00AB3D72">
            <w:pPr>
              <w:rPr>
                <w:lang w:eastAsia="en-AU"/>
              </w:rPr>
            </w:pPr>
          </w:p>
        </w:tc>
        <w:tc>
          <w:tcPr>
            <w:tcW w:w="1773" w:type="dxa"/>
          </w:tcPr>
          <w:p w14:paraId="7440CBBD" w14:textId="0EB6D4FD" w:rsidR="00697CFC" w:rsidRPr="004646C4" w:rsidRDefault="00697CFC" w:rsidP="00AB3D72">
            <w:r w:rsidRPr="00E83792">
              <w:t>Private Security</w:t>
            </w:r>
            <w:r w:rsidR="0036598D">
              <w:t xml:space="preserve"> </w:t>
            </w:r>
            <w:r w:rsidRPr="00E83792">
              <w:t>Registration -</w:t>
            </w:r>
            <w:r w:rsidR="0036598D">
              <w:t xml:space="preserve"> </w:t>
            </w:r>
            <w:r w:rsidRPr="00E83792">
              <w:t>Individual</w:t>
            </w:r>
            <w:r w:rsidR="0036598D">
              <w:t xml:space="preserve">        </w:t>
            </w:r>
            <w:r w:rsidRPr="00E83792">
              <w:t xml:space="preserve"> </w:t>
            </w:r>
          </w:p>
        </w:tc>
        <w:tc>
          <w:tcPr>
            <w:tcW w:w="1116" w:type="dxa"/>
          </w:tcPr>
          <w:p w14:paraId="74D513F5" w14:textId="39067AEF" w:rsidR="00697CFC" w:rsidRPr="00AB30CE" w:rsidRDefault="00697CFC" w:rsidP="00AB3D72">
            <w:pPr>
              <w:jc w:val="center"/>
            </w:pPr>
            <w:r w:rsidRPr="00A26B9B">
              <w:t>7</w:t>
            </w:r>
          </w:p>
        </w:tc>
        <w:tc>
          <w:tcPr>
            <w:tcW w:w="1116" w:type="dxa"/>
          </w:tcPr>
          <w:p w14:paraId="2D6B996A" w14:textId="48A6F34C" w:rsidR="00697CFC" w:rsidRPr="007D1603" w:rsidRDefault="00697CFC" w:rsidP="00AB3D72">
            <w:pPr>
              <w:jc w:val="center"/>
            </w:pPr>
            <w:r w:rsidRPr="00A26B9B">
              <w:t>6</w:t>
            </w:r>
          </w:p>
        </w:tc>
        <w:tc>
          <w:tcPr>
            <w:tcW w:w="1128" w:type="dxa"/>
          </w:tcPr>
          <w:p w14:paraId="13E93148" w14:textId="53E39DDA" w:rsidR="00697CFC" w:rsidRPr="0049443F" w:rsidRDefault="00697CFC" w:rsidP="00AB3D72">
            <w:pPr>
              <w:jc w:val="center"/>
            </w:pPr>
            <w:r w:rsidRPr="009A79B4">
              <w:t xml:space="preserve"> $637 </w:t>
            </w:r>
          </w:p>
        </w:tc>
        <w:tc>
          <w:tcPr>
            <w:tcW w:w="1116" w:type="dxa"/>
          </w:tcPr>
          <w:p w14:paraId="74144C5A" w14:textId="52FD3145" w:rsidR="00697CFC" w:rsidRPr="00B71905" w:rsidRDefault="00697CFC" w:rsidP="00AB3D72">
            <w:pPr>
              <w:jc w:val="center"/>
            </w:pPr>
            <w:r w:rsidRPr="00AC7842">
              <w:t>8</w:t>
            </w:r>
          </w:p>
        </w:tc>
        <w:tc>
          <w:tcPr>
            <w:tcW w:w="1116" w:type="dxa"/>
          </w:tcPr>
          <w:p w14:paraId="49C2178C" w14:textId="5657F6F0" w:rsidR="00697CFC" w:rsidRPr="00282C22" w:rsidRDefault="00697CFC" w:rsidP="00AB3D72">
            <w:pPr>
              <w:jc w:val="center"/>
            </w:pPr>
            <w:r w:rsidRPr="00AC7842">
              <w:t>7</w:t>
            </w:r>
          </w:p>
        </w:tc>
        <w:tc>
          <w:tcPr>
            <w:tcW w:w="1034" w:type="dxa"/>
          </w:tcPr>
          <w:p w14:paraId="360E43A1" w14:textId="770C27A1" w:rsidR="00697CFC" w:rsidRPr="005B61BC" w:rsidRDefault="00697CFC" w:rsidP="00AB3D72">
            <w:pPr>
              <w:jc w:val="center"/>
            </w:pPr>
            <w:r w:rsidRPr="003365D7">
              <w:t xml:space="preserve"> $1,207 </w:t>
            </w:r>
          </w:p>
        </w:tc>
      </w:tr>
      <w:tr w:rsidR="00697CFC" w14:paraId="0915BF24" w14:textId="77777777" w:rsidTr="003A45E5">
        <w:tc>
          <w:tcPr>
            <w:tcW w:w="1117" w:type="dxa"/>
            <w:vMerge/>
          </w:tcPr>
          <w:p w14:paraId="6AE62E55" w14:textId="77777777" w:rsidR="00697CFC" w:rsidRDefault="00697CFC" w:rsidP="00AB3D72">
            <w:pPr>
              <w:rPr>
                <w:lang w:eastAsia="en-AU"/>
              </w:rPr>
            </w:pPr>
          </w:p>
        </w:tc>
        <w:tc>
          <w:tcPr>
            <w:tcW w:w="1773" w:type="dxa"/>
          </w:tcPr>
          <w:p w14:paraId="1B8C5809" w14:textId="259F8B5F" w:rsidR="00697CFC" w:rsidRPr="004646C4" w:rsidRDefault="00697CFC" w:rsidP="00AB3D72">
            <w:r w:rsidRPr="00E83792">
              <w:t>Private Security</w:t>
            </w:r>
            <w:r w:rsidR="0036598D">
              <w:t xml:space="preserve"> </w:t>
            </w:r>
            <w:r w:rsidRPr="00E83792">
              <w:t>Registration - Business</w:t>
            </w:r>
            <w:r w:rsidR="0036598D">
              <w:t xml:space="preserve">        </w:t>
            </w:r>
          </w:p>
        </w:tc>
        <w:tc>
          <w:tcPr>
            <w:tcW w:w="1116" w:type="dxa"/>
          </w:tcPr>
          <w:p w14:paraId="721A0D22" w14:textId="47D08798" w:rsidR="00697CFC" w:rsidRPr="00AB30CE" w:rsidRDefault="00697CFC" w:rsidP="00AB3D72">
            <w:pPr>
              <w:jc w:val="center"/>
            </w:pPr>
            <w:r w:rsidRPr="00A26B9B">
              <w:t>1</w:t>
            </w:r>
          </w:p>
        </w:tc>
        <w:tc>
          <w:tcPr>
            <w:tcW w:w="1116" w:type="dxa"/>
          </w:tcPr>
          <w:p w14:paraId="6C76D692" w14:textId="25EEBC05" w:rsidR="00697CFC" w:rsidRPr="007D1603" w:rsidRDefault="00697CFC" w:rsidP="00AB3D72">
            <w:pPr>
              <w:jc w:val="center"/>
            </w:pPr>
            <w:r w:rsidRPr="00A26B9B">
              <w:t>1</w:t>
            </w:r>
          </w:p>
        </w:tc>
        <w:tc>
          <w:tcPr>
            <w:tcW w:w="1128" w:type="dxa"/>
          </w:tcPr>
          <w:p w14:paraId="26129DBF" w14:textId="5E2BA556" w:rsidR="00697CFC" w:rsidRPr="0049443F" w:rsidRDefault="00697CFC" w:rsidP="00AB3D72">
            <w:pPr>
              <w:jc w:val="center"/>
            </w:pPr>
            <w:r w:rsidRPr="009A79B4">
              <w:t xml:space="preserve"> $257 </w:t>
            </w:r>
          </w:p>
        </w:tc>
        <w:tc>
          <w:tcPr>
            <w:tcW w:w="1116" w:type="dxa"/>
          </w:tcPr>
          <w:p w14:paraId="333A61DC" w14:textId="07A92AFC" w:rsidR="00697CFC" w:rsidRPr="00B71905" w:rsidRDefault="00697CFC" w:rsidP="00AB3D72">
            <w:pPr>
              <w:jc w:val="center"/>
            </w:pPr>
            <w:r w:rsidRPr="00AC7842">
              <w:t>1</w:t>
            </w:r>
          </w:p>
        </w:tc>
        <w:tc>
          <w:tcPr>
            <w:tcW w:w="1116" w:type="dxa"/>
          </w:tcPr>
          <w:p w14:paraId="61C8F49C" w14:textId="7FE2B832" w:rsidR="00697CFC" w:rsidRPr="00282C22" w:rsidRDefault="00697CFC" w:rsidP="00AB3D72">
            <w:pPr>
              <w:jc w:val="center"/>
            </w:pPr>
            <w:r w:rsidRPr="00AC7842">
              <w:t>1</w:t>
            </w:r>
          </w:p>
        </w:tc>
        <w:tc>
          <w:tcPr>
            <w:tcW w:w="1034" w:type="dxa"/>
          </w:tcPr>
          <w:p w14:paraId="755CEDA5" w14:textId="28593DE8" w:rsidR="00697CFC" w:rsidRPr="005B61BC" w:rsidRDefault="00697CFC" w:rsidP="00AB3D72">
            <w:pPr>
              <w:jc w:val="center"/>
            </w:pPr>
            <w:r w:rsidRPr="003365D7">
              <w:t xml:space="preserve"> $616 </w:t>
            </w:r>
          </w:p>
        </w:tc>
      </w:tr>
      <w:tr w:rsidR="002E195E" w14:paraId="32595BFD" w14:textId="77777777" w:rsidTr="003A45E5">
        <w:tc>
          <w:tcPr>
            <w:tcW w:w="1117" w:type="dxa"/>
          </w:tcPr>
          <w:p w14:paraId="38BD7A9D" w14:textId="2E85F06D" w:rsidR="002E195E" w:rsidRPr="003A45E5" w:rsidRDefault="002E195E" w:rsidP="002E195E">
            <w:pPr>
              <w:rPr>
                <w:b/>
                <w:bCs/>
                <w:lang w:eastAsia="en-AU"/>
              </w:rPr>
            </w:pPr>
            <w:r w:rsidRPr="003A45E5">
              <w:rPr>
                <w:b/>
                <w:bCs/>
                <w:lang w:eastAsia="en-AU"/>
              </w:rPr>
              <w:t>TOTAL</w:t>
            </w:r>
          </w:p>
        </w:tc>
        <w:tc>
          <w:tcPr>
            <w:tcW w:w="1773" w:type="dxa"/>
          </w:tcPr>
          <w:p w14:paraId="5815B845" w14:textId="77777777" w:rsidR="002E195E" w:rsidRPr="003A45E5" w:rsidRDefault="002E195E" w:rsidP="002E195E">
            <w:pPr>
              <w:rPr>
                <w:b/>
                <w:bCs/>
              </w:rPr>
            </w:pPr>
          </w:p>
        </w:tc>
        <w:tc>
          <w:tcPr>
            <w:tcW w:w="1116" w:type="dxa"/>
          </w:tcPr>
          <w:p w14:paraId="544B03BC" w14:textId="0C0BE7B8" w:rsidR="002E195E" w:rsidRPr="003A45E5" w:rsidRDefault="002E195E" w:rsidP="002E195E">
            <w:pPr>
              <w:jc w:val="center"/>
              <w:rPr>
                <w:b/>
                <w:bCs/>
              </w:rPr>
            </w:pPr>
            <w:r w:rsidRPr="003A45E5">
              <w:rPr>
                <w:b/>
                <w:bCs/>
              </w:rPr>
              <w:t>19,339</w:t>
            </w:r>
          </w:p>
        </w:tc>
        <w:tc>
          <w:tcPr>
            <w:tcW w:w="1116" w:type="dxa"/>
          </w:tcPr>
          <w:p w14:paraId="5CDB26E0" w14:textId="0F11DC28" w:rsidR="002E195E" w:rsidRPr="003A45E5" w:rsidRDefault="002E195E" w:rsidP="002E195E">
            <w:pPr>
              <w:jc w:val="center"/>
              <w:rPr>
                <w:b/>
                <w:bCs/>
              </w:rPr>
            </w:pPr>
            <w:r w:rsidRPr="003A45E5">
              <w:rPr>
                <w:b/>
                <w:bCs/>
              </w:rPr>
              <w:t>17,905</w:t>
            </w:r>
          </w:p>
        </w:tc>
        <w:tc>
          <w:tcPr>
            <w:tcW w:w="1128" w:type="dxa"/>
          </w:tcPr>
          <w:p w14:paraId="5E6F4893" w14:textId="0FD1EC92" w:rsidR="002E195E" w:rsidRPr="003A45E5" w:rsidRDefault="002E195E" w:rsidP="002E195E">
            <w:pPr>
              <w:jc w:val="center"/>
              <w:rPr>
                <w:b/>
                <w:bCs/>
              </w:rPr>
            </w:pPr>
            <w:r w:rsidRPr="003A45E5">
              <w:rPr>
                <w:b/>
                <w:bCs/>
              </w:rPr>
              <w:t xml:space="preserve"> $9,844,422 </w:t>
            </w:r>
          </w:p>
        </w:tc>
        <w:tc>
          <w:tcPr>
            <w:tcW w:w="1116" w:type="dxa"/>
          </w:tcPr>
          <w:p w14:paraId="6E400A23" w14:textId="7D58D283" w:rsidR="002E195E" w:rsidRPr="003A45E5" w:rsidRDefault="002E195E" w:rsidP="002E195E">
            <w:pPr>
              <w:jc w:val="center"/>
              <w:rPr>
                <w:b/>
                <w:bCs/>
              </w:rPr>
            </w:pPr>
            <w:r w:rsidRPr="003A45E5">
              <w:rPr>
                <w:b/>
                <w:bCs/>
              </w:rPr>
              <w:t>21,597</w:t>
            </w:r>
          </w:p>
        </w:tc>
        <w:tc>
          <w:tcPr>
            <w:tcW w:w="1116" w:type="dxa"/>
          </w:tcPr>
          <w:p w14:paraId="29D1DFA5" w14:textId="627E4D8D" w:rsidR="002E195E" w:rsidRPr="003A45E5" w:rsidRDefault="002E195E" w:rsidP="002E195E">
            <w:pPr>
              <w:jc w:val="center"/>
              <w:rPr>
                <w:b/>
                <w:bCs/>
              </w:rPr>
            </w:pPr>
            <w:r w:rsidRPr="003A45E5">
              <w:rPr>
                <w:b/>
                <w:bCs/>
              </w:rPr>
              <w:t>19,999</w:t>
            </w:r>
          </w:p>
        </w:tc>
        <w:tc>
          <w:tcPr>
            <w:tcW w:w="1034" w:type="dxa"/>
          </w:tcPr>
          <w:p w14:paraId="737D8B63" w14:textId="38873610" w:rsidR="002E195E" w:rsidRPr="003A45E5" w:rsidRDefault="002E195E" w:rsidP="002E195E">
            <w:pPr>
              <w:jc w:val="center"/>
              <w:rPr>
                <w:b/>
                <w:bCs/>
              </w:rPr>
            </w:pPr>
            <w:r w:rsidRPr="003A45E5">
              <w:rPr>
                <w:b/>
                <w:bCs/>
              </w:rPr>
              <w:t xml:space="preserve">$13,917,197 </w:t>
            </w:r>
          </w:p>
        </w:tc>
      </w:tr>
    </w:tbl>
    <w:p w14:paraId="61979699" w14:textId="5B30245C" w:rsidR="00697CFC" w:rsidRPr="00697CFC" w:rsidRDefault="00697CFC" w:rsidP="00697CFC">
      <w:pPr>
        <w:rPr>
          <w:i/>
          <w:iCs/>
          <w:lang w:eastAsia="en-AU"/>
        </w:rPr>
      </w:pPr>
      <w:r>
        <w:rPr>
          <w:i/>
          <w:iCs/>
          <w:lang w:eastAsia="en-AU"/>
        </w:rPr>
        <w:t xml:space="preserve">Note: </w:t>
      </w:r>
      <w:r w:rsidRPr="00697CFC">
        <w:rPr>
          <w:i/>
          <w:iCs/>
          <w:lang w:eastAsia="en-AU"/>
        </w:rPr>
        <w:t xml:space="preserve">To estimate the expected on-going revenue received through individual and business application fees under the Option 2 fee structure (using current fee values), a 10-year average annual revenue estimate was calculated. The calculated revenue assumes that application volumes grow annually in alignment with Victorian population growth, that the proportion of approved application remains constant over time and that registration-related fees are incorporated under a single-tier licensing system (with the same fee value as the current licence-related fees). </w:t>
      </w:r>
    </w:p>
    <w:p w14:paraId="29CF1BA7" w14:textId="4039D044" w:rsidR="00072035" w:rsidRDefault="00072035">
      <w:pPr>
        <w:spacing w:after="0"/>
        <w:rPr>
          <w:lang w:eastAsia="en-AU"/>
        </w:rPr>
      </w:pPr>
      <w:r>
        <w:rPr>
          <w:lang w:eastAsia="en-AU"/>
        </w:rPr>
        <w:br w:type="page"/>
      </w:r>
    </w:p>
    <w:p w14:paraId="2F7B3BA7" w14:textId="2D231469" w:rsidR="00072035" w:rsidRDefault="00072035" w:rsidP="00072035">
      <w:pPr>
        <w:pStyle w:val="Heading2un-numbered"/>
        <w:rPr>
          <w:lang w:eastAsia="en-AU"/>
        </w:rPr>
      </w:pPr>
      <w:bookmarkStart w:id="123" w:name="_Toc189832275"/>
      <w:r>
        <w:rPr>
          <w:lang w:eastAsia="en-AU"/>
        </w:rPr>
        <w:lastRenderedPageBreak/>
        <w:t>A.4 Further breakdown of proposed fee structure</w:t>
      </w:r>
      <w:bookmarkEnd w:id="123"/>
      <w:r>
        <w:rPr>
          <w:lang w:eastAsia="en-AU"/>
        </w:rPr>
        <w:t xml:space="preserve"> </w:t>
      </w:r>
    </w:p>
    <w:p w14:paraId="40CC9895" w14:textId="00131B69" w:rsidR="00072035" w:rsidRDefault="00A312C6" w:rsidP="006C427A">
      <w:pPr>
        <w:pStyle w:val="Caption"/>
        <w:rPr>
          <w:lang w:eastAsia="en-AU"/>
        </w:rPr>
      </w:pPr>
      <w:r>
        <w:t xml:space="preserve">Table A </w:t>
      </w:r>
      <w:r>
        <w:fldChar w:fldCharType="begin"/>
      </w:r>
      <w:r>
        <w:instrText xml:space="preserve"> SEQ Table_A \* ARABIC </w:instrText>
      </w:r>
      <w:r>
        <w:fldChar w:fldCharType="separate"/>
      </w:r>
      <w:r w:rsidR="009D133E">
        <w:rPr>
          <w:noProof/>
        </w:rPr>
        <w:t>10</w:t>
      </w:r>
      <w:r>
        <w:fldChar w:fldCharType="end"/>
      </w:r>
      <w:r w:rsidRPr="00697CFC">
        <w:t xml:space="preserve"> </w:t>
      </w:r>
      <w:r>
        <w:rPr>
          <w:lang w:eastAsia="en-AU"/>
        </w:rPr>
        <w:t>B</w:t>
      </w:r>
      <w:r w:rsidR="00DF7391">
        <w:rPr>
          <w:lang w:eastAsia="en-AU"/>
        </w:rPr>
        <w:t xml:space="preserve">reakdown of proposed fee structure </w:t>
      </w:r>
      <w:r w:rsidR="009F2E11">
        <w:rPr>
          <w:lang w:eastAsia="en-AU"/>
        </w:rPr>
        <w:t>for</w:t>
      </w:r>
      <w:r w:rsidR="00DF7391">
        <w:rPr>
          <w:lang w:eastAsia="en-AU"/>
        </w:rPr>
        <w:t xml:space="preserve"> </w:t>
      </w:r>
      <w:r w:rsidR="006C427A">
        <w:rPr>
          <w:lang w:eastAsia="en-AU"/>
        </w:rPr>
        <w:t>application and maintenance fee</w:t>
      </w:r>
      <w:r w:rsidR="009F2E11">
        <w:rPr>
          <w:lang w:eastAsia="en-AU"/>
        </w:rPr>
        <w:t>s</w:t>
      </w:r>
      <w:r w:rsidR="009E43E8">
        <w:rPr>
          <w:lang w:eastAsia="en-AU"/>
        </w:rPr>
        <w:t>, for business licences</w:t>
      </w:r>
      <w:r w:rsidR="006C427A">
        <w:rPr>
          <w:lang w:eastAsia="en-AU"/>
        </w:rPr>
        <w:t xml:space="preserve"> </w:t>
      </w:r>
    </w:p>
    <w:tbl>
      <w:tblPr>
        <w:tblStyle w:val="Deloittetable"/>
        <w:tblW w:w="4999" w:type="pct"/>
        <w:tblLook w:val="04A0" w:firstRow="1" w:lastRow="0" w:firstColumn="1" w:lastColumn="0" w:noHBand="0" w:noVBand="1"/>
      </w:tblPr>
      <w:tblGrid>
        <w:gridCol w:w="1608"/>
        <w:gridCol w:w="1606"/>
        <w:gridCol w:w="1606"/>
        <w:gridCol w:w="1606"/>
        <w:gridCol w:w="1606"/>
        <w:gridCol w:w="1604"/>
      </w:tblGrid>
      <w:tr w:rsidR="00E837B0" w:rsidRPr="00294696" w14:paraId="3FA0C80C" w14:textId="77777777" w:rsidTr="00557B4A">
        <w:trPr>
          <w:cnfStyle w:val="100000000000" w:firstRow="1" w:lastRow="0" w:firstColumn="0" w:lastColumn="0" w:oddVBand="0" w:evenVBand="0" w:oddHBand="0" w:evenHBand="0" w:firstRowFirstColumn="0" w:firstRowLastColumn="0" w:lastRowFirstColumn="0" w:lastRowLastColumn="0"/>
          <w:tblHeader/>
        </w:trPr>
        <w:tc>
          <w:tcPr>
            <w:tcW w:w="834" w:type="pct"/>
          </w:tcPr>
          <w:p w14:paraId="29664545" w14:textId="77777777" w:rsidR="00E837B0" w:rsidRPr="002F3D61" w:rsidRDefault="00E837B0" w:rsidP="00847801">
            <w:pPr>
              <w:pStyle w:val="TabletextLeft"/>
              <w:ind w:left="0"/>
              <w:rPr>
                <w:b/>
                <w:bCs/>
              </w:rPr>
            </w:pPr>
            <w:r w:rsidRPr="002F3D61">
              <w:rPr>
                <w:b/>
                <w:bCs/>
              </w:rPr>
              <w:t>Category</w:t>
            </w:r>
          </w:p>
        </w:tc>
        <w:tc>
          <w:tcPr>
            <w:tcW w:w="833" w:type="pct"/>
            <w:vAlign w:val="center"/>
          </w:tcPr>
          <w:p w14:paraId="04E0E58E" w14:textId="6563668F" w:rsidR="00E837B0" w:rsidRDefault="00E837B0" w:rsidP="00557B4A">
            <w:pPr>
              <w:pStyle w:val="TabletextLeft"/>
              <w:jc w:val="center"/>
              <w:rPr>
                <w:b/>
                <w:bCs/>
              </w:rPr>
            </w:pPr>
            <w:r w:rsidRPr="00587409">
              <w:rPr>
                <w:b/>
                <w:bCs/>
              </w:rPr>
              <w:t>Number of activities to be authorised under the licence</w:t>
            </w:r>
          </w:p>
        </w:tc>
        <w:tc>
          <w:tcPr>
            <w:tcW w:w="833" w:type="pct"/>
            <w:vAlign w:val="center"/>
          </w:tcPr>
          <w:p w14:paraId="685B9AC7" w14:textId="40A94282" w:rsidR="00E837B0" w:rsidRDefault="00E837B0" w:rsidP="00557B4A">
            <w:pPr>
              <w:pStyle w:val="TabletextLeft"/>
              <w:jc w:val="center"/>
              <w:rPr>
                <w:b/>
                <w:bCs/>
              </w:rPr>
            </w:pPr>
            <w:r>
              <w:rPr>
                <w:b/>
                <w:bCs/>
              </w:rPr>
              <w:t>Licence application or renewal fee units</w:t>
            </w:r>
          </w:p>
        </w:tc>
        <w:tc>
          <w:tcPr>
            <w:tcW w:w="833" w:type="pct"/>
            <w:vAlign w:val="center"/>
          </w:tcPr>
          <w:p w14:paraId="653A251F" w14:textId="6C5674CD" w:rsidR="00E837B0" w:rsidRDefault="00E837B0" w:rsidP="00557B4A">
            <w:pPr>
              <w:pStyle w:val="TabletextLeft"/>
              <w:jc w:val="center"/>
              <w:rPr>
                <w:b/>
                <w:bCs/>
              </w:rPr>
            </w:pPr>
            <w:r>
              <w:rPr>
                <w:b/>
                <w:bCs/>
              </w:rPr>
              <w:t>Percentage change in fee units from current fees</w:t>
            </w:r>
          </w:p>
        </w:tc>
        <w:tc>
          <w:tcPr>
            <w:tcW w:w="833" w:type="pct"/>
            <w:vAlign w:val="center"/>
          </w:tcPr>
          <w:p w14:paraId="42D32E62" w14:textId="55883428" w:rsidR="00E837B0" w:rsidRDefault="00E837B0" w:rsidP="00557B4A">
            <w:pPr>
              <w:pStyle w:val="TabletextLeft"/>
              <w:jc w:val="center"/>
              <w:rPr>
                <w:b/>
                <w:bCs/>
              </w:rPr>
            </w:pPr>
            <w:r>
              <w:rPr>
                <w:b/>
                <w:bCs/>
              </w:rPr>
              <w:t xml:space="preserve">Licence maintenance fee </w:t>
            </w:r>
            <w:r w:rsidR="00557B4A">
              <w:rPr>
                <w:b/>
                <w:bCs/>
              </w:rPr>
              <w:t>–</w:t>
            </w:r>
            <w:r>
              <w:rPr>
                <w:b/>
                <w:bCs/>
              </w:rPr>
              <w:t xml:space="preserve"> </w:t>
            </w:r>
            <w:r w:rsidR="00557B4A" w:rsidRPr="00557B4A">
              <w:rPr>
                <w:b/>
                <w:bCs/>
                <w:i/>
                <w:iCs/>
              </w:rPr>
              <w:t>for each month or part of a month for which the licence is granted or renewed</w:t>
            </w:r>
          </w:p>
        </w:tc>
        <w:tc>
          <w:tcPr>
            <w:tcW w:w="832" w:type="pct"/>
            <w:vAlign w:val="center"/>
          </w:tcPr>
          <w:p w14:paraId="3AA74F7A" w14:textId="1D82607A" w:rsidR="00E837B0" w:rsidRDefault="00E837B0" w:rsidP="00557B4A">
            <w:pPr>
              <w:pStyle w:val="TabletextLeft"/>
              <w:jc w:val="center"/>
              <w:rPr>
                <w:b/>
                <w:bCs/>
              </w:rPr>
            </w:pPr>
            <w:r>
              <w:rPr>
                <w:b/>
                <w:bCs/>
              </w:rPr>
              <w:t>Percentage change in fee units from current fees</w:t>
            </w:r>
          </w:p>
        </w:tc>
      </w:tr>
      <w:tr w:rsidR="00E837B0" w:rsidRPr="00294696" w14:paraId="0CFE6B6F" w14:textId="77777777" w:rsidTr="00E837B0">
        <w:tc>
          <w:tcPr>
            <w:tcW w:w="834" w:type="pct"/>
            <w:vMerge w:val="restart"/>
          </w:tcPr>
          <w:p w14:paraId="16274E34" w14:textId="77777777" w:rsidR="00E837B0" w:rsidRPr="00294696" w:rsidRDefault="00E837B0" w:rsidP="00847801">
            <w:pPr>
              <w:pStyle w:val="TabletextLeft"/>
            </w:pPr>
            <w:r>
              <w:t>Business licence – natural persons</w:t>
            </w:r>
          </w:p>
        </w:tc>
        <w:tc>
          <w:tcPr>
            <w:tcW w:w="833" w:type="pct"/>
          </w:tcPr>
          <w:p w14:paraId="52129AAC" w14:textId="0FAD242B" w:rsidR="00E837B0" w:rsidRDefault="009E43E8" w:rsidP="00847801">
            <w:pPr>
              <w:pStyle w:val="TabletextLeft"/>
              <w:jc w:val="center"/>
              <w:rPr>
                <w:rFonts w:cs="Calibri Light"/>
              </w:rPr>
            </w:pPr>
            <w:r>
              <w:rPr>
                <w:rFonts w:cs="Calibri Light"/>
              </w:rPr>
              <w:t>1</w:t>
            </w:r>
          </w:p>
        </w:tc>
        <w:tc>
          <w:tcPr>
            <w:tcW w:w="833" w:type="pct"/>
          </w:tcPr>
          <w:p w14:paraId="2C2F948D" w14:textId="1A29B4D7" w:rsidR="00E837B0" w:rsidRPr="00334E3C" w:rsidRDefault="00907A8B" w:rsidP="00847801">
            <w:pPr>
              <w:pStyle w:val="TabletextLeft"/>
              <w:jc w:val="center"/>
            </w:pPr>
            <w:r>
              <w:t>9.68</w:t>
            </w:r>
          </w:p>
        </w:tc>
        <w:tc>
          <w:tcPr>
            <w:tcW w:w="833" w:type="pct"/>
          </w:tcPr>
          <w:p w14:paraId="581A9DA5" w14:textId="073EF3BD" w:rsidR="00E837B0" w:rsidRPr="00334E3C" w:rsidRDefault="007420FA" w:rsidP="00847801">
            <w:pPr>
              <w:pStyle w:val="TabletextLeft"/>
              <w:jc w:val="center"/>
            </w:pPr>
            <w:r>
              <w:t>0%</w:t>
            </w:r>
          </w:p>
        </w:tc>
        <w:tc>
          <w:tcPr>
            <w:tcW w:w="833" w:type="pct"/>
          </w:tcPr>
          <w:p w14:paraId="2EC48B35" w14:textId="516151E8" w:rsidR="00E837B0" w:rsidRDefault="007420FA" w:rsidP="00847801">
            <w:pPr>
              <w:pStyle w:val="TabletextLeft"/>
              <w:jc w:val="center"/>
              <w:rPr>
                <w:rFonts w:cs="Calibri Light"/>
              </w:rPr>
            </w:pPr>
            <w:r>
              <w:rPr>
                <w:rFonts w:cs="Calibri Light"/>
              </w:rPr>
              <w:t>1.56</w:t>
            </w:r>
          </w:p>
        </w:tc>
        <w:tc>
          <w:tcPr>
            <w:tcW w:w="832" w:type="pct"/>
          </w:tcPr>
          <w:p w14:paraId="451D381C" w14:textId="77777777" w:rsidR="00E837B0" w:rsidRPr="00334E3C" w:rsidRDefault="00E837B0" w:rsidP="00847801">
            <w:pPr>
              <w:pStyle w:val="TabletextLeft"/>
              <w:jc w:val="center"/>
            </w:pPr>
            <w:r>
              <w:t>0%</w:t>
            </w:r>
          </w:p>
        </w:tc>
      </w:tr>
      <w:tr w:rsidR="00E837B0" w:rsidRPr="00294696" w14:paraId="6F3E0DFB" w14:textId="77777777" w:rsidTr="00E837B0">
        <w:tc>
          <w:tcPr>
            <w:tcW w:w="834" w:type="pct"/>
            <w:vMerge/>
          </w:tcPr>
          <w:p w14:paraId="176C2BF6" w14:textId="77777777" w:rsidR="00E837B0" w:rsidRDefault="00E837B0" w:rsidP="00847801">
            <w:pPr>
              <w:pStyle w:val="TabletextLeft"/>
            </w:pPr>
          </w:p>
        </w:tc>
        <w:tc>
          <w:tcPr>
            <w:tcW w:w="833" w:type="pct"/>
          </w:tcPr>
          <w:p w14:paraId="705473AD" w14:textId="590AF113" w:rsidR="00E837B0" w:rsidRDefault="009E43E8" w:rsidP="00847801">
            <w:pPr>
              <w:pStyle w:val="TabletextLeft"/>
              <w:jc w:val="center"/>
              <w:rPr>
                <w:rFonts w:cs="Calibri Light"/>
              </w:rPr>
            </w:pPr>
            <w:r>
              <w:rPr>
                <w:rFonts w:cs="Calibri Light"/>
              </w:rPr>
              <w:t>2</w:t>
            </w:r>
          </w:p>
        </w:tc>
        <w:tc>
          <w:tcPr>
            <w:tcW w:w="833" w:type="pct"/>
          </w:tcPr>
          <w:p w14:paraId="6F4A291F" w14:textId="63D9452B" w:rsidR="00E837B0" w:rsidRPr="00334E3C" w:rsidRDefault="009A6ABF" w:rsidP="00847801">
            <w:pPr>
              <w:pStyle w:val="TabletextLeft"/>
              <w:jc w:val="center"/>
            </w:pPr>
            <w:r>
              <w:t>10.65</w:t>
            </w:r>
          </w:p>
        </w:tc>
        <w:tc>
          <w:tcPr>
            <w:tcW w:w="833" w:type="pct"/>
          </w:tcPr>
          <w:p w14:paraId="1E2BEFE0" w14:textId="0F5FF9AC" w:rsidR="00E837B0" w:rsidRPr="00334E3C" w:rsidRDefault="007420FA" w:rsidP="00847801">
            <w:pPr>
              <w:pStyle w:val="TabletextLeft"/>
              <w:jc w:val="center"/>
            </w:pPr>
            <w:r>
              <w:t>0%</w:t>
            </w:r>
          </w:p>
        </w:tc>
        <w:tc>
          <w:tcPr>
            <w:tcW w:w="833" w:type="pct"/>
          </w:tcPr>
          <w:p w14:paraId="72E69F84" w14:textId="008DDF1A" w:rsidR="00E837B0" w:rsidRDefault="007420FA" w:rsidP="00847801">
            <w:pPr>
              <w:pStyle w:val="TabletextLeft"/>
              <w:jc w:val="center"/>
              <w:rPr>
                <w:rFonts w:cs="Calibri Light"/>
              </w:rPr>
            </w:pPr>
            <w:r>
              <w:rPr>
                <w:rFonts w:cs="Calibri Light"/>
              </w:rPr>
              <w:t>1.66</w:t>
            </w:r>
          </w:p>
        </w:tc>
        <w:tc>
          <w:tcPr>
            <w:tcW w:w="832" w:type="pct"/>
          </w:tcPr>
          <w:p w14:paraId="14828BE8" w14:textId="77777777" w:rsidR="00E837B0" w:rsidRPr="00334E3C" w:rsidRDefault="00E837B0" w:rsidP="00847801">
            <w:pPr>
              <w:pStyle w:val="TabletextLeft"/>
              <w:jc w:val="center"/>
            </w:pPr>
            <w:r>
              <w:t>0%</w:t>
            </w:r>
          </w:p>
        </w:tc>
      </w:tr>
      <w:tr w:rsidR="00E837B0" w:rsidRPr="00294696" w14:paraId="7126AF7B" w14:textId="77777777" w:rsidTr="00E837B0">
        <w:tc>
          <w:tcPr>
            <w:tcW w:w="834" w:type="pct"/>
            <w:vMerge/>
          </w:tcPr>
          <w:p w14:paraId="3AAB5A0F" w14:textId="77777777" w:rsidR="00E837B0" w:rsidRDefault="00E837B0" w:rsidP="00847801">
            <w:pPr>
              <w:pStyle w:val="TabletextLeft"/>
            </w:pPr>
          </w:p>
        </w:tc>
        <w:tc>
          <w:tcPr>
            <w:tcW w:w="833" w:type="pct"/>
          </w:tcPr>
          <w:p w14:paraId="50379D78" w14:textId="14810D84" w:rsidR="00E837B0" w:rsidRPr="008D34C7" w:rsidRDefault="009E43E8" w:rsidP="00847801">
            <w:pPr>
              <w:pStyle w:val="TabletextLeft"/>
              <w:jc w:val="center"/>
              <w:rPr>
                <w:rFonts w:cs="Calibri Light"/>
              </w:rPr>
            </w:pPr>
            <w:r>
              <w:rPr>
                <w:rFonts w:cs="Calibri Light"/>
              </w:rPr>
              <w:t>3</w:t>
            </w:r>
          </w:p>
        </w:tc>
        <w:tc>
          <w:tcPr>
            <w:tcW w:w="833" w:type="pct"/>
          </w:tcPr>
          <w:p w14:paraId="091C44D7" w14:textId="43305F3E" w:rsidR="00E837B0" w:rsidRPr="00334E3C" w:rsidRDefault="009A6ABF" w:rsidP="00847801">
            <w:pPr>
              <w:pStyle w:val="TabletextLeft"/>
              <w:jc w:val="center"/>
            </w:pPr>
            <w:r>
              <w:t>11.61</w:t>
            </w:r>
          </w:p>
        </w:tc>
        <w:tc>
          <w:tcPr>
            <w:tcW w:w="833" w:type="pct"/>
          </w:tcPr>
          <w:p w14:paraId="5A75D4C1" w14:textId="4B5F4D87" w:rsidR="00E837B0" w:rsidRPr="00334E3C" w:rsidRDefault="007420FA" w:rsidP="00847801">
            <w:pPr>
              <w:pStyle w:val="TabletextLeft"/>
              <w:jc w:val="center"/>
            </w:pPr>
            <w:r>
              <w:t>0%</w:t>
            </w:r>
          </w:p>
        </w:tc>
        <w:tc>
          <w:tcPr>
            <w:tcW w:w="833" w:type="pct"/>
          </w:tcPr>
          <w:p w14:paraId="00A0E39B" w14:textId="2BBD5E92" w:rsidR="00E837B0" w:rsidRPr="008D34C7" w:rsidRDefault="007420FA" w:rsidP="00847801">
            <w:pPr>
              <w:pStyle w:val="TabletextLeft"/>
              <w:jc w:val="center"/>
              <w:rPr>
                <w:rFonts w:cs="Calibri Light"/>
              </w:rPr>
            </w:pPr>
            <w:r>
              <w:rPr>
                <w:rFonts w:cs="Calibri Light"/>
              </w:rPr>
              <w:t>1.86</w:t>
            </w:r>
          </w:p>
        </w:tc>
        <w:tc>
          <w:tcPr>
            <w:tcW w:w="832" w:type="pct"/>
          </w:tcPr>
          <w:p w14:paraId="37487113" w14:textId="77777777" w:rsidR="00E837B0" w:rsidRPr="00334E3C" w:rsidRDefault="00E837B0" w:rsidP="00847801">
            <w:pPr>
              <w:pStyle w:val="TabletextLeft"/>
              <w:jc w:val="center"/>
            </w:pPr>
            <w:r>
              <w:t>0%</w:t>
            </w:r>
          </w:p>
        </w:tc>
      </w:tr>
      <w:tr w:rsidR="00E837B0" w:rsidRPr="00294696" w14:paraId="6AD70A5C" w14:textId="77777777" w:rsidTr="00E837B0">
        <w:tc>
          <w:tcPr>
            <w:tcW w:w="834" w:type="pct"/>
            <w:vMerge/>
          </w:tcPr>
          <w:p w14:paraId="7426F538" w14:textId="77777777" w:rsidR="00E837B0" w:rsidRDefault="00E837B0" w:rsidP="00847801">
            <w:pPr>
              <w:pStyle w:val="TabletextLeft"/>
            </w:pPr>
          </w:p>
        </w:tc>
        <w:tc>
          <w:tcPr>
            <w:tcW w:w="833" w:type="pct"/>
          </w:tcPr>
          <w:p w14:paraId="75B15E6A" w14:textId="34BC370C" w:rsidR="00E837B0" w:rsidRPr="008D34C7" w:rsidRDefault="009E43E8" w:rsidP="00847801">
            <w:pPr>
              <w:pStyle w:val="TabletextLeft"/>
              <w:jc w:val="center"/>
              <w:rPr>
                <w:rFonts w:cs="Calibri Light"/>
              </w:rPr>
            </w:pPr>
            <w:r>
              <w:rPr>
                <w:rFonts w:cs="Calibri Light"/>
              </w:rPr>
              <w:t>4</w:t>
            </w:r>
          </w:p>
        </w:tc>
        <w:tc>
          <w:tcPr>
            <w:tcW w:w="833" w:type="pct"/>
          </w:tcPr>
          <w:p w14:paraId="5757C73E" w14:textId="28D51D89" w:rsidR="00E837B0" w:rsidRPr="00334E3C" w:rsidRDefault="007420FA" w:rsidP="00847801">
            <w:pPr>
              <w:pStyle w:val="TabletextLeft"/>
              <w:jc w:val="center"/>
            </w:pPr>
            <w:r>
              <w:t>12.58</w:t>
            </w:r>
          </w:p>
        </w:tc>
        <w:tc>
          <w:tcPr>
            <w:tcW w:w="833" w:type="pct"/>
          </w:tcPr>
          <w:p w14:paraId="202DD02C" w14:textId="34245A75" w:rsidR="00E837B0" w:rsidRPr="00334E3C" w:rsidRDefault="007420FA" w:rsidP="00847801">
            <w:pPr>
              <w:pStyle w:val="TabletextLeft"/>
              <w:jc w:val="center"/>
            </w:pPr>
            <w:r>
              <w:t>0%</w:t>
            </w:r>
          </w:p>
        </w:tc>
        <w:tc>
          <w:tcPr>
            <w:tcW w:w="833" w:type="pct"/>
          </w:tcPr>
          <w:p w14:paraId="30800AF6" w14:textId="3F0AEABD" w:rsidR="00E837B0" w:rsidRPr="008D34C7" w:rsidRDefault="007420FA" w:rsidP="00847801">
            <w:pPr>
              <w:pStyle w:val="TabletextLeft"/>
              <w:jc w:val="center"/>
              <w:rPr>
                <w:rFonts w:cs="Calibri Light"/>
              </w:rPr>
            </w:pPr>
            <w:r>
              <w:rPr>
                <w:rFonts w:cs="Calibri Light"/>
              </w:rPr>
              <w:t>1.96</w:t>
            </w:r>
          </w:p>
        </w:tc>
        <w:tc>
          <w:tcPr>
            <w:tcW w:w="832" w:type="pct"/>
          </w:tcPr>
          <w:p w14:paraId="3B313BFC" w14:textId="77777777" w:rsidR="00E837B0" w:rsidRPr="00334E3C" w:rsidRDefault="00E837B0" w:rsidP="00847801">
            <w:pPr>
              <w:pStyle w:val="TabletextLeft"/>
              <w:jc w:val="center"/>
            </w:pPr>
            <w:r>
              <w:t>0%</w:t>
            </w:r>
          </w:p>
        </w:tc>
      </w:tr>
      <w:tr w:rsidR="00E837B0" w:rsidRPr="00294696" w14:paraId="52EC2E66" w14:textId="77777777" w:rsidTr="00E837B0">
        <w:tc>
          <w:tcPr>
            <w:tcW w:w="834" w:type="pct"/>
            <w:vMerge/>
          </w:tcPr>
          <w:p w14:paraId="56B56721" w14:textId="77777777" w:rsidR="00E837B0" w:rsidRDefault="00E837B0" w:rsidP="00847801">
            <w:pPr>
              <w:pStyle w:val="TabletextLeft"/>
            </w:pPr>
          </w:p>
        </w:tc>
        <w:tc>
          <w:tcPr>
            <w:tcW w:w="833" w:type="pct"/>
          </w:tcPr>
          <w:p w14:paraId="2110F374" w14:textId="0B11EAF0" w:rsidR="00E837B0" w:rsidRPr="008D34C7" w:rsidRDefault="009E43E8" w:rsidP="00847801">
            <w:pPr>
              <w:pStyle w:val="TabletextLeft"/>
              <w:jc w:val="center"/>
              <w:rPr>
                <w:rFonts w:cs="Calibri Light"/>
              </w:rPr>
            </w:pPr>
            <w:r>
              <w:rPr>
                <w:rFonts w:cs="Calibri Light"/>
              </w:rPr>
              <w:t>5</w:t>
            </w:r>
          </w:p>
        </w:tc>
        <w:tc>
          <w:tcPr>
            <w:tcW w:w="833" w:type="pct"/>
          </w:tcPr>
          <w:p w14:paraId="077F9075" w14:textId="4AD31C27" w:rsidR="00E837B0" w:rsidRPr="00334E3C" w:rsidRDefault="007420FA" w:rsidP="00847801">
            <w:pPr>
              <w:pStyle w:val="TabletextLeft"/>
              <w:jc w:val="center"/>
            </w:pPr>
            <w:r>
              <w:t>13.55</w:t>
            </w:r>
          </w:p>
        </w:tc>
        <w:tc>
          <w:tcPr>
            <w:tcW w:w="833" w:type="pct"/>
          </w:tcPr>
          <w:p w14:paraId="3DDF92E1" w14:textId="45BEA83B" w:rsidR="00E837B0" w:rsidRPr="00334E3C" w:rsidRDefault="007420FA" w:rsidP="00847801">
            <w:pPr>
              <w:pStyle w:val="TabletextLeft"/>
              <w:jc w:val="center"/>
            </w:pPr>
            <w:r>
              <w:t>0%</w:t>
            </w:r>
          </w:p>
        </w:tc>
        <w:tc>
          <w:tcPr>
            <w:tcW w:w="833" w:type="pct"/>
          </w:tcPr>
          <w:p w14:paraId="22586277" w14:textId="49D17475" w:rsidR="00E837B0" w:rsidRPr="008D34C7" w:rsidRDefault="007420FA" w:rsidP="00847801">
            <w:pPr>
              <w:pStyle w:val="TabletextLeft"/>
              <w:jc w:val="center"/>
              <w:rPr>
                <w:rFonts w:cs="Calibri Light"/>
              </w:rPr>
            </w:pPr>
            <w:r>
              <w:rPr>
                <w:rFonts w:cs="Calibri Light"/>
              </w:rPr>
              <w:t>2.06</w:t>
            </w:r>
          </w:p>
        </w:tc>
        <w:tc>
          <w:tcPr>
            <w:tcW w:w="832" w:type="pct"/>
          </w:tcPr>
          <w:p w14:paraId="33C620FC" w14:textId="77777777" w:rsidR="00E837B0" w:rsidRPr="00334E3C" w:rsidRDefault="00E837B0" w:rsidP="00847801">
            <w:pPr>
              <w:pStyle w:val="TabletextLeft"/>
              <w:jc w:val="center"/>
            </w:pPr>
            <w:r>
              <w:t>0%</w:t>
            </w:r>
          </w:p>
        </w:tc>
      </w:tr>
      <w:tr w:rsidR="00E837B0" w:rsidRPr="00294696" w14:paraId="7683AAFA" w14:textId="77777777" w:rsidTr="00E837B0">
        <w:tc>
          <w:tcPr>
            <w:tcW w:w="834" w:type="pct"/>
            <w:vMerge/>
          </w:tcPr>
          <w:p w14:paraId="49BCEA80" w14:textId="77777777" w:rsidR="00E837B0" w:rsidRDefault="00E837B0" w:rsidP="00847801">
            <w:pPr>
              <w:pStyle w:val="TabletextLeft"/>
            </w:pPr>
          </w:p>
        </w:tc>
        <w:tc>
          <w:tcPr>
            <w:tcW w:w="833" w:type="pct"/>
          </w:tcPr>
          <w:p w14:paraId="581CFFB9" w14:textId="53B229EA" w:rsidR="00E837B0" w:rsidRPr="008D34C7" w:rsidRDefault="009E43E8" w:rsidP="00847801">
            <w:pPr>
              <w:pStyle w:val="TabletextLeft"/>
              <w:jc w:val="center"/>
              <w:rPr>
                <w:rFonts w:cs="Calibri Light"/>
              </w:rPr>
            </w:pPr>
            <w:r>
              <w:rPr>
                <w:rFonts w:cs="Calibri Light"/>
              </w:rPr>
              <w:t>6</w:t>
            </w:r>
          </w:p>
        </w:tc>
        <w:tc>
          <w:tcPr>
            <w:tcW w:w="833" w:type="pct"/>
          </w:tcPr>
          <w:p w14:paraId="7C42BCF5" w14:textId="21998D51" w:rsidR="00E837B0" w:rsidRPr="00334E3C" w:rsidRDefault="008F683F" w:rsidP="00847801">
            <w:pPr>
              <w:pStyle w:val="TabletextLeft"/>
              <w:jc w:val="center"/>
            </w:pPr>
            <w:r>
              <w:t>14.52</w:t>
            </w:r>
          </w:p>
        </w:tc>
        <w:tc>
          <w:tcPr>
            <w:tcW w:w="833" w:type="pct"/>
          </w:tcPr>
          <w:p w14:paraId="741A7755" w14:textId="00BE808C" w:rsidR="00E837B0" w:rsidRPr="00334E3C" w:rsidRDefault="000E1306" w:rsidP="00847801">
            <w:pPr>
              <w:pStyle w:val="TabletextLeft"/>
              <w:jc w:val="center"/>
            </w:pPr>
            <w:r>
              <w:t>n/a – new</w:t>
            </w:r>
          </w:p>
        </w:tc>
        <w:tc>
          <w:tcPr>
            <w:tcW w:w="833" w:type="pct"/>
          </w:tcPr>
          <w:p w14:paraId="6B8B385E" w14:textId="3420B718" w:rsidR="00E837B0" w:rsidRPr="000E1306" w:rsidRDefault="000E1306" w:rsidP="00847801">
            <w:pPr>
              <w:pStyle w:val="TabletextLeft"/>
              <w:jc w:val="center"/>
              <w:rPr>
                <w:rFonts w:cs="Calibri Light"/>
              </w:rPr>
            </w:pPr>
            <w:r w:rsidRPr="000E1306">
              <w:rPr>
                <w:rFonts w:cs="Calibri Light"/>
              </w:rPr>
              <w:t>2.16</w:t>
            </w:r>
          </w:p>
        </w:tc>
        <w:tc>
          <w:tcPr>
            <w:tcW w:w="832" w:type="pct"/>
          </w:tcPr>
          <w:p w14:paraId="56FE5805" w14:textId="77777777" w:rsidR="00E837B0" w:rsidRPr="00334E3C" w:rsidRDefault="00E837B0" w:rsidP="00847801">
            <w:pPr>
              <w:pStyle w:val="TabletextLeft"/>
              <w:jc w:val="center"/>
            </w:pPr>
            <w:r>
              <w:t>n/a – new</w:t>
            </w:r>
          </w:p>
        </w:tc>
      </w:tr>
      <w:tr w:rsidR="00E837B0" w:rsidRPr="00294696" w14:paraId="03604846" w14:textId="77777777" w:rsidTr="00E837B0">
        <w:tc>
          <w:tcPr>
            <w:tcW w:w="834" w:type="pct"/>
            <w:vMerge/>
          </w:tcPr>
          <w:p w14:paraId="34433FFE" w14:textId="77777777" w:rsidR="00E837B0" w:rsidRDefault="00E837B0" w:rsidP="00847801">
            <w:pPr>
              <w:pStyle w:val="TabletextLeft"/>
            </w:pPr>
          </w:p>
        </w:tc>
        <w:tc>
          <w:tcPr>
            <w:tcW w:w="833" w:type="pct"/>
          </w:tcPr>
          <w:p w14:paraId="5AB52B93" w14:textId="2382C3C5" w:rsidR="00E837B0" w:rsidRPr="008D34C7" w:rsidRDefault="009E43E8" w:rsidP="00847801">
            <w:pPr>
              <w:pStyle w:val="TabletextLeft"/>
              <w:jc w:val="center"/>
              <w:rPr>
                <w:rFonts w:cs="Calibri Light"/>
              </w:rPr>
            </w:pPr>
            <w:r>
              <w:rPr>
                <w:rFonts w:cs="Calibri Light"/>
              </w:rPr>
              <w:t>7</w:t>
            </w:r>
          </w:p>
        </w:tc>
        <w:tc>
          <w:tcPr>
            <w:tcW w:w="833" w:type="pct"/>
          </w:tcPr>
          <w:p w14:paraId="3E5F5E39" w14:textId="1EA32404" w:rsidR="00E837B0" w:rsidRPr="00334E3C" w:rsidRDefault="000E1306" w:rsidP="00847801">
            <w:pPr>
              <w:pStyle w:val="TabletextLeft"/>
              <w:jc w:val="center"/>
            </w:pPr>
            <w:r>
              <w:t>15.49</w:t>
            </w:r>
          </w:p>
        </w:tc>
        <w:tc>
          <w:tcPr>
            <w:tcW w:w="833" w:type="pct"/>
          </w:tcPr>
          <w:p w14:paraId="6D247172" w14:textId="09F1F569" w:rsidR="00E837B0" w:rsidRPr="00334E3C" w:rsidRDefault="000E1306" w:rsidP="00847801">
            <w:pPr>
              <w:pStyle w:val="TabletextLeft"/>
              <w:jc w:val="center"/>
            </w:pPr>
            <w:r>
              <w:t xml:space="preserve">n/a – new </w:t>
            </w:r>
          </w:p>
        </w:tc>
        <w:tc>
          <w:tcPr>
            <w:tcW w:w="833" w:type="pct"/>
          </w:tcPr>
          <w:p w14:paraId="735583E9" w14:textId="44774EE8" w:rsidR="00E837B0" w:rsidRPr="000E1306" w:rsidRDefault="000E1306" w:rsidP="00847801">
            <w:pPr>
              <w:pStyle w:val="TabletextLeft"/>
              <w:jc w:val="center"/>
              <w:rPr>
                <w:rFonts w:cs="Calibri Light"/>
              </w:rPr>
            </w:pPr>
            <w:r w:rsidRPr="000E1306">
              <w:rPr>
                <w:rFonts w:cs="Calibri Light"/>
              </w:rPr>
              <w:t>2.26</w:t>
            </w:r>
          </w:p>
        </w:tc>
        <w:tc>
          <w:tcPr>
            <w:tcW w:w="832" w:type="pct"/>
          </w:tcPr>
          <w:p w14:paraId="32B275DC" w14:textId="77777777" w:rsidR="00E837B0" w:rsidRPr="00334E3C" w:rsidRDefault="00E837B0" w:rsidP="00847801">
            <w:pPr>
              <w:pStyle w:val="TabletextLeft"/>
              <w:jc w:val="center"/>
            </w:pPr>
            <w:r>
              <w:t>n/a – new</w:t>
            </w:r>
          </w:p>
        </w:tc>
      </w:tr>
      <w:tr w:rsidR="009F38C9" w:rsidRPr="00294696" w14:paraId="03EB9B8C" w14:textId="77777777" w:rsidTr="00E837B0">
        <w:tc>
          <w:tcPr>
            <w:tcW w:w="834" w:type="pct"/>
            <w:vMerge w:val="restart"/>
          </w:tcPr>
          <w:p w14:paraId="6370AD5D" w14:textId="77777777" w:rsidR="009F38C9" w:rsidRDefault="009F38C9" w:rsidP="009F38C9">
            <w:pPr>
              <w:pStyle w:val="TabletextLeft"/>
            </w:pPr>
            <w:r>
              <w:t>Business licence – body corporates</w:t>
            </w:r>
          </w:p>
        </w:tc>
        <w:tc>
          <w:tcPr>
            <w:tcW w:w="833" w:type="pct"/>
          </w:tcPr>
          <w:p w14:paraId="11C99A32" w14:textId="571F1B2E" w:rsidR="009F38C9" w:rsidRDefault="009F38C9" w:rsidP="009F38C9">
            <w:pPr>
              <w:pStyle w:val="TabletextLeft"/>
              <w:jc w:val="center"/>
              <w:rPr>
                <w:rFonts w:cs="Calibri Light"/>
              </w:rPr>
            </w:pPr>
            <w:r>
              <w:rPr>
                <w:rFonts w:cs="Calibri Light"/>
              </w:rPr>
              <w:t>1</w:t>
            </w:r>
          </w:p>
        </w:tc>
        <w:tc>
          <w:tcPr>
            <w:tcW w:w="833" w:type="pct"/>
          </w:tcPr>
          <w:p w14:paraId="7F6DB4DD" w14:textId="641FA39F" w:rsidR="009F38C9" w:rsidRPr="00334E3C" w:rsidRDefault="00A40BE6" w:rsidP="009F38C9">
            <w:pPr>
              <w:pStyle w:val="TabletextLeft"/>
              <w:jc w:val="center"/>
            </w:pPr>
            <w:r>
              <w:t>16.13</w:t>
            </w:r>
          </w:p>
        </w:tc>
        <w:tc>
          <w:tcPr>
            <w:tcW w:w="833" w:type="pct"/>
          </w:tcPr>
          <w:p w14:paraId="559F90D3" w14:textId="6940EAEC" w:rsidR="009F38C9" w:rsidRPr="00334E3C" w:rsidRDefault="009F38C9" w:rsidP="009F38C9">
            <w:pPr>
              <w:pStyle w:val="TabletextLeft"/>
              <w:jc w:val="center"/>
            </w:pPr>
            <w:r>
              <w:t>0%</w:t>
            </w:r>
          </w:p>
        </w:tc>
        <w:tc>
          <w:tcPr>
            <w:tcW w:w="833" w:type="pct"/>
          </w:tcPr>
          <w:p w14:paraId="7E2D25CF" w14:textId="7294CD59" w:rsidR="009F38C9" w:rsidRDefault="00EF0DF8" w:rsidP="009F38C9">
            <w:pPr>
              <w:pStyle w:val="TabletextLeft"/>
              <w:jc w:val="center"/>
              <w:rPr>
                <w:rFonts w:cs="Calibri Light"/>
              </w:rPr>
            </w:pPr>
            <w:r>
              <w:rPr>
                <w:rFonts w:cs="Calibri Light"/>
              </w:rPr>
              <w:t>2.54</w:t>
            </w:r>
          </w:p>
        </w:tc>
        <w:tc>
          <w:tcPr>
            <w:tcW w:w="832" w:type="pct"/>
          </w:tcPr>
          <w:p w14:paraId="25107880" w14:textId="77777777" w:rsidR="009F38C9" w:rsidRPr="00334E3C" w:rsidRDefault="009F38C9" w:rsidP="009F38C9">
            <w:pPr>
              <w:pStyle w:val="TabletextLeft"/>
              <w:jc w:val="center"/>
            </w:pPr>
            <w:r>
              <w:t>0%</w:t>
            </w:r>
          </w:p>
        </w:tc>
      </w:tr>
      <w:tr w:rsidR="009F38C9" w:rsidRPr="00294696" w14:paraId="2AB93E8A" w14:textId="77777777" w:rsidTr="00E837B0">
        <w:tc>
          <w:tcPr>
            <w:tcW w:w="834" w:type="pct"/>
            <w:vMerge/>
          </w:tcPr>
          <w:p w14:paraId="00BB038F" w14:textId="77777777" w:rsidR="009F38C9" w:rsidRDefault="009F38C9" w:rsidP="009F38C9">
            <w:pPr>
              <w:pStyle w:val="TabletextLeft"/>
            </w:pPr>
          </w:p>
        </w:tc>
        <w:tc>
          <w:tcPr>
            <w:tcW w:w="833" w:type="pct"/>
          </w:tcPr>
          <w:p w14:paraId="575F6A9C" w14:textId="5F62AAB2" w:rsidR="009F38C9" w:rsidRDefault="009F38C9" w:rsidP="009F38C9">
            <w:pPr>
              <w:pStyle w:val="TabletextLeft"/>
              <w:jc w:val="center"/>
              <w:rPr>
                <w:rFonts w:cs="Calibri Light"/>
              </w:rPr>
            </w:pPr>
            <w:r>
              <w:rPr>
                <w:rFonts w:cs="Calibri Light"/>
              </w:rPr>
              <w:t>2</w:t>
            </w:r>
          </w:p>
        </w:tc>
        <w:tc>
          <w:tcPr>
            <w:tcW w:w="833" w:type="pct"/>
          </w:tcPr>
          <w:p w14:paraId="1CE98C26" w14:textId="6826B638" w:rsidR="009F38C9" w:rsidRPr="00334E3C" w:rsidRDefault="00A40BE6" w:rsidP="009F38C9">
            <w:pPr>
              <w:pStyle w:val="TabletextLeft"/>
              <w:jc w:val="center"/>
            </w:pPr>
            <w:r>
              <w:t>17.74</w:t>
            </w:r>
          </w:p>
        </w:tc>
        <w:tc>
          <w:tcPr>
            <w:tcW w:w="833" w:type="pct"/>
          </w:tcPr>
          <w:p w14:paraId="075EA7DF" w14:textId="7A816122" w:rsidR="009F38C9" w:rsidRPr="00334E3C" w:rsidRDefault="009F38C9" w:rsidP="009F38C9">
            <w:pPr>
              <w:pStyle w:val="TabletextLeft"/>
              <w:jc w:val="center"/>
            </w:pPr>
            <w:r>
              <w:t>0%</w:t>
            </w:r>
          </w:p>
        </w:tc>
        <w:tc>
          <w:tcPr>
            <w:tcW w:w="833" w:type="pct"/>
          </w:tcPr>
          <w:p w14:paraId="0289CBBA" w14:textId="3EDFE326" w:rsidR="009F38C9" w:rsidRDefault="00EF0DF8" w:rsidP="009F38C9">
            <w:pPr>
              <w:pStyle w:val="TabletextLeft"/>
              <w:jc w:val="center"/>
              <w:rPr>
                <w:rFonts w:cs="Calibri Light"/>
              </w:rPr>
            </w:pPr>
            <w:r>
              <w:rPr>
                <w:rFonts w:cs="Calibri Light"/>
              </w:rPr>
              <w:t>2.83</w:t>
            </w:r>
          </w:p>
        </w:tc>
        <w:tc>
          <w:tcPr>
            <w:tcW w:w="832" w:type="pct"/>
          </w:tcPr>
          <w:p w14:paraId="7B594501" w14:textId="77777777" w:rsidR="009F38C9" w:rsidRPr="00334E3C" w:rsidRDefault="009F38C9" w:rsidP="009F38C9">
            <w:pPr>
              <w:pStyle w:val="TabletextLeft"/>
              <w:jc w:val="center"/>
            </w:pPr>
            <w:r>
              <w:t>0%</w:t>
            </w:r>
          </w:p>
        </w:tc>
      </w:tr>
      <w:tr w:rsidR="009F38C9" w:rsidRPr="00294696" w14:paraId="61BCCCEC" w14:textId="77777777" w:rsidTr="00E837B0">
        <w:tc>
          <w:tcPr>
            <w:tcW w:w="834" w:type="pct"/>
            <w:vMerge/>
          </w:tcPr>
          <w:p w14:paraId="1FA0F267" w14:textId="77777777" w:rsidR="009F38C9" w:rsidRDefault="009F38C9" w:rsidP="009F38C9">
            <w:pPr>
              <w:pStyle w:val="TabletextLeft"/>
            </w:pPr>
          </w:p>
        </w:tc>
        <w:tc>
          <w:tcPr>
            <w:tcW w:w="833" w:type="pct"/>
          </w:tcPr>
          <w:p w14:paraId="39C4BEEC" w14:textId="673B5996" w:rsidR="009F38C9" w:rsidRPr="008D34C7" w:rsidRDefault="009F38C9" w:rsidP="009F38C9">
            <w:pPr>
              <w:pStyle w:val="TabletextLeft"/>
              <w:jc w:val="center"/>
              <w:rPr>
                <w:rFonts w:cs="Calibri Light"/>
              </w:rPr>
            </w:pPr>
            <w:r>
              <w:rPr>
                <w:rFonts w:cs="Calibri Light"/>
              </w:rPr>
              <w:t>3</w:t>
            </w:r>
          </w:p>
        </w:tc>
        <w:tc>
          <w:tcPr>
            <w:tcW w:w="833" w:type="pct"/>
          </w:tcPr>
          <w:p w14:paraId="666A460B" w14:textId="474D6344" w:rsidR="009F38C9" w:rsidRPr="00334E3C" w:rsidRDefault="00A40BE6" w:rsidP="009F38C9">
            <w:pPr>
              <w:pStyle w:val="TabletextLeft"/>
              <w:jc w:val="center"/>
            </w:pPr>
            <w:r>
              <w:t>19.35</w:t>
            </w:r>
          </w:p>
        </w:tc>
        <w:tc>
          <w:tcPr>
            <w:tcW w:w="833" w:type="pct"/>
          </w:tcPr>
          <w:p w14:paraId="3F553920" w14:textId="507849CA" w:rsidR="009F38C9" w:rsidRPr="00334E3C" w:rsidRDefault="009F38C9" w:rsidP="009F38C9">
            <w:pPr>
              <w:pStyle w:val="TabletextLeft"/>
              <w:jc w:val="center"/>
            </w:pPr>
            <w:r>
              <w:t>0%</w:t>
            </w:r>
          </w:p>
        </w:tc>
        <w:tc>
          <w:tcPr>
            <w:tcW w:w="833" w:type="pct"/>
          </w:tcPr>
          <w:p w14:paraId="4BDD2E10" w14:textId="38F49CE7" w:rsidR="009F38C9" w:rsidRPr="008D34C7" w:rsidRDefault="00EF0DF8" w:rsidP="009F38C9">
            <w:pPr>
              <w:pStyle w:val="TabletextLeft"/>
              <w:jc w:val="center"/>
              <w:rPr>
                <w:rFonts w:cs="Calibri Light"/>
              </w:rPr>
            </w:pPr>
            <w:r>
              <w:rPr>
                <w:rFonts w:cs="Calibri Light"/>
              </w:rPr>
              <w:t>3.08</w:t>
            </w:r>
          </w:p>
        </w:tc>
        <w:tc>
          <w:tcPr>
            <w:tcW w:w="832" w:type="pct"/>
          </w:tcPr>
          <w:p w14:paraId="7F3CFCD7" w14:textId="77777777" w:rsidR="009F38C9" w:rsidRPr="00334E3C" w:rsidRDefault="009F38C9" w:rsidP="009F38C9">
            <w:pPr>
              <w:pStyle w:val="TabletextLeft"/>
              <w:jc w:val="center"/>
            </w:pPr>
            <w:r>
              <w:t>0%</w:t>
            </w:r>
          </w:p>
        </w:tc>
      </w:tr>
      <w:tr w:rsidR="009F38C9" w:rsidRPr="00294696" w14:paraId="1F01278F" w14:textId="77777777" w:rsidTr="00E837B0">
        <w:tc>
          <w:tcPr>
            <w:tcW w:w="834" w:type="pct"/>
            <w:vMerge/>
          </w:tcPr>
          <w:p w14:paraId="230E6DA7" w14:textId="77777777" w:rsidR="009F38C9" w:rsidRDefault="009F38C9" w:rsidP="009F38C9">
            <w:pPr>
              <w:pStyle w:val="TabletextLeft"/>
            </w:pPr>
          </w:p>
        </w:tc>
        <w:tc>
          <w:tcPr>
            <w:tcW w:w="833" w:type="pct"/>
          </w:tcPr>
          <w:p w14:paraId="78A5BC1B" w14:textId="6AE8B10C" w:rsidR="009F38C9" w:rsidRPr="008D34C7" w:rsidRDefault="009F38C9" w:rsidP="009F38C9">
            <w:pPr>
              <w:pStyle w:val="TabletextLeft"/>
              <w:jc w:val="center"/>
              <w:rPr>
                <w:rFonts w:cs="Calibri Light"/>
              </w:rPr>
            </w:pPr>
            <w:r>
              <w:rPr>
                <w:rFonts w:cs="Calibri Light"/>
              </w:rPr>
              <w:t>4</w:t>
            </w:r>
          </w:p>
        </w:tc>
        <w:tc>
          <w:tcPr>
            <w:tcW w:w="833" w:type="pct"/>
          </w:tcPr>
          <w:p w14:paraId="0817E5DA" w14:textId="48086042" w:rsidR="009F38C9" w:rsidRPr="00334E3C" w:rsidRDefault="00A40BE6" w:rsidP="009F38C9">
            <w:pPr>
              <w:pStyle w:val="TabletextLeft"/>
              <w:jc w:val="center"/>
            </w:pPr>
            <w:r>
              <w:t>20.97</w:t>
            </w:r>
          </w:p>
        </w:tc>
        <w:tc>
          <w:tcPr>
            <w:tcW w:w="833" w:type="pct"/>
          </w:tcPr>
          <w:p w14:paraId="6DE68B5A" w14:textId="31B3AEB7" w:rsidR="009F38C9" w:rsidRPr="00334E3C" w:rsidRDefault="009F38C9" w:rsidP="009F38C9">
            <w:pPr>
              <w:pStyle w:val="TabletextLeft"/>
              <w:jc w:val="center"/>
            </w:pPr>
            <w:r>
              <w:t>0%</w:t>
            </w:r>
          </w:p>
        </w:tc>
        <w:tc>
          <w:tcPr>
            <w:tcW w:w="833" w:type="pct"/>
          </w:tcPr>
          <w:p w14:paraId="092E52FF" w14:textId="0D077598" w:rsidR="009F38C9" w:rsidRPr="008D34C7" w:rsidRDefault="00EF0DF8" w:rsidP="009F38C9">
            <w:pPr>
              <w:pStyle w:val="TabletextLeft"/>
              <w:jc w:val="center"/>
              <w:rPr>
                <w:rFonts w:cs="Calibri Light"/>
              </w:rPr>
            </w:pPr>
            <w:r>
              <w:rPr>
                <w:rFonts w:cs="Calibri Light"/>
              </w:rPr>
              <w:t>3.32</w:t>
            </w:r>
          </w:p>
        </w:tc>
        <w:tc>
          <w:tcPr>
            <w:tcW w:w="832" w:type="pct"/>
          </w:tcPr>
          <w:p w14:paraId="5132A56D" w14:textId="77777777" w:rsidR="009F38C9" w:rsidRPr="00334E3C" w:rsidRDefault="009F38C9" w:rsidP="009F38C9">
            <w:pPr>
              <w:pStyle w:val="TabletextLeft"/>
              <w:jc w:val="center"/>
            </w:pPr>
            <w:r>
              <w:t>0%</w:t>
            </w:r>
          </w:p>
        </w:tc>
      </w:tr>
      <w:tr w:rsidR="009F38C9" w:rsidRPr="00294696" w14:paraId="40DB924A" w14:textId="77777777" w:rsidTr="00E837B0">
        <w:tc>
          <w:tcPr>
            <w:tcW w:w="834" w:type="pct"/>
            <w:vMerge/>
          </w:tcPr>
          <w:p w14:paraId="0A574E14" w14:textId="77777777" w:rsidR="009F38C9" w:rsidRDefault="009F38C9" w:rsidP="009F38C9">
            <w:pPr>
              <w:pStyle w:val="TabletextLeft"/>
            </w:pPr>
          </w:p>
        </w:tc>
        <w:tc>
          <w:tcPr>
            <w:tcW w:w="833" w:type="pct"/>
          </w:tcPr>
          <w:p w14:paraId="1FFCC631" w14:textId="7BDD063A" w:rsidR="009F38C9" w:rsidRPr="008D34C7" w:rsidRDefault="009F38C9" w:rsidP="009F38C9">
            <w:pPr>
              <w:pStyle w:val="TabletextLeft"/>
              <w:jc w:val="center"/>
              <w:rPr>
                <w:rFonts w:cs="Calibri Light"/>
              </w:rPr>
            </w:pPr>
            <w:r>
              <w:rPr>
                <w:rFonts w:cs="Calibri Light"/>
              </w:rPr>
              <w:t>5</w:t>
            </w:r>
          </w:p>
        </w:tc>
        <w:tc>
          <w:tcPr>
            <w:tcW w:w="833" w:type="pct"/>
          </w:tcPr>
          <w:p w14:paraId="7B019D09" w14:textId="0D830B88" w:rsidR="009F38C9" w:rsidRPr="00334E3C" w:rsidRDefault="00A40BE6" w:rsidP="009F38C9">
            <w:pPr>
              <w:pStyle w:val="TabletextLeft"/>
              <w:jc w:val="center"/>
            </w:pPr>
            <w:r>
              <w:t>22.59</w:t>
            </w:r>
          </w:p>
        </w:tc>
        <w:tc>
          <w:tcPr>
            <w:tcW w:w="833" w:type="pct"/>
          </w:tcPr>
          <w:p w14:paraId="23B67B3C" w14:textId="55425E46" w:rsidR="009F38C9" w:rsidRPr="00334E3C" w:rsidRDefault="009F38C9" w:rsidP="009F38C9">
            <w:pPr>
              <w:pStyle w:val="TabletextLeft"/>
              <w:jc w:val="center"/>
            </w:pPr>
            <w:r>
              <w:t>0%</w:t>
            </w:r>
          </w:p>
        </w:tc>
        <w:tc>
          <w:tcPr>
            <w:tcW w:w="833" w:type="pct"/>
          </w:tcPr>
          <w:p w14:paraId="3F4C10CE" w14:textId="788D2D57" w:rsidR="009F38C9" w:rsidRPr="008D34C7" w:rsidRDefault="00EF0DF8" w:rsidP="009F38C9">
            <w:pPr>
              <w:pStyle w:val="TabletextLeft"/>
              <w:jc w:val="center"/>
              <w:rPr>
                <w:rFonts w:cs="Calibri Light"/>
              </w:rPr>
            </w:pPr>
            <w:r>
              <w:rPr>
                <w:rFonts w:cs="Calibri Light"/>
              </w:rPr>
              <w:t>3.56</w:t>
            </w:r>
          </w:p>
        </w:tc>
        <w:tc>
          <w:tcPr>
            <w:tcW w:w="832" w:type="pct"/>
          </w:tcPr>
          <w:p w14:paraId="642D81DB" w14:textId="77777777" w:rsidR="009F38C9" w:rsidRPr="00334E3C" w:rsidRDefault="009F38C9" w:rsidP="009F38C9">
            <w:pPr>
              <w:pStyle w:val="TabletextLeft"/>
              <w:jc w:val="center"/>
            </w:pPr>
            <w:r>
              <w:t>0%</w:t>
            </w:r>
          </w:p>
        </w:tc>
      </w:tr>
      <w:tr w:rsidR="009F38C9" w:rsidRPr="00294696" w14:paraId="281F01A0" w14:textId="77777777" w:rsidTr="00E837B0">
        <w:tc>
          <w:tcPr>
            <w:tcW w:w="834" w:type="pct"/>
            <w:vMerge/>
          </w:tcPr>
          <w:p w14:paraId="4287F1A8" w14:textId="77777777" w:rsidR="009F38C9" w:rsidRDefault="009F38C9" w:rsidP="009F38C9">
            <w:pPr>
              <w:pStyle w:val="TabletextLeft"/>
            </w:pPr>
          </w:p>
        </w:tc>
        <w:tc>
          <w:tcPr>
            <w:tcW w:w="833" w:type="pct"/>
          </w:tcPr>
          <w:p w14:paraId="221EC0AE" w14:textId="6944DC6C" w:rsidR="009F38C9" w:rsidRPr="008D34C7" w:rsidRDefault="009F38C9" w:rsidP="009F38C9">
            <w:pPr>
              <w:pStyle w:val="TabletextLeft"/>
              <w:jc w:val="center"/>
              <w:rPr>
                <w:rFonts w:cs="Calibri Light"/>
              </w:rPr>
            </w:pPr>
            <w:r>
              <w:rPr>
                <w:rFonts w:cs="Calibri Light"/>
              </w:rPr>
              <w:t>6</w:t>
            </w:r>
          </w:p>
        </w:tc>
        <w:tc>
          <w:tcPr>
            <w:tcW w:w="833" w:type="pct"/>
          </w:tcPr>
          <w:p w14:paraId="0DB6E65E" w14:textId="07F2D335" w:rsidR="009F38C9" w:rsidRPr="00334E3C" w:rsidRDefault="00AF0C27" w:rsidP="009F38C9">
            <w:pPr>
              <w:pStyle w:val="TabletextLeft"/>
              <w:jc w:val="center"/>
            </w:pPr>
            <w:r>
              <w:t>24.21</w:t>
            </w:r>
          </w:p>
        </w:tc>
        <w:tc>
          <w:tcPr>
            <w:tcW w:w="833" w:type="pct"/>
          </w:tcPr>
          <w:p w14:paraId="203D8416" w14:textId="6E277B51" w:rsidR="009F38C9" w:rsidRPr="00334E3C" w:rsidRDefault="009F38C9" w:rsidP="009F38C9">
            <w:pPr>
              <w:pStyle w:val="TabletextLeft"/>
              <w:jc w:val="center"/>
            </w:pPr>
            <w:r>
              <w:t>n/a – new</w:t>
            </w:r>
          </w:p>
        </w:tc>
        <w:tc>
          <w:tcPr>
            <w:tcW w:w="833" w:type="pct"/>
          </w:tcPr>
          <w:p w14:paraId="10D2A316" w14:textId="1F81D096" w:rsidR="009F38C9" w:rsidRPr="008D34C7" w:rsidRDefault="00D1123C" w:rsidP="009F38C9">
            <w:pPr>
              <w:pStyle w:val="TabletextLeft"/>
              <w:jc w:val="center"/>
              <w:rPr>
                <w:rFonts w:cs="Calibri Light"/>
              </w:rPr>
            </w:pPr>
            <w:r>
              <w:rPr>
                <w:rFonts w:cs="Calibri Light"/>
              </w:rPr>
              <w:t>3.80</w:t>
            </w:r>
          </w:p>
        </w:tc>
        <w:tc>
          <w:tcPr>
            <w:tcW w:w="832" w:type="pct"/>
          </w:tcPr>
          <w:p w14:paraId="7BC74E97" w14:textId="77777777" w:rsidR="009F38C9" w:rsidRPr="00334E3C" w:rsidRDefault="009F38C9" w:rsidP="009F38C9">
            <w:pPr>
              <w:pStyle w:val="TabletextLeft"/>
              <w:jc w:val="center"/>
            </w:pPr>
            <w:r>
              <w:t>n/a – new</w:t>
            </w:r>
          </w:p>
        </w:tc>
      </w:tr>
      <w:tr w:rsidR="009F38C9" w:rsidRPr="00294696" w14:paraId="78DA50CA" w14:textId="77777777" w:rsidTr="00E837B0">
        <w:tc>
          <w:tcPr>
            <w:tcW w:w="834" w:type="pct"/>
            <w:vMerge/>
          </w:tcPr>
          <w:p w14:paraId="488E19E3" w14:textId="77777777" w:rsidR="009F38C9" w:rsidRDefault="009F38C9" w:rsidP="009F38C9">
            <w:pPr>
              <w:pStyle w:val="TabletextLeft"/>
            </w:pPr>
          </w:p>
        </w:tc>
        <w:tc>
          <w:tcPr>
            <w:tcW w:w="833" w:type="pct"/>
          </w:tcPr>
          <w:p w14:paraId="4EF9A9F9" w14:textId="11C91718" w:rsidR="009F38C9" w:rsidRPr="008D34C7" w:rsidRDefault="009F38C9" w:rsidP="009F38C9">
            <w:pPr>
              <w:pStyle w:val="TabletextLeft"/>
              <w:jc w:val="center"/>
              <w:rPr>
                <w:rFonts w:cs="Calibri Light"/>
              </w:rPr>
            </w:pPr>
            <w:r>
              <w:rPr>
                <w:rFonts w:cs="Calibri Light"/>
              </w:rPr>
              <w:t>7</w:t>
            </w:r>
          </w:p>
        </w:tc>
        <w:tc>
          <w:tcPr>
            <w:tcW w:w="833" w:type="pct"/>
          </w:tcPr>
          <w:p w14:paraId="3B307DD6" w14:textId="0E0681CC" w:rsidR="009F38C9" w:rsidRPr="00334E3C" w:rsidRDefault="00AF0C27" w:rsidP="009F38C9">
            <w:pPr>
              <w:pStyle w:val="TabletextLeft"/>
              <w:jc w:val="center"/>
            </w:pPr>
            <w:r>
              <w:t>25.83</w:t>
            </w:r>
          </w:p>
        </w:tc>
        <w:tc>
          <w:tcPr>
            <w:tcW w:w="833" w:type="pct"/>
          </w:tcPr>
          <w:p w14:paraId="41910E87" w14:textId="7BB2D519" w:rsidR="009F38C9" w:rsidRPr="00334E3C" w:rsidRDefault="009F38C9" w:rsidP="009F38C9">
            <w:pPr>
              <w:pStyle w:val="TabletextLeft"/>
              <w:jc w:val="center"/>
            </w:pPr>
            <w:r>
              <w:t xml:space="preserve">n/a – new </w:t>
            </w:r>
          </w:p>
        </w:tc>
        <w:tc>
          <w:tcPr>
            <w:tcW w:w="833" w:type="pct"/>
          </w:tcPr>
          <w:p w14:paraId="5AFA8BB3" w14:textId="6DFC7CA6" w:rsidR="009F38C9" w:rsidRPr="008D34C7" w:rsidRDefault="00D1123C" w:rsidP="009F38C9">
            <w:pPr>
              <w:pStyle w:val="TabletextLeft"/>
              <w:jc w:val="center"/>
              <w:rPr>
                <w:rFonts w:cs="Calibri Light"/>
              </w:rPr>
            </w:pPr>
            <w:r>
              <w:rPr>
                <w:rFonts w:cs="Calibri Light"/>
              </w:rPr>
              <w:t>4.04</w:t>
            </w:r>
          </w:p>
        </w:tc>
        <w:tc>
          <w:tcPr>
            <w:tcW w:w="832" w:type="pct"/>
          </w:tcPr>
          <w:p w14:paraId="58CE2E7D" w14:textId="77777777" w:rsidR="009F38C9" w:rsidRPr="00334E3C" w:rsidRDefault="009F38C9" w:rsidP="009F38C9">
            <w:pPr>
              <w:pStyle w:val="TabletextLeft"/>
              <w:jc w:val="center"/>
            </w:pPr>
            <w:r>
              <w:t>n/a – new</w:t>
            </w:r>
          </w:p>
        </w:tc>
      </w:tr>
    </w:tbl>
    <w:p w14:paraId="0E27CE87" w14:textId="77777777" w:rsidR="00072035" w:rsidRDefault="00072035" w:rsidP="006D0DF8">
      <w:pPr>
        <w:rPr>
          <w:lang w:eastAsia="en-AU"/>
        </w:rPr>
      </w:pPr>
    </w:p>
    <w:p w14:paraId="317EEAE5" w14:textId="00E1124C" w:rsidR="001D238E" w:rsidRDefault="001D238E" w:rsidP="001D238E">
      <w:pPr>
        <w:pStyle w:val="Caption"/>
        <w:rPr>
          <w:lang w:eastAsia="en-AU"/>
        </w:rPr>
      </w:pPr>
      <w:r>
        <w:t xml:space="preserve">Table A </w:t>
      </w:r>
      <w:r>
        <w:fldChar w:fldCharType="begin"/>
      </w:r>
      <w:r>
        <w:instrText xml:space="preserve"> SEQ Table_A \* ARABIC </w:instrText>
      </w:r>
      <w:r>
        <w:fldChar w:fldCharType="separate"/>
      </w:r>
      <w:r w:rsidR="009D133E">
        <w:rPr>
          <w:noProof/>
        </w:rPr>
        <w:t>11</w:t>
      </w:r>
      <w:r>
        <w:fldChar w:fldCharType="end"/>
      </w:r>
      <w:r w:rsidRPr="00697CFC">
        <w:t xml:space="preserve"> </w:t>
      </w:r>
      <w:r>
        <w:rPr>
          <w:lang w:eastAsia="en-AU"/>
        </w:rPr>
        <w:t>Breakdown of proposed fee structure for application and maintenance fees, for individual operator licences</w:t>
      </w:r>
    </w:p>
    <w:tbl>
      <w:tblPr>
        <w:tblStyle w:val="Deloittetable"/>
        <w:tblW w:w="4999" w:type="pct"/>
        <w:tblLook w:val="04A0" w:firstRow="1" w:lastRow="0" w:firstColumn="1" w:lastColumn="0" w:noHBand="0" w:noVBand="1"/>
      </w:tblPr>
      <w:tblGrid>
        <w:gridCol w:w="1608"/>
        <w:gridCol w:w="1606"/>
        <w:gridCol w:w="1606"/>
        <w:gridCol w:w="1606"/>
        <w:gridCol w:w="1606"/>
        <w:gridCol w:w="1604"/>
      </w:tblGrid>
      <w:tr w:rsidR="001D238E" w:rsidRPr="00294696" w14:paraId="2F28D0BA" w14:textId="77777777" w:rsidTr="00847801">
        <w:trPr>
          <w:cnfStyle w:val="100000000000" w:firstRow="1" w:lastRow="0" w:firstColumn="0" w:lastColumn="0" w:oddVBand="0" w:evenVBand="0" w:oddHBand="0" w:evenHBand="0" w:firstRowFirstColumn="0" w:firstRowLastColumn="0" w:lastRowFirstColumn="0" w:lastRowLastColumn="0"/>
          <w:tblHeader/>
        </w:trPr>
        <w:tc>
          <w:tcPr>
            <w:tcW w:w="834" w:type="pct"/>
          </w:tcPr>
          <w:p w14:paraId="6D06137A" w14:textId="77777777" w:rsidR="001D238E" w:rsidRPr="002F3D61" w:rsidRDefault="001D238E" w:rsidP="00847801">
            <w:pPr>
              <w:pStyle w:val="TabletextLeft"/>
              <w:ind w:left="0"/>
              <w:rPr>
                <w:b/>
                <w:bCs/>
              </w:rPr>
            </w:pPr>
            <w:r w:rsidRPr="002F3D61">
              <w:rPr>
                <w:b/>
                <w:bCs/>
              </w:rPr>
              <w:t>Category</w:t>
            </w:r>
          </w:p>
        </w:tc>
        <w:tc>
          <w:tcPr>
            <w:tcW w:w="833" w:type="pct"/>
            <w:vAlign w:val="center"/>
          </w:tcPr>
          <w:p w14:paraId="1D2629AE" w14:textId="77777777" w:rsidR="001D238E" w:rsidRDefault="001D238E" w:rsidP="00847801">
            <w:pPr>
              <w:pStyle w:val="TabletextLeft"/>
              <w:jc w:val="center"/>
              <w:rPr>
                <w:b/>
                <w:bCs/>
              </w:rPr>
            </w:pPr>
            <w:r w:rsidRPr="00587409">
              <w:rPr>
                <w:b/>
                <w:bCs/>
              </w:rPr>
              <w:t>Number of activities to be authorised under the licence</w:t>
            </w:r>
          </w:p>
        </w:tc>
        <w:tc>
          <w:tcPr>
            <w:tcW w:w="833" w:type="pct"/>
            <w:vAlign w:val="center"/>
          </w:tcPr>
          <w:p w14:paraId="5C19C383" w14:textId="77777777" w:rsidR="001D238E" w:rsidRDefault="001D238E" w:rsidP="00847801">
            <w:pPr>
              <w:pStyle w:val="TabletextLeft"/>
              <w:jc w:val="center"/>
              <w:rPr>
                <w:b/>
                <w:bCs/>
              </w:rPr>
            </w:pPr>
            <w:r>
              <w:rPr>
                <w:b/>
                <w:bCs/>
              </w:rPr>
              <w:t>Licence application or renewal fee units</w:t>
            </w:r>
          </w:p>
        </w:tc>
        <w:tc>
          <w:tcPr>
            <w:tcW w:w="833" w:type="pct"/>
            <w:vAlign w:val="center"/>
          </w:tcPr>
          <w:p w14:paraId="636E677B" w14:textId="77777777" w:rsidR="001D238E" w:rsidRDefault="001D238E" w:rsidP="00847801">
            <w:pPr>
              <w:pStyle w:val="TabletextLeft"/>
              <w:jc w:val="center"/>
              <w:rPr>
                <w:b/>
                <w:bCs/>
              </w:rPr>
            </w:pPr>
            <w:r>
              <w:rPr>
                <w:b/>
                <w:bCs/>
              </w:rPr>
              <w:t>Percentage change in fee units from current fees</w:t>
            </w:r>
          </w:p>
        </w:tc>
        <w:tc>
          <w:tcPr>
            <w:tcW w:w="833" w:type="pct"/>
            <w:vAlign w:val="center"/>
          </w:tcPr>
          <w:p w14:paraId="1D84D34B" w14:textId="17297C07" w:rsidR="001D238E" w:rsidRDefault="001D238E" w:rsidP="00847801">
            <w:pPr>
              <w:pStyle w:val="TabletextLeft"/>
              <w:jc w:val="center"/>
              <w:rPr>
                <w:b/>
                <w:bCs/>
              </w:rPr>
            </w:pPr>
            <w:r>
              <w:rPr>
                <w:b/>
                <w:bCs/>
              </w:rPr>
              <w:t xml:space="preserve">Licence maintenance fee – </w:t>
            </w:r>
            <w:r w:rsidRPr="00557B4A">
              <w:rPr>
                <w:b/>
                <w:bCs/>
                <w:i/>
                <w:iCs/>
              </w:rPr>
              <w:t xml:space="preserve">for </w:t>
            </w:r>
            <w:r w:rsidR="007B5F50" w:rsidRPr="007B5F50">
              <w:rPr>
                <w:b/>
                <w:bCs/>
                <w:i/>
                <w:iCs/>
              </w:rPr>
              <w:t>period of 2 months or part of a period of 2 months for which the licence is granted or renewed</w:t>
            </w:r>
          </w:p>
        </w:tc>
        <w:tc>
          <w:tcPr>
            <w:tcW w:w="832" w:type="pct"/>
            <w:vAlign w:val="center"/>
          </w:tcPr>
          <w:p w14:paraId="0BAAB685" w14:textId="77777777" w:rsidR="001D238E" w:rsidRDefault="001D238E" w:rsidP="00847801">
            <w:pPr>
              <w:pStyle w:val="TabletextLeft"/>
              <w:jc w:val="center"/>
              <w:rPr>
                <w:b/>
                <w:bCs/>
              </w:rPr>
            </w:pPr>
            <w:r>
              <w:rPr>
                <w:b/>
                <w:bCs/>
              </w:rPr>
              <w:t>Percentage change in fee units from current fees</w:t>
            </w:r>
          </w:p>
        </w:tc>
      </w:tr>
      <w:tr w:rsidR="001D238E" w:rsidRPr="00294696" w14:paraId="77CE36AD" w14:textId="77777777" w:rsidTr="00847801">
        <w:tc>
          <w:tcPr>
            <w:tcW w:w="834" w:type="pct"/>
            <w:vMerge w:val="restart"/>
          </w:tcPr>
          <w:p w14:paraId="4BDC4331" w14:textId="168471B0" w:rsidR="001D238E" w:rsidRPr="00294696" w:rsidRDefault="001D238E" w:rsidP="00847801">
            <w:pPr>
              <w:pStyle w:val="TabletextLeft"/>
            </w:pPr>
            <w:r>
              <w:t>Individual operator licence</w:t>
            </w:r>
          </w:p>
        </w:tc>
        <w:tc>
          <w:tcPr>
            <w:tcW w:w="833" w:type="pct"/>
          </w:tcPr>
          <w:p w14:paraId="5C0A7D8D" w14:textId="77777777" w:rsidR="001D238E" w:rsidRDefault="001D238E" w:rsidP="00847801">
            <w:pPr>
              <w:pStyle w:val="TabletextLeft"/>
              <w:jc w:val="center"/>
              <w:rPr>
                <w:rFonts w:cs="Calibri Light"/>
              </w:rPr>
            </w:pPr>
            <w:r>
              <w:rPr>
                <w:rFonts w:cs="Calibri Light"/>
              </w:rPr>
              <w:t>1</w:t>
            </w:r>
          </w:p>
        </w:tc>
        <w:tc>
          <w:tcPr>
            <w:tcW w:w="833" w:type="pct"/>
          </w:tcPr>
          <w:p w14:paraId="197F6065" w14:textId="30174A54" w:rsidR="001D238E" w:rsidRPr="00334E3C" w:rsidRDefault="004021FD" w:rsidP="00847801">
            <w:pPr>
              <w:pStyle w:val="TabletextLeft"/>
              <w:jc w:val="center"/>
            </w:pPr>
            <w:r>
              <w:t>4.40</w:t>
            </w:r>
          </w:p>
        </w:tc>
        <w:tc>
          <w:tcPr>
            <w:tcW w:w="833" w:type="pct"/>
          </w:tcPr>
          <w:p w14:paraId="46A1B1D2" w14:textId="77777777" w:rsidR="001D238E" w:rsidRPr="00334E3C" w:rsidRDefault="001D238E" w:rsidP="00847801">
            <w:pPr>
              <w:pStyle w:val="TabletextLeft"/>
              <w:jc w:val="center"/>
            </w:pPr>
            <w:r>
              <w:t>0%</w:t>
            </w:r>
          </w:p>
        </w:tc>
        <w:tc>
          <w:tcPr>
            <w:tcW w:w="833" w:type="pct"/>
          </w:tcPr>
          <w:p w14:paraId="442FA8CB" w14:textId="034417E7" w:rsidR="001D238E" w:rsidRDefault="007B5F50" w:rsidP="00847801">
            <w:pPr>
              <w:pStyle w:val="TabletextLeft"/>
              <w:jc w:val="center"/>
              <w:rPr>
                <w:rFonts w:cs="Calibri Light"/>
              </w:rPr>
            </w:pPr>
            <w:r>
              <w:rPr>
                <w:rFonts w:cs="Calibri Light"/>
              </w:rPr>
              <w:t>1.36</w:t>
            </w:r>
          </w:p>
        </w:tc>
        <w:tc>
          <w:tcPr>
            <w:tcW w:w="832" w:type="pct"/>
          </w:tcPr>
          <w:p w14:paraId="736B55F9" w14:textId="77777777" w:rsidR="001D238E" w:rsidRPr="00334E3C" w:rsidRDefault="001D238E" w:rsidP="00847801">
            <w:pPr>
              <w:pStyle w:val="TabletextLeft"/>
              <w:jc w:val="center"/>
            </w:pPr>
            <w:r>
              <w:t>0%</w:t>
            </w:r>
          </w:p>
        </w:tc>
      </w:tr>
      <w:tr w:rsidR="001D238E" w:rsidRPr="00294696" w14:paraId="18576C56" w14:textId="77777777" w:rsidTr="00847801">
        <w:tc>
          <w:tcPr>
            <w:tcW w:w="834" w:type="pct"/>
            <w:vMerge/>
          </w:tcPr>
          <w:p w14:paraId="3D14898D" w14:textId="77777777" w:rsidR="001D238E" w:rsidRDefault="001D238E" w:rsidP="00847801">
            <w:pPr>
              <w:pStyle w:val="TabletextLeft"/>
            </w:pPr>
          </w:p>
        </w:tc>
        <w:tc>
          <w:tcPr>
            <w:tcW w:w="833" w:type="pct"/>
          </w:tcPr>
          <w:p w14:paraId="57EDC60E" w14:textId="77777777" w:rsidR="001D238E" w:rsidRDefault="001D238E" w:rsidP="00847801">
            <w:pPr>
              <w:pStyle w:val="TabletextLeft"/>
              <w:jc w:val="center"/>
              <w:rPr>
                <w:rFonts w:cs="Calibri Light"/>
              </w:rPr>
            </w:pPr>
            <w:r>
              <w:rPr>
                <w:rFonts w:cs="Calibri Light"/>
              </w:rPr>
              <w:t>2</w:t>
            </w:r>
          </w:p>
        </w:tc>
        <w:tc>
          <w:tcPr>
            <w:tcW w:w="833" w:type="pct"/>
          </w:tcPr>
          <w:p w14:paraId="57D3ED23" w14:textId="1769885F" w:rsidR="001D238E" w:rsidRPr="00334E3C" w:rsidRDefault="004021FD" w:rsidP="00847801">
            <w:pPr>
              <w:pStyle w:val="TabletextLeft"/>
              <w:jc w:val="center"/>
            </w:pPr>
            <w:r>
              <w:t>4.84</w:t>
            </w:r>
          </w:p>
        </w:tc>
        <w:tc>
          <w:tcPr>
            <w:tcW w:w="833" w:type="pct"/>
          </w:tcPr>
          <w:p w14:paraId="783D40B0" w14:textId="77777777" w:rsidR="001D238E" w:rsidRPr="00334E3C" w:rsidRDefault="001D238E" w:rsidP="00847801">
            <w:pPr>
              <w:pStyle w:val="TabletextLeft"/>
              <w:jc w:val="center"/>
            </w:pPr>
            <w:r>
              <w:t>0%</w:t>
            </w:r>
          </w:p>
        </w:tc>
        <w:tc>
          <w:tcPr>
            <w:tcW w:w="833" w:type="pct"/>
          </w:tcPr>
          <w:p w14:paraId="60E78C22" w14:textId="641D1DD9" w:rsidR="001D238E" w:rsidRDefault="007B5F50" w:rsidP="00847801">
            <w:pPr>
              <w:pStyle w:val="TabletextLeft"/>
              <w:jc w:val="center"/>
              <w:rPr>
                <w:rFonts w:cs="Calibri Light"/>
              </w:rPr>
            </w:pPr>
            <w:r>
              <w:rPr>
                <w:rFonts w:cs="Calibri Light"/>
              </w:rPr>
              <w:t>1.56</w:t>
            </w:r>
          </w:p>
        </w:tc>
        <w:tc>
          <w:tcPr>
            <w:tcW w:w="832" w:type="pct"/>
          </w:tcPr>
          <w:p w14:paraId="2DF7D948" w14:textId="77777777" w:rsidR="001D238E" w:rsidRPr="00334E3C" w:rsidRDefault="001D238E" w:rsidP="00847801">
            <w:pPr>
              <w:pStyle w:val="TabletextLeft"/>
              <w:jc w:val="center"/>
            </w:pPr>
            <w:r>
              <w:t>0%</w:t>
            </w:r>
          </w:p>
        </w:tc>
      </w:tr>
      <w:tr w:rsidR="001D238E" w:rsidRPr="00294696" w14:paraId="23E6F386" w14:textId="77777777" w:rsidTr="00847801">
        <w:tc>
          <w:tcPr>
            <w:tcW w:w="834" w:type="pct"/>
            <w:vMerge/>
          </w:tcPr>
          <w:p w14:paraId="6CE3D62A" w14:textId="77777777" w:rsidR="001D238E" w:rsidRDefault="001D238E" w:rsidP="00847801">
            <w:pPr>
              <w:pStyle w:val="TabletextLeft"/>
            </w:pPr>
          </w:p>
        </w:tc>
        <w:tc>
          <w:tcPr>
            <w:tcW w:w="833" w:type="pct"/>
          </w:tcPr>
          <w:p w14:paraId="7B9BE890" w14:textId="77777777" w:rsidR="001D238E" w:rsidRPr="008D34C7" w:rsidRDefault="001D238E" w:rsidP="00847801">
            <w:pPr>
              <w:pStyle w:val="TabletextLeft"/>
              <w:jc w:val="center"/>
              <w:rPr>
                <w:rFonts w:cs="Calibri Light"/>
              </w:rPr>
            </w:pPr>
            <w:r>
              <w:rPr>
                <w:rFonts w:cs="Calibri Light"/>
              </w:rPr>
              <w:t>3</w:t>
            </w:r>
          </w:p>
        </w:tc>
        <w:tc>
          <w:tcPr>
            <w:tcW w:w="833" w:type="pct"/>
          </w:tcPr>
          <w:p w14:paraId="2735DE51" w14:textId="0A09203C" w:rsidR="001D238E" w:rsidRPr="00334E3C" w:rsidRDefault="004021FD" w:rsidP="00847801">
            <w:pPr>
              <w:pStyle w:val="TabletextLeft"/>
              <w:jc w:val="center"/>
            </w:pPr>
            <w:r>
              <w:t>5.28</w:t>
            </w:r>
          </w:p>
        </w:tc>
        <w:tc>
          <w:tcPr>
            <w:tcW w:w="833" w:type="pct"/>
          </w:tcPr>
          <w:p w14:paraId="589E8298" w14:textId="77777777" w:rsidR="001D238E" w:rsidRPr="00334E3C" w:rsidRDefault="001D238E" w:rsidP="00847801">
            <w:pPr>
              <w:pStyle w:val="TabletextLeft"/>
              <w:jc w:val="center"/>
            </w:pPr>
            <w:r>
              <w:t>0%</w:t>
            </w:r>
          </w:p>
        </w:tc>
        <w:tc>
          <w:tcPr>
            <w:tcW w:w="833" w:type="pct"/>
          </w:tcPr>
          <w:p w14:paraId="5404F1C3" w14:textId="58E51A69" w:rsidR="001D238E" w:rsidRPr="008D34C7" w:rsidRDefault="007B5F50" w:rsidP="00847801">
            <w:pPr>
              <w:pStyle w:val="TabletextLeft"/>
              <w:jc w:val="center"/>
              <w:rPr>
                <w:rFonts w:cs="Calibri Light"/>
              </w:rPr>
            </w:pPr>
            <w:r>
              <w:rPr>
                <w:rFonts w:cs="Calibri Light"/>
              </w:rPr>
              <w:t>1.66</w:t>
            </w:r>
          </w:p>
        </w:tc>
        <w:tc>
          <w:tcPr>
            <w:tcW w:w="832" w:type="pct"/>
          </w:tcPr>
          <w:p w14:paraId="5CBB98EF" w14:textId="77777777" w:rsidR="001D238E" w:rsidRPr="00334E3C" w:rsidRDefault="001D238E" w:rsidP="00847801">
            <w:pPr>
              <w:pStyle w:val="TabletextLeft"/>
              <w:jc w:val="center"/>
            </w:pPr>
            <w:r>
              <w:t>0%</w:t>
            </w:r>
          </w:p>
        </w:tc>
      </w:tr>
      <w:tr w:rsidR="001D238E" w:rsidRPr="00294696" w14:paraId="20DBE5CA" w14:textId="77777777" w:rsidTr="00847801">
        <w:tc>
          <w:tcPr>
            <w:tcW w:w="834" w:type="pct"/>
            <w:vMerge/>
          </w:tcPr>
          <w:p w14:paraId="6E192854" w14:textId="77777777" w:rsidR="001D238E" w:rsidRDefault="001D238E" w:rsidP="00847801">
            <w:pPr>
              <w:pStyle w:val="TabletextLeft"/>
            </w:pPr>
          </w:p>
        </w:tc>
        <w:tc>
          <w:tcPr>
            <w:tcW w:w="833" w:type="pct"/>
          </w:tcPr>
          <w:p w14:paraId="562D17C0" w14:textId="77777777" w:rsidR="001D238E" w:rsidRPr="008D34C7" w:rsidRDefault="001D238E" w:rsidP="00847801">
            <w:pPr>
              <w:pStyle w:val="TabletextLeft"/>
              <w:jc w:val="center"/>
              <w:rPr>
                <w:rFonts w:cs="Calibri Light"/>
              </w:rPr>
            </w:pPr>
            <w:r>
              <w:rPr>
                <w:rFonts w:cs="Calibri Light"/>
              </w:rPr>
              <w:t>4</w:t>
            </w:r>
          </w:p>
        </w:tc>
        <w:tc>
          <w:tcPr>
            <w:tcW w:w="833" w:type="pct"/>
          </w:tcPr>
          <w:p w14:paraId="1AF4F6B2" w14:textId="5CD25308" w:rsidR="001D238E" w:rsidRPr="00334E3C" w:rsidRDefault="004021FD" w:rsidP="00847801">
            <w:pPr>
              <w:pStyle w:val="TabletextLeft"/>
              <w:jc w:val="center"/>
            </w:pPr>
            <w:r>
              <w:t>5.72</w:t>
            </w:r>
          </w:p>
        </w:tc>
        <w:tc>
          <w:tcPr>
            <w:tcW w:w="833" w:type="pct"/>
          </w:tcPr>
          <w:p w14:paraId="42A8CB41" w14:textId="77777777" w:rsidR="001D238E" w:rsidRPr="00334E3C" w:rsidRDefault="001D238E" w:rsidP="00847801">
            <w:pPr>
              <w:pStyle w:val="TabletextLeft"/>
              <w:jc w:val="center"/>
            </w:pPr>
            <w:r>
              <w:t>0%</w:t>
            </w:r>
          </w:p>
        </w:tc>
        <w:tc>
          <w:tcPr>
            <w:tcW w:w="833" w:type="pct"/>
          </w:tcPr>
          <w:p w14:paraId="608A461E" w14:textId="17D1957D" w:rsidR="001D238E" w:rsidRPr="008D34C7" w:rsidRDefault="007B5F50" w:rsidP="00847801">
            <w:pPr>
              <w:pStyle w:val="TabletextLeft"/>
              <w:jc w:val="center"/>
              <w:rPr>
                <w:rFonts w:cs="Calibri Light"/>
              </w:rPr>
            </w:pPr>
            <w:r>
              <w:rPr>
                <w:rFonts w:cs="Calibri Light"/>
              </w:rPr>
              <w:t>1.76</w:t>
            </w:r>
          </w:p>
        </w:tc>
        <w:tc>
          <w:tcPr>
            <w:tcW w:w="832" w:type="pct"/>
          </w:tcPr>
          <w:p w14:paraId="33B0CE02" w14:textId="77777777" w:rsidR="001D238E" w:rsidRPr="00334E3C" w:rsidRDefault="001D238E" w:rsidP="00847801">
            <w:pPr>
              <w:pStyle w:val="TabletextLeft"/>
              <w:jc w:val="center"/>
            </w:pPr>
            <w:r>
              <w:t>0%</w:t>
            </w:r>
          </w:p>
        </w:tc>
      </w:tr>
      <w:tr w:rsidR="001D238E" w:rsidRPr="00294696" w14:paraId="4DCF4BAD" w14:textId="77777777" w:rsidTr="00847801">
        <w:tc>
          <w:tcPr>
            <w:tcW w:w="834" w:type="pct"/>
            <w:vMerge/>
          </w:tcPr>
          <w:p w14:paraId="2F0B3FAA" w14:textId="77777777" w:rsidR="001D238E" w:rsidRDefault="001D238E" w:rsidP="00847801">
            <w:pPr>
              <w:pStyle w:val="TabletextLeft"/>
            </w:pPr>
          </w:p>
        </w:tc>
        <w:tc>
          <w:tcPr>
            <w:tcW w:w="833" w:type="pct"/>
          </w:tcPr>
          <w:p w14:paraId="5D9628F5" w14:textId="77777777" w:rsidR="001D238E" w:rsidRPr="008D34C7" w:rsidRDefault="001D238E" w:rsidP="00847801">
            <w:pPr>
              <w:pStyle w:val="TabletextLeft"/>
              <w:jc w:val="center"/>
              <w:rPr>
                <w:rFonts w:cs="Calibri Light"/>
              </w:rPr>
            </w:pPr>
            <w:r>
              <w:rPr>
                <w:rFonts w:cs="Calibri Light"/>
              </w:rPr>
              <w:t>5</w:t>
            </w:r>
          </w:p>
        </w:tc>
        <w:tc>
          <w:tcPr>
            <w:tcW w:w="833" w:type="pct"/>
          </w:tcPr>
          <w:p w14:paraId="64AE34CA" w14:textId="3EDB7540" w:rsidR="001D238E" w:rsidRPr="00334E3C" w:rsidRDefault="004021FD" w:rsidP="00847801">
            <w:pPr>
              <w:pStyle w:val="TabletextLeft"/>
              <w:jc w:val="center"/>
            </w:pPr>
            <w:r>
              <w:t>6.16</w:t>
            </w:r>
          </w:p>
        </w:tc>
        <w:tc>
          <w:tcPr>
            <w:tcW w:w="833" w:type="pct"/>
          </w:tcPr>
          <w:p w14:paraId="0A2C17E8" w14:textId="77777777" w:rsidR="001D238E" w:rsidRPr="00334E3C" w:rsidRDefault="001D238E" w:rsidP="00847801">
            <w:pPr>
              <w:pStyle w:val="TabletextLeft"/>
              <w:jc w:val="center"/>
            </w:pPr>
            <w:r>
              <w:t>0%</w:t>
            </w:r>
          </w:p>
        </w:tc>
        <w:tc>
          <w:tcPr>
            <w:tcW w:w="833" w:type="pct"/>
          </w:tcPr>
          <w:p w14:paraId="589DCFAF" w14:textId="0A010938" w:rsidR="001D238E" w:rsidRPr="008D34C7" w:rsidRDefault="007B5F50" w:rsidP="00847801">
            <w:pPr>
              <w:pStyle w:val="TabletextLeft"/>
              <w:jc w:val="center"/>
              <w:rPr>
                <w:rFonts w:cs="Calibri Light"/>
              </w:rPr>
            </w:pPr>
            <w:r>
              <w:rPr>
                <w:rFonts w:cs="Calibri Light"/>
              </w:rPr>
              <w:t>1.86</w:t>
            </w:r>
          </w:p>
        </w:tc>
        <w:tc>
          <w:tcPr>
            <w:tcW w:w="832" w:type="pct"/>
          </w:tcPr>
          <w:p w14:paraId="39355374" w14:textId="77777777" w:rsidR="001D238E" w:rsidRPr="00334E3C" w:rsidRDefault="001D238E" w:rsidP="00847801">
            <w:pPr>
              <w:pStyle w:val="TabletextLeft"/>
              <w:jc w:val="center"/>
            </w:pPr>
            <w:r>
              <w:t>0%</w:t>
            </w:r>
          </w:p>
        </w:tc>
      </w:tr>
      <w:tr w:rsidR="001D238E" w:rsidRPr="00294696" w14:paraId="3BF68DC8" w14:textId="77777777" w:rsidTr="00847801">
        <w:tc>
          <w:tcPr>
            <w:tcW w:w="834" w:type="pct"/>
            <w:vMerge/>
          </w:tcPr>
          <w:p w14:paraId="24971114" w14:textId="77777777" w:rsidR="001D238E" w:rsidRDefault="001D238E" w:rsidP="00847801">
            <w:pPr>
              <w:pStyle w:val="TabletextLeft"/>
            </w:pPr>
          </w:p>
        </w:tc>
        <w:tc>
          <w:tcPr>
            <w:tcW w:w="833" w:type="pct"/>
          </w:tcPr>
          <w:p w14:paraId="5276EEF3" w14:textId="77777777" w:rsidR="001D238E" w:rsidRPr="008D34C7" w:rsidRDefault="001D238E" w:rsidP="00847801">
            <w:pPr>
              <w:pStyle w:val="TabletextLeft"/>
              <w:jc w:val="center"/>
              <w:rPr>
                <w:rFonts w:cs="Calibri Light"/>
              </w:rPr>
            </w:pPr>
            <w:r>
              <w:rPr>
                <w:rFonts w:cs="Calibri Light"/>
              </w:rPr>
              <w:t>6</w:t>
            </w:r>
          </w:p>
        </w:tc>
        <w:tc>
          <w:tcPr>
            <w:tcW w:w="833" w:type="pct"/>
          </w:tcPr>
          <w:p w14:paraId="37B9D371" w14:textId="20ECBAD2" w:rsidR="001D238E" w:rsidRPr="00334E3C" w:rsidRDefault="001E7632" w:rsidP="00847801">
            <w:pPr>
              <w:pStyle w:val="TabletextLeft"/>
              <w:jc w:val="center"/>
            </w:pPr>
            <w:r>
              <w:t>6.60</w:t>
            </w:r>
          </w:p>
        </w:tc>
        <w:tc>
          <w:tcPr>
            <w:tcW w:w="833" w:type="pct"/>
          </w:tcPr>
          <w:p w14:paraId="6EF176DB" w14:textId="77777777" w:rsidR="001D238E" w:rsidRPr="00334E3C" w:rsidRDefault="001D238E" w:rsidP="00847801">
            <w:pPr>
              <w:pStyle w:val="TabletextLeft"/>
              <w:jc w:val="center"/>
            </w:pPr>
            <w:r>
              <w:t>n/a – new</w:t>
            </w:r>
          </w:p>
        </w:tc>
        <w:tc>
          <w:tcPr>
            <w:tcW w:w="833" w:type="pct"/>
          </w:tcPr>
          <w:p w14:paraId="4069A379" w14:textId="25C09018" w:rsidR="001D238E" w:rsidRPr="000E1306" w:rsidRDefault="00E7293C" w:rsidP="00847801">
            <w:pPr>
              <w:pStyle w:val="TabletextLeft"/>
              <w:jc w:val="center"/>
              <w:rPr>
                <w:rFonts w:cs="Calibri Light"/>
              </w:rPr>
            </w:pPr>
            <w:r>
              <w:rPr>
                <w:rFonts w:cs="Calibri Light"/>
              </w:rPr>
              <w:t>1.96</w:t>
            </w:r>
          </w:p>
        </w:tc>
        <w:tc>
          <w:tcPr>
            <w:tcW w:w="832" w:type="pct"/>
          </w:tcPr>
          <w:p w14:paraId="2FB132CC" w14:textId="77777777" w:rsidR="001D238E" w:rsidRPr="00334E3C" w:rsidRDefault="001D238E" w:rsidP="00847801">
            <w:pPr>
              <w:pStyle w:val="TabletextLeft"/>
              <w:jc w:val="center"/>
            </w:pPr>
            <w:r>
              <w:t>n/a – new</w:t>
            </w:r>
          </w:p>
        </w:tc>
      </w:tr>
      <w:tr w:rsidR="001D238E" w:rsidRPr="00294696" w14:paraId="4C46B697" w14:textId="77777777" w:rsidTr="00847801">
        <w:tc>
          <w:tcPr>
            <w:tcW w:w="834" w:type="pct"/>
            <w:vMerge/>
          </w:tcPr>
          <w:p w14:paraId="7CAA0B0B" w14:textId="77777777" w:rsidR="001D238E" w:rsidRDefault="001D238E" w:rsidP="00847801">
            <w:pPr>
              <w:pStyle w:val="TabletextLeft"/>
            </w:pPr>
          </w:p>
        </w:tc>
        <w:tc>
          <w:tcPr>
            <w:tcW w:w="833" w:type="pct"/>
          </w:tcPr>
          <w:p w14:paraId="22769996" w14:textId="77777777" w:rsidR="001D238E" w:rsidRPr="008D34C7" w:rsidRDefault="001D238E" w:rsidP="00847801">
            <w:pPr>
              <w:pStyle w:val="TabletextLeft"/>
              <w:jc w:val="center"/>
              <w:rPr>
                <w:rFonts w:cs="Calibri Light"/>
              </w:rPr>
            </w:pPr>
            <w:r>
              <w:rPr>
                <w:rFonts w:cs="Calibri Light"/>
              </w:rPr>
              <w:t>7</w:t>
            </w:r>
          </w:p>
        </w:tc>
        <w:tc>
          <w:tcPr>
            <w:tcW w:w="833" w:type="pct"/>
          </w:tcPr>
          <w:p w14:paraId="3AEEDB3F" w14:textId="29B3A102" w:rsidR="001D238E" w:rsidRPr="00334E3C" w:rsidRDefault="001E7632" w:rsidP="00847801">
            <w:pPr>
              <w:pStyle w:val="TabletextLeft"/>
              <w:jc w:val="center"/>
            </w:pPr>
            <w:r>
              <w:t>7.04</w:t>
            </w:r>
          </w:p>
        </w:tc>
        <w:tc>
          <w:tcPr>
            <w:tcW w:w="833" w:type="pct"/>
          </w:tcPr>
          <w:p w14:paraId="785DCBDC" w14:textId="77777777" w:rsidR="001D238E" w:rsidRPr="00334E3C" w:rsidRDefault="001D238E" w:rsidP="00847801">
            <w:pPr>
              <w:pStyle w:val="TabletextLeft"/>
              <w:jc w:val="center"/>
            </w:pPr>
            <w:r>
              <w:t xml:space="preserve">n/a – new </w:t>
            </w:r>
          </w:p>
        </w:tc>
        <w:tc>
          <w:tcPr>
            <w:tcW w:w="833" w:type="pct"/>
          </w:tcPr>
          <w:p w14:paraId="4162BE2B" w14:textId="4E64409D" w:rsidR="001D238E" w:rsidRPr="000E1306" w:rsidRDefault="00E7293C" w:rsidP="00847801">
            <w:pPr>
              <w:pStyle w:val="TabletextLeft"/>
              <w:jc w:val="center"/>
              <w:rPr>
                <w:rFonts w:cs="Calibri Light"/>
              </w:rPr>
            </w:pPr>
            <w:r>
              <w:rPr>
                <w:rFonts w:cs="Calibri Light"/>
              </w:rPr>
              <w:t>2.06</w:t>
            </w:r>
          </w:p>
        </w:tc>
        <w:tc>
          <w:tcPr>
            <w:tcW w:w="832" w:type="pct"/>
          </w:tcPr>
          <w:p w14:paraId="04264C38" w14:textId="77777777" w:rsidR="001D238E" w:rsidRPr="00334E3C" w:rsidRDefault="001D238E" w:rsidP="00847801">
            <w:pPr>
              <w:pStyle w:val="TabletextLeft"/>
              <w:jc w:val="center"/>
            </w:pPr>
            <w:r>
              <w:t>n/a – new</w:t>
            </w:r>
          </w:p>
        </w:tc>
      </w:tr>
    </w:tbl>
    <w:p w14:paraId="20840EAD" w14:textId="77777777" w:rsidR="001D238E" w:rsidRDefault="001D238E" w:rsidP="006D0DF8">
      <w:pPr>
        <w:rPr>
          <w:lang w:eastAsia="en-AU"/>
        </w:rPr>
      </w:pPr>
    </w:p>
    <w:p w14:paraId="44A44A6F" w14:textId="0670C0EA" w:rsidR="00BD5461" w:rsidRDefault="00BD5461" w:rsidP="00BD5461">
      <w:pPr>
        <w:pStyle w:val="Caption"/>
        <w:rPr>
          <w:lang w:eastAsia="en-AU"/>
        </w:rPr>
      </w:pPr>
      <w:r>
        <w:t xml:space="preserve">Table A </w:t>
      </w:r>
      <w:r>
        <w:fldChar w:fldCharType="begin"/>
      </w:r>
      <w:r>
        <w:instrText xml:space="preserve"> SEQ Table_A \* ARABIC </w:instrText>
      </w:r>
      <w:r>
        <w:fldChar w:fldCharType="separate"/>
      </w:r>
      <w:r w:rsidR="009D133E">
        <w:rPr>
          <w:noProof/>
        </w:rPr>
        <w:t>12</w:t>
      </w:r>
      <w:r>
        <w:fldChar w:fldCharType="end"/>
      </w:r>
      <w:r w:rsidRPr="00697CFC">
        <w:t xml:space="preserve"> </w:t>
      </w:r>
      <w:r>
        <w:rPr>
          <w:lang w:eastAsia="en-AU"/>
        </w:rPr>
        <w:t xml:space="preserve">Breakdown of proposed fee structure for variation fees, for business licences </w:t>
      </w:r>
    </w:p>
    <w:tbl>
      <w:tblPr>
        <w:tblStyle w:val="Deloittetable"/>
        <w:tblW w:w="4927" w:type="pct"/>
        <w:tblLook w:val="04A0" w:firstRow="1" w:lastRow="0" w:firstColumn="1" w:lastColumn="0" w:noHBand="0" w:noVBand="1"/>
      </w:tblPr>
      <w:tblGrid>
        <w:gridCol w:w="1610"/>
        <w:gridCol w:w="3944"/>
        <w:gridCol w:w="3943"/>
      </w:tblGrid>
      <w:tr w:rsidR="00BD5461" w:rsidRPr="00294696" w14:paraId="1FD66180" w14:textId="77777777" w:rsidTr="00BD5461">
        <w:trPr>
          <w:cnfStyle w:val="100000000000" w:firstRow="1" w:lastRow="0" w:firstColumn="0" w:lastColumn="0" w:oddVBand="0" w:evenVBand="0" w:oddHBand="0" w:evenHBand="0" w:firstRowFirstColumn="0" w:firstRowLastColumn="0" w:lastRowFirstColumn="0" w:lastRowLastColumn="0"/>
          <w:tblHeader/>
        </w:trPr>
        <w:tc>
          <w:tcPr>
            <w:tcW w:w="847" w:type="pct"/>
          </w:tcPr>
          <w:p w14:paraId="6DC8564B" w14:textId="77777777" w:rsidR="00BD5461" w:rsidRPr="002F3D61" w:rsidRDefault="00BD5461" w:rsidP="00847801">
            <w:pPr>
              <w:pStyle w:val="TabletextLeft"/>
              <w:ind w:left="0"/>
              <w:rPr>
                <w:b/>
                <w:bCs/>
              </w:rPr>
            </w:pPr>
            <w:r w:rsidRPr="002F3D61">
              <w:rPr>
                <w:b/>
                <w:bCs/>
              </w:rPr>
              <w:t>Category</w:t>
            </w:r>
          </w:p>
        </w:tc>
        <w:tc>
          <w:tcPr>
            <w:tcW w:w="2076" w:type="pct"/>
            <w:vAlign w:val="center"/>
          </w:tcPr>
          <w:p w14:paraId="4E200F68" w14:textId="67BDDD15" w:rsidR="00BD5461" w:rsidRDefault="00BD5461" w:rsidP="00847801">
            <w:pPr>
              <w:pStyle w:val="TabletextLeft"/>
              <w:jc w:val="center"/>
              <w:rPr>
                <w:b/>
                <w:bCs/>
              </w:rPr>
            </w:pPr>
            <w:r>
              <w:rPr>
                <w:b/>
                <w:bCs/>
              </w:rPr>
              <w:t>Variation  fee units</w:t>
            </w:r>
          </w:p>
        </w:tc>
        <w:tc>
          <w:tcPr>
            <w:tcW w:w="2076" w:type="pct"/>
            <w:vAlign w:val="center"/>
          </w:tcPr>
          <w:p w14:paraId="3EFBDD00" w14:textId="77777777" w:rsidR="00BD5461" w:rsidRDefault="00BD5461" w:rsidP="00847801">
            <w:pPr>
              <w:pStyle w:val="TabletextLeft"/>
              <w:jc w:val="center"/>
              <w:rPr>
                <w:b/>
                <w:bCs/>
              </w:rPr>
            </w:pPr>
            <w:r>
              <w:rPr>
                <w:b/>
                <w:bCs/>
              </w:rPr>
              <w:t>Percentage change in fee units from current fees</w:t>
            </w:r>
          </w:p>
        </w:tc>
      </w:tr>
      <w:tr w:rsidR="00BD5461" w:rsidRPr="00294696" w14:paraId="0C0DEEF7" w14:textId="77777777" w:rsidTr="00BD5461">
        <w:tc>
          <w:tcPr>
            <w:tcW w:w="847" w:type="pct"/>
          </w:tcPr>
          <w:p w14:paraId="7E6732D4" w14:textId="77777777" w:rsidR="00BD5461" w:rsidRPr="00294696" w:rsidRDefault="00BD5461" w:rsidP="00847801">
            <w:pPr>
              <w:pStyle w:val="TabletextLeft"/>
            </w:pPr>
            <w:r>
              <w:t>Business licence – natural persons</w:t>
            </w:r>
          </w:p>
        </w:tc>
        <w:tc>
          <w:tcPr>
            <w:tcW w:w="2076" w:type="pct"/>
          </w:tcPr>
          <w:p w14:paraId="5C140E43" w14:textId="3D5CD214" w:rsidR="00BD5461" w:rsidRPr="00334E3C" w:rsidRDefault="00BD5461" w:rsidP="00847801">
            <w:pPr>
              <w:pStyle w:val="TabletextLeft"/>
              <w:jc w:val="center"/>
            </w:pPr>
            <w:r>
              <w:t>4.84</w:t>
            </w:r>
          </w:p>
        </w:tc>
        <w:tc>
          <w:tcPr>
            <w:tcW w:w="2076" w:type="pct"/>
          </w:tcPr>
          <w:p w14:paraId="08740C17" w14:textId="77777777" w:rsidR="00BD5461" w:rsidRPr="00334E3C" w:rsidRDefault="00BD5461" w:rsidP="00847801">
            <w:pPr>
              <w:pStyle w:val="TabletextLeft"/>
              <w:jc w:val="center"/>
            </w:pPr>
            <w:r>
              <w:t>0%</w:t>
            </w:r>
          </w:p>
        </w:tc>
      </w:tr>
      <w:tr w:rsidR="00BD5461" w:rsidRPr="00294696" w14:paraId="58B3DA8F" w14:textId="77777777" w:rsidTr="00BD5461">
        <w:tc>
          <w:tcPr>
            <w:tcW w:w="847" w:type="pct"/>
          </w:tcPr>
          <w:p w14:paraId="298FA107" w14:textId="77777777" w:rsidR="00BD5461" w:rsidRDefault="00BD5461" w:rsidP="00847801">
            <w:pPr>
              <w:pStyle w:val="TabletextLeft"/>
            </w:pPr>
            <w:r>
              <w:lastRenderedPageBreak/>
              <w:t>Business licence – body corporates</w:t>
            </w:r>
          </w:p>
        </w:tc>
        <w:tc>
          <w:tcPr>
            <w:tcW w:w="2076" w:type="pct"/>
          </w:tcPr>
          <w:p w14:paraId="491CA1B7" w14:textId="4DEA80E6" w:rsidR="00BD5461" w:rsidRPr="00334E3C" w:rsidRDefault="001D238E" w:rsidP="00847801">
            <w:pPr>
              <w:pStyle w:val="TabletextLeft"/>
              <w:jc w:val="center"/>
            </w:pPr>
            <w:r>
              <w:t>8.06</w:t>
            </w:r>
          </w:p>
        </w:tc>
        <w:tc>
          <w:tcPr>
            <w:tcW w:w="2076" w:type="pct"/>
          </w:tcPr>
          <w:p w14:paraId="6A74BCCC" w14:textId="77777777" w:rsidR="00BD5461" w:rsidRPr="00334E3C" w:rsidRDefault="00BD5461" w:rsidP="00847801">
            <w:pPr>
              <w:pStyle w:val="TabletextLeft"/>
              <w:jc w:val="center"/>
            </w:pPr>
            <w:r>
              <w:t>0%</w:t>
            </w:r>
          </w:p>
        </w:tc>
      </w:tr>
      <w:tr w:rsidR="00025C71" w:rsidRPr="00294696" w14:paraId="18AA556F" w14:textId="77777777" w:rsidTr="00BD5461">
        <w:tc>
          <w:tcPr>
            <w:tcW w:w="847" w:type="pct"/>
          </w:tcPr>
          <w:p w14:paraId="51C661AE" w14:textId="5049E5BB" w:rsidR="00BD5461" w:rsidRDefault="00BD5461" w:rsidP="00847801">
            <w:pPr>
              <w:pStyle w:val="TabletextLeft"/>
            </w:pPr>
            <w:r>
              <w:t>Individual operat</w:t>
            </w:r>
            <w:r w:rsidR="001311EE">
              <w:t>or</w:t>
            </w:r>
            <w:r>
              <w:t xml:space="preserve"> licence</w:t>
            </w:r>
          </w:p>
        </w:tc>
        <w:tc>
          <w:tcPr>
            <w:tcW w:w="2076" w:type="pct"/>
          </w:tcPr>
          <w:p w14:paraId="429E4493" w14:textId="1D9D2712" w:rsidR="00BD5461" w:rsidRDefault="001D238E" w:rsidP="00847801">
            <w:pPr>
              <w:pStyle w:val="TabletextLeft"/>
              <w:jc w:val="center"/>
            </w:pPr>
            <w:r>
              <w:t>2.20</w:t>
            </w:r>
          </w:p>
        </w:tc>
        <w:tc>
          <w:tcPr>
            <w:tcW w:w="2076" w:type="pct"/>
          </w:tcPr>
          <w:p w14:paraId="4CB9989D" w14:textId="2C853B92" w:rsidR="00BD5461" w:rsidRDefault="001D238E" w:rsidP="00847801">
            <w:pPr>
              <w:pStyle w:val="TabletextLeft"/>
              <w:jc w:val="center"/>
            </w:pPr>
            <w:r>
              <w:t>0%</w:t>
            </w:r>
          </w:p>
        </w:tc>
      </w:tr>
      <w:tr w:rsidR="00EA15BB" w:rsidRPr="00294696" w14:paraId="11E43691" w14:textId="77777777" w:rsidTr="00BD5461">
        <w:tc>
          <w:tcPr>
            <w:tcW w:w="847" w:type="pct"/>
          </w:tcPr>
          <w:p w14:paraId="20F2B951" w14:textId="563B3536" w:rsidR="00EA15BB" w:rsidRDefault="00EA15BB" w:rsidP="00847801">
            <w:pPr>
              <w:pStyle w:val="TabletextLeft"/>
            </w:pPr>
            <w:r>
              <w:t>Vary/revoke a licence condition</w:t>
            </w:r>
          </w:p>
        </w:tc>
        <w:tc>
          <w:tcPr>
            <w:tcW w:w="2076" w:type="pct"/>
          </w:tcPr>
          <w:p w14:paraId="1ABC250B" w14:textId="7A80744A" w:rsidR="00EA15BB" w:rsidRDefault="00EA15BB" w:rsidP="00847801">
            <w:pPr>
              <w:pStyle w:val="TabletextLeft"/>
              <w:jc w:val="center"/>
            </w:pPr>
            <w:r>
              <w:t>2.25</w:t>
            </w:r>
          </w:p>
        </w:tc>
        <w:tc>
          <w:tcPr>
            <w:tcW w:w="2076" w:type="pct"/>
          </w:tcPr>
          <w:p w14:paraId="3EE5D334" w14:textId="569A05FD" w:rsidR="00EA15BB" w:rsidRDefault="00EA15BB" w:rsidP="00847801">
            <w:pPr>
              <w:pStyle w:val="TabletextLeft"/>
              <w:jc w:val="center"/>
            </w:pPr>
            <w:r>
              <w:t>0%</w:t>
            </w:r>
          </w:p>
        </w:tc>
      </w:tr>
    </w:tbl>
    <w:p w14:paraId="753C4BF7" w14:textId="77777777" w:rsidR="006D0DF8" w:rsidRDefault="006D0DF8" w:rsidP="006D0DF8">
      <w:pPr>
        <w:rPr>
          <w:lang w:eastAsia="en-AU"/>
        </w:rPr>
      </w:pPr>
    </w:p>
    <w:p w14:paraId="5BFDF7AC" w14:textId="7FD4B06F" w:rsidR="001311EE" w:rsidRDefault="001311EE" w:rsidP="001311EE">
      <w:pPr>
        <w:pStyle w:val="Caption"/>
        <w:rPr>
          <w:lang w:eastAsia="en-AU"/>
        </w:rPr>
      </w:pPr>
      <w:r>
        <w:t xml:space="preserve">Table A </w:t>
      </w:r>
      <w:r>
        <w:fldChar w:fldCharType="begin"/>
      </w:r>
      <w:r>
        <w:instrText xml:space="preserve"> SEQ Table_A \* ARABIC </w:instrText>
      </w:r>
      <w:r>
        <w:fldChar w:fldCharType="separate"/>
      </w:r>
      <w:r w:rsidR="009D133E">
        <w:rPr>
          <w:noProof/>
        </w:rPr>
        <w:t>13</w:t>
      </w:r>
      <w:r>
        <w:fldChar w:fldCharType="end"/>
      </w:r>
      <w:r w:rsidRPr="00697CFC">
        <w:t xml:space="preserve"> </w:t>
      </w:r>
      <w:r>
        <w:rPr>
          <w:lang w:eastAsia="en-AU"/>
        </w:rPr>
        <w:t xml:space="preserve">Breakdown of proposed fee structure for temporary permits </w:t>
      </w:r>
    </w:p>
    <w:tbl>
      <w:tblPr>
        <w:tblStyle w:val="Deloittetable"/>
        <w:tblW w:w="5000" w:type="pct"/>
        <w:tblLook w:val="04A0" w:firstRow="1" w:lastRow="0" w:firstColumn="1" w:lastColumn="0" w:noHBand="0" w:noVBand="1"/>
      </w:tblPr>
      <w:tblGrid>
        <w:gridCol w:w="1927"/>
        <w:gridCol w:w="1927"/>
        <w:gridCol w:w="1928"/>
        <w:gridCol w:w="1928"/>
        <w:gridCol w:w="1928"/>
      </w:tblGrid>
      <w:tr w:rsidR="00025C71" w:rsidRPr="00294696" w14:paraId="0AABF085" w14:textId="77777777" w:rsidTr="00BB34C0">
        <w:trPr>
          <w:cnfStyle w:val="100000000000" w:firstRow="1" w:lastRow="0" w:firstColumn="0" w:lastColumn="0" w:oddVBand="0" w:evenVBand="0" w:oddHBand="0" w:evenHBand="0" w:firstRowFirstColumn="0" w:firstRowLastColumn="0" w:lastRowFirstColumn="0" w:lastRowLastColumn="0"/>
          <w:tblHeader/>
        </w:trPr>
        <w:tc>
          <w:tcPr>
            <w:tcW w:w="1000" w:type="pct"/>
          </w:tcPr>
          <w:p w14:paraId="391368BC" w14:textId="77777777" w:rsidR="00BB34C0" w:rsidRPr="002F3D61" w:rsidRDefault="00BB34C0" w:rsidP="00847801">
            <w:pPr>
              <w:pStyle w:val="TabletextLeft"/>
              <w:ind w:left="0"/>
              <w:rPr>
                <w:b/>
                <w:bCs/>
              </w:rPr>
            </w:pPr>
            <w:r w:rsidRPr="002F3D61">
              <w:rPr>
                <w:b/>
                <w:bCs/>
              </w:rPr>
              <w:t>Category</w:t>
            </w:r>
          </w:p>
        </w:tc>
        <w:tc>
          <w:tcPr>
            <w:tcW w:w="1000" w:type="pct"/>
            <w:vAlign w:val="center"/>
          </w:tcPr>
          <w:p w14:paraId="38A5D9AD" w14:textId="2C76AB5A" w:rsidR="00BB34C0" w:rsidRDefault="00BB34C0" w:rsidP="00BB34C0">
            <w:pPr>
              <w:pStyle w:val="TabletextLeft"/>
              <w:jc w:val="center"/>
              <w:rPr>
                <w:b/>
                <w:bCs/>
              </w:rPr>
            </w:pPr>
            <w:r>
              <w:rPr>
                <w:b/>
                <w:bCs/>
              </w:rPr>
              <w:t>Application  fee units</w:t>
            </w:r>
          </w:p>
        </w:tc>
        <w:tc>
          <w:tcPr>
            <w:tcW w:w="1000" w:type="pct"/>
            <w:vAlign w:val="center"/>
          </w:tcPr>
          <w:p w14:paraId="1F9D6DCD" w14:textId="4C8D2E3E" w:rsidR="00BB34C0" w:rsidRDefault="00BB34C0" w:rsidP="00BB34C0">
            <w:pPr>
              <w:pStyle w:val="TabletextLeft"/>
              <w:jc w:val="center"/>
              <w:rPr>
                <w:b/>
                <w:bCs/>
              </w:rPr>
            </w:pPr>
            <w:r>
              <w:rPr>
                <w:b/>
                <w:bCs/>
              </w:rPr>
              <w:t>Percentage change in fee units from current fees</w:t>
            </w:r>
          </w:p>
        </w:tc>
        <w:tc>
          <w:tcPr>
            <w:tcW w:w="1000" w:type="pct"/>
            <w:vAlign w:val="center"/>
          </w:tcPr>
          <w:p w14:paraId="5016D62D" w14:textId="330340B8" w:rsidR="00BB34C0" w:rsidRDefault="00BB34C0" w:rsidP="00BB34C0">
            <w:pPr>
              <w:pStyle w:val="TabletextLeft"/>
              <w:jc w:val="center"/>
              <w:rPr>
                <w:b/>
                <w:bCs/>
              </w:rPr>
            </w:pPr>
            <w:r>
              <w:rPr>
                <w:b/>
                <w:bCs/>
              </w:rPr>
              <w:t>Permit fee units</w:t>
            </w:r>
          </w:p>
        </w:tc>
        <w:tc>
          <w:tcPr>
            <w:tcW w:w="1000" w:type="pct"/>
            <w:vAlign w:val="center"/>
          </w:tcPr>
          <w:p w14:paraId="4D9C9278" w14:textId="6A9E25A3" w:rsidR="00BB34C0" w:rsidRDefault="00BB34C0" w:rsidP="00BB34C0">
            <w:pPr>
              <w:pStyle w:val="TabletextLeft"/>
              <w:jc w:val="center"/>
              <w:rPr>
                <w:b/>
                <w:bCs/>
              </w:rPr>
            </w:pPr>
            <w:r>
              <w:rPr>
                <w:b/>
                <w:bCs/>
              </w:rPr>
              <w:t>Percentage change in fee units from current fees</w:t>
            </w:r>
          </w:p>
        </w:tc>
      </w:tr>
      <w:tr w:rsidR="00025C71" w:rsidRPr="00294696" w14:paraId="617418FA" w14:textId="77777777" w:rsidTr="00BB34C0">
        <w:tc>
          <w:tcPr>
            <w:tcW w:w="1000" w:type="pct"/>
          </w:tcPr>
          <w:p w14:paraId="0136D984" w14:textId="515CA77E" w:rsidR="00BB34C0" w:rsidRPr="00294696" w:rsidRDefault="00BB34C0" w:rsidP="00847801">
            <w:pPr>
              <w:pStyle w:val="TabletextLeft"/>
            </w:pPr>
            <w:r w:rsidRPr="00661585">
              <w:t>Temporary interstate visitor permit to carry out activity</w:t>
            </w:r>
          </w:p>
        </w:tc>
        <w:tc>
          <w:tcPr>
            <w:tcW w:w="1000" w:type="pct"/>
          </w:tcPr>
          <w:p w14:paraId="30433D19" w14:textId="7305921B" w:rsidR="00BB34C0" w:rsidRPr="00334E3C" w:rsidRDefault="00BB34C0" w:rsidP="00847801">
            <w:pPr>
              <w:pStyle w:val="TabletextLeft"/>
              <w:jc w:val="center"/>
            </w:pPr>
            <w:r>
              <w:t>4.40</w:t>
            </w:r>
          </w:p>
        </w:tc>
        <w:tc>
          <w:tcPr>
            <w:tcW w:w="1000" w:type="pct"/>
          </w:tcPr>
          <w:p w14:paraId="5C97B1D6" w14:textId="5AF4A71F" w:rsidR="00BB34C0" w:rsidRDefault="00BB34C0" w:rsidP="00847801">
            <w:pPr>
              <w:pStyle w:val="TabletextLeft"/>
              <w:jc w:val="center"/>
            </w:pPr>
            <w:r>
              <w:t>0%</w:t>
            </w:r>
          </w:p>
        </w:tc>
        <w:tc>
          <w:tcPr>
            <w:tcW w:w="1000" w:type="pct"/>
          </w:tcPr>
          <w:p w14:paraId="68406676" w14:textId="34E684B7" w:rsidR="00BB34C0" w:rsidRDefault="00FD3034" w:rsidP="00847801">
            <w:pPr>
              <w:pStyle w:val="TabletextLeft"/>
              <w:jc w:val="center"/>
            </w:pPr>
            <w:r>
              <w:t>4.15</w:t>
            </w:r>
          </w:p>
        </w:tc>
        <w:tc>
          <w:tcPr>
            <w:tcW w:w="1000" w:type="pct"/>
          </w:tcPr>
          <w:p w14:paraId="1E8BBF01" w14:textId="2FC9B563" w:rsidR="00BB34C0" w:rsidRPr="00334E3C" w:rsidRDefault="00BB34C0" w:rsidP="00847801">
            <w:pPr>
              <w:pStyle w:val="TabletextLeft"/>
              <w:jc w:val="center"/>
            </w:pPr>
            <w:r>
              <w:t>0%</w:t>
            </w:r>
          </w:p>
        </w:tc>
      </w:tr>
      <w:tr w:rsidR="00025C71" w:rsidRPr="00294696" w14:paraId="0CFCFDBF" w14:textId="77777777" w:rsidTr="00BB34C0">
        <w:tc>
          <w:tcPr>
            <w:tcW w:w="1000" w:type="pct"/>
          </w:tcPr>
          <w:p w14:paraId="7FCE2594" w14:textId="1C90042F" w:rsidR="00BB34C0" w:rsidRDefault="00BB34C0" w:rsidP="00847801">
            <w:pPr>
              <w:pStyle w:val="TabletextLeft"/>
            </w:pPr>
            <w:r w:rsidRPr="00703960">
              <w:t>Temporary interstate visitor permit to carry on business of providing services</w:t>
            </w:r>
          </w:p>
        </w:tc>
        <w:tc>
          <w:tcPr>
            <w:tcW w:w="1000" w:type="pct"/>
          </w:tcPr>
          <w:p w14:paraId="2284AB8F" w14:textId="37FF7519" w:rsidR="00BB34C0" w:rsidRPr="00334E3C" w:rsidRDefault="00FD3034" w:rsidP="00847801">
            <w:pPr>
              <w:pStyle w:val="TabletextLeft"/>
              <w:jc w:val="center"/>
            </w:pPr>
            <w:r>
              <w:t>4.40</w:t>
            </w:r>
          </w:p>
        </w:tc>
        <w:tc>
          <w:tcPr>
            <w:tcW w:w="1000" w:type="pct"/>
          </w:tcPr>
          <w:p w14:paraId="682675B3" w14:textId="68B7722E" w:rsidR="00BB34C0" w:rsidRDefault="00BB34C0" w:rsidP="00847801">
            <w:pPr>
              <w:pStyle w:val="TabletextLeft"/>
              <w:jc w:val="center"/>
            </w:pPr>
            <w:r>
              <w:t>0%</w:t>
            </w:r>
          </w:p>
        </w:tc>
        <w:tc>
          <w:tcPr>
            <w:tcW w:w="1000" w:type="pct"/>
          </w:tcPr>
          <w:p w14:paraId="685F2FF5" w14:textId="60402D2A" w:rsidR="00BB34C0" w:rsidRDefault="00FD3034" w:rsidP="00847801">
            <w:pPr>
              <w:pStyle w:val="TabletextLeft"/>
              <w:jc w:val="center"/>
            </w:pPr>
            <w:r>
              <w:t>4.15</w:t>
            </w:r>
          </w:p>
        </w:tc>
        <w:tc>
          <w:tcPr>
            <w:tcW w:w="1000" w:type="pct"/>
          </w:tcPr>
          <w:p w14:paraId="56B64C1D" w14:textId="123723A5" w:rsidR="00BB34C0" w:rsidRPr="00334E3C" w:rsidRDefault="00BB34C0" w:rsidP="00847801">
            <w:pPr>
              <w:pStyle w:val="TabletextLeft"/>
              <w:jc w:val="center"/>
            </w:pPr>
            <w:r>
              <w:t>0%</w:t>
            </w:r>
          </w:p>
        </w:tc>
      </w:tr>
      <w:tr w:rsidR="00025C71" w:rsidRPr="00294696" w14:paraId="1DD6F1E5" w14:textId="77777777" w:rsidTr="00BB34C0">
        <w:tc>
          <w:tcPr>
            <w:tcW w:w="1000" w:type="pct"/>
          </w:tcPr>
          <w:p w14:paraId="5DB92266" w14:textId="01CCAAC1" w:rsidR="00BB34C0" w:rsidRDefault="00BB34C0" w:rsidP="00847801">
            <w:pPr>
              <w:pStyle w:val="TabletextLeft"/>
            </w:pPr>
            <w:r w:rsidRPr="007A30C2">
              <w:t>Temporary overseas bodyguard visitor permit</w:t>
            </w:r>
          </w:p>
        </w:tc>
        <w:tc>
          <w:tcPr>
            <w:tcW w:w="1000" w:type="pct"/>
          </w:tcPr>
          <w:p w14:paraId="2269855D" w14:textId="43C23008" w:rsidR="00BB34C0" w:rsidRDefault="00FD3034" w:rsidP="00847801">
            <w:pPr>
              <w:pStyle w:val="TabletextLeft"/>
              <w:jc w:val="center"/>
            </w:pPr>
            <w:r>
              <w:t>8.80</w:t>
            </w:r>
          </w:p>
        </w:tc>
        <w:tc>
          <w:tcPr>
            <w:tcW w:w="1000" w:type="pct"/>
          </w:tcPr>
          <w:p w14:paraId="757DE1F7" w14:textId="6E4BD329" w:rsidR="00BB34C0" w:rsidRDefault="00BB34C0" w:rsidP="00847801">
            <w:pPr>
              <w:pStyle w:val="TabletextLeft"/>
              <w:jc w:val="center"/>
            </w:pPr>
            <w:r>
              <w:t>0%</w:t>
            </w:r>
          </w:p>
        </w:tc>
        <w:tc>
          <w:tcPr>
            <w:tcW w:w="1000" w:type="pct"/>
          </w:tcPr>
          <w:p w14:paraId="6868880E" w14:textId="2A369D96" w:rsidR="00BB34C0" w:rsidRDefault="00FD3034" w:rsidP="00847801">
            <w:pPr>
              <w:pStyle w:val="TabletextLeft"/>
              <w:jc w:val="center"/>
            </w:pPr>
            <w:r>
              <w:t>8.30</w:t>
            </w:r>
          </w:p>
        </w:tc>
        <w:tc>
          <w:tcPr>
            <w:tcW w:w="1000" w:type="pct"/>
          </w:tcPr>
          <w:p w14:paraId="452E0040" w14:textId="57CCD732" w:rsidR="00BB34C0" w:rsidRDefault="00BB34C0" w:rsidP="00847801">
            <w:pPr>
              <w:pStyle w:val="TabletextLeft"/>
              <w:jc w:val="center"/>
            </w:pPr>
            <w:r>
              <w:t>0%</w:t>
            </w:r>
          </w:p>
        </w:tc>
      </w:tr>
    </w:tbl>
    <w:p w14:paraId="4AA93025" w14:textId="77777777" w:rsidR="001311EE" w:rsidRDefault="001311EE" w:rsidP="006D0DF8">
      <w:pPr>
        <w:rPr>
          <w:lang w:eastAsia="en-AU"/>
        </w:rPr>
      </w:pPr>
    </w:p>
    <w:p w14:paraId="4FEED6A1" w14:textId="44DC0BEF" w:rsidR="00311252" w:rsidRDefault="00311252" w:rsidP="00311252">
      <w:pPr>
        <w:pStyle w:val="Caption"/>
        <w:rPr>
          <w:lang w:eastAsia="en-AU"/>
        </w:rPr>
      </w:pPr>
      <w:r>
        <w:t xml:space="preserve">Table A </w:t>
      </w:r>
      <w:r>
        <w:fldChar w:fldCharType="begin"/>
      </w:r>
      <w:r>
        <w:instrText xml:space="preserve"> SEQ Table_A \* ARABIC </w:instrText>
      </w:r>
      <w:r>
        <w:fldChar w:fldCharType="separate"/>
      </w:r>
      <w:r w:rsidR="009D133E">
        <w:rPr>
          <w:noProof/>
        </w:rPr>
        <w:t>14</w:t>
      </w:r>
      <w:r>
        <w:fldChar w:fldCharType="end"/>
      </w:r>
      <w:r w:rsidRPr="00697CFC">
        <w:t xml:space="preserve"> </w:t>
      </w:r>
      <w:r>
        <w:rPr>
          <w:lang w:eastAsia="en-AU"/>
        </w:rPr>
        <w:t xml:space="preserve">Breakdown of proposed fee structure for issuing a duplicate licence document </w:t>
      </w:r>
    </w:p>
    <w:tbl>
      <w:tblPr>
        <w:tblStyle w:val="Deloittetable"/>
        <w:tblW w:w="5000" w:type="pct"/>
        <w:tblLook w:val="04A0" w:firstRow="1" w:lastRow="0" w:firstColumn="1" w:lastColumn="0" w:noHBand="0" w:noVBand="1"/>
      </w:tblPr>
      <w:tblGrid>
        <w:gridCol w:w="1928"/>
        <w:gridCol w:w="3855"/>
        <w:gridCol w:w="3855"/>
      </w:tblGrid>
      <w:tr w:rsidR="00311252" w:rsidRPr="00294696" w14:paraId="7162AB17" w14:textId="77777777" w:rsidTr="00311252">
        <w:trPr>
          <w:cnfStyle w:val="100000000000" w:firstRow="1" w:lastRow="0" w:firstColumn="0" w:lastColumn="0" w:oddVBand="0" w:evenVBand="0" w:oddHBand="0" w:evenHBand="0" w:firstRowFirstColumn="0" w:firstRowLastColumn="0" w:lastRowFirstColumn="0" w:lastRowLastColumn="0"/>
          <w:tblHeader/>
        </w:trPr>
        <w:tc>
          <w:tcPr>
            <w:tcW w:w="1000" w:type="pct"/>
          </w:tcPr>
          <w:p w14:paraId="18ACAF44" w14:textId="77777777" w:rsidR="00311252" w:rsidRPr="002F3D61" w:rsidRDefault="00311252" w:rsidP="002C0317">
            <w:pPr>
              <w:pStyle w:val="TabletextLeft"/>
              <w:ind w:left="0"/>
              <w:rPr>
                <w:b/>
                <w:bCs/>
              </w:rPr>
            </w:pPr>
            <w:r w:rsidRPr="002F3D61">
              <w:rPr>
                <w:b/>
                <w:bCs/>
              </w:rPr>
              <w:t>Category</w:t>
            </w:r>
          </w:p>
        </w:tc>
        <w:tc>
          <w:tcPr>
            <w:tcW w:w="2000" w:type="pct"/>
            <w:vAlign w:val="center"/>
          </w:tcPr>
          <w:p w14:paraId="33CC6FD6" w14:textId="20934483" w:rsidR="00311252" w:rsidRDefault="00311252" w:rsidP="002C0317">
            <w:pPr>
              <w:pStyle w:val="TabletextLeft"/>
              <w:jc w:val="center"/>
              <w:rPr>
                <w:b/>
                <w:bCs/>
              </w:rPr>
            </w:pPr>
            <w:r>
              <w:rPr>
                <w:b/>
                <w:bCs/>
              </w:rPr>
              <w:t>Fee units</w:t>
            </w:r>
          </w:p>
        </w:tc>
        <w:tc>
          <w:tcPr>
            <w:tcW w:w="2000" w:type="pct"/>
            <w:vAlign w:val="center"/>
          </w:tcPr>
          <w:p w14:paraId="44EB3E0F" w14:textId="77777777" w:rsidR="00311252" w:rsidRDefault="00311252" w:rsidP="002C0317">
            <w:pPr>
              <w:pStyle w:val="TabletextLeft"/>
              <w:jc w:val="center"/>
              <w:rPr>
                <w:b/>
                <w:bCs/>
              </w:rPr>
            </w:pPr>
            <w:r>
              <w:rPr>
                <w:b/>
                <w:bCs/>
              </w:rPr>
              <w:t>Percentage change in fee units from current fees</w:t>
            </w:r>
          </w:p>
        </w:tc>
      </w:tr>
      <w:tr w:rsidR="00311252" w:rsidRPr="00294696" w14:paraId="579AD40B" w14:textId="77777777" w:rsidTr="00311252">
        <w:tc>
          <w:tcPr>
            <w:tcW w:w="1000" w:type="pct"/>
          </w:tcPr>
          <w:p w14:paraId="714A75C2" w14:textId="3E4FCF34" w:rsidR="00311252" w:rsidRPr="00294696" w:rsidRDefault="00311252" w:rsidP="002C0317">
            <w:pPr>
              <w:pStyle w:val="TabletextLeft"/>
            </w:pPr>
            <w:r>
              <w:t>Duplicate licence document</w:t>
            </w:r>
          </w:p>
        </w:tc>
        <w:tc>
          <w:tcPr>
            <w:tcW w:w="2000" w:type="pct"/>
          </w:tcPr>
          <w:p w14:paraId="50947C9A" w14:textId="3641BE6C" w:rsidR="00311252" w:rsidRPr="00334E3C" w:rsidRDefault="00311252" w:rsidP="002C0317">
            <w:pPr>
              <w:pStyle w:val="TabletextLeft"/>
              <w:jc w:val="center"/>
            </w:pPr>
            <w:r>
              <w:t>2.92</w:t>
            </w:r>
          </w:p>
        </w:tc>
        <w:tc>
          <w:tcPr>
            <w:tcW w:w="2000" w:type="pct"/>
          </w:tcPr>
          <w:p w14:paraId="6B7CF3CA" w14:textId="77777777" w:rsidR="00311252" w:rsidRDefault="00311252" w:rsidP="002C0317">
            <w:pPr>
              <w:pStyle w:val="TabletextLeft"/>
              <w:jc w:val="center"/>
            </w:pPr>
            <w:r>
              <w:t>0%</w:t>
            </w:r>
          </w:p>
        </w:tc>
      </w:tr>
    </w:tbl>
    <w:p w14:paraId="2780BCB4" w14:textId="77777777" w:rsidR="00311252" w:rsidRPr="00824835" w:rsidRDefault="00311252" w:rsidP="006D0DF8">
      <w:pPr>
        <w:rPr>
          <w:lang w:eastAsia="en-AU"/>
        </w:rPr>
      </w:pPr>
    </w:p>
    <w:p w14:paraId="1000CEB3" w14:textId="79C79631" w:rsidR="005B00B8" w:rsidRDefault="00BF4216" w:rsidP="0012221C">
      <w:pPr>
        <w:pStyle w:val="Heading1un-numbered"/>
        <w:rPr>
          <w:lang w:eastAsia="en-AU"/>
        </w:rPr>
      </w:pPr>
      <w:bookmarkStart w:id="124" w:name="_Toc189832276"/>
      <w:r w:rsidRPr="00BF4216">
        <w:rPr>
          <w:lang w:eastAsia="en-AU"/>
        </w:rPr>
        <w:lastRenderedPageBreak/>
        <w:t>Limitation of our work</w:t>
      </w:r>
      <w:bookmarkEnd w:id="115"/>
      <w:bookmarkEnd w:id="116"/>
      <w:bookmarkEnd w:id="117"/>
      <w:bookmarkEnd w:id="118"/>
      <w:bookmarkEnd w:id="119"/>
      <w:bookmarkEnd w:id="124"/>
    </w:p>
    <w:p w14:paraId="0A0660A1" w14:textId="77777777" w:rsidR="00BF4216" w:rsidRPr="00F178DD" w:rsidRDefault="00BF4216" w:rsidP="0012221C">
      <w:pPr>
        <w:rPr>
          <w:b/>
          <w:bCs/>
          <w:color w:val="62B5E5"/>
          <w:sz w:val="22"/>
          <w:szCs w:val="22"/>
        </w:rPr>
      </w:pPr>
      <w:bookmarkStart w:id="125" w:name="_Toc463002440"/>
      <w:bookmarkStart w:id="126" w:name="_Toc472586354"/>
      <w:bookmarkStart w:id="127" w:name="_Toc482168132"/>
      <w:bookmarkStart w:id="128" w:name="_Toc482174917"/>
      <w:bookmarkStart w:id="129" w:name="_Toc154039061"/>
      <w:bookmarkStart w:id="130" w:name="_Toc159260054"/>
      <w:bookmarkStart w:id="131" w:name="_Toc161321119"/>
      <w:bookmarkStart w:id="132" w:name="_Toc165561617"/>
      <w:r w:rsidRPr="00F178DD">
        <w:rPr>
          <w:b/>
          <w:bCs/>
          <w:color w:val="62B5E5"/>
          <w:sz w:val="22"/>
          <w:szCs w:val="22"/>
        </w:rPr>
        <w:t>General use restriction</w:t>
      </w:r>
      <w:bookmarkEnd w:id="125"/>
      <w:bookmarkEnd w:id="126"/>
      <w:bookmarkEnd w:id="127"/>
      <w:bookmarkEnd w:id="128"/>
      <w:bookmarkEnd w:id="129"/>
      <w:bookmarkEnd w:id="130"/>
      <w:bookmarkEnd w:id="131"/>
      <w:bookmarkEnd w:id="132"/>
    </w:p>
    <w:p w14:paraId="31B5AB6C" w14:textId="0C371C69" w:rsidR="00DF06E9" w:rsidRDefault="007615B3" w:rsidP="0012221C">
      <w:r>
        <w:t xml:space="preserve">This report is prepared solely for the internal use of </w:t>
      </w:r>
      <w:r w:rsidR="008A4AB2">
        <w:t xml:space="preserve">the Victorian Department of </w:t>
      </w:r>
      <w:r w:rsidR="007A6DC0">
        <w:t>J</w:t>
      </w:r>
      <w:r w:rsidR="002E5B5D">
        <w:t>ustice and Community Safety.</w:t>
      </w:r>
      <w:r>
        <w:t xml:space="preserve"> This report is not intended to and should not be used or relied upon by anyone else and we accept no duty of care to any other person or entity. The report has been prepared for the purpose </w:t>
      </w:r>
      <w:r w:rsidR="008A4AB2">
        <w:t>of preparing a Regulatory Impact Statement to assess the impacts of proposed amendments</w:t>
      </w:r>
      <w:r w:rsidR="00F5477A">
        <w:t xml:space="preserve"> to the minimum standards of the </w:t>
      </w:r>
      <w:r w:rsidR="0083071A">
        <w:t xml:space="preserve">Private Security Regulations 2016. </w:t>
      </w:r>
      <w:r>
        <w:t>You should not refer to or use our name or the advice for any other purpose.</w:t>
      </w:r>
    </w:p>
    <w:p w14:paraId="217E2B26" w14:textId="0513E77A" w:rsidR="00983929" w:rsidRPr="009232DC" w:rsidRDefault="00AF5414" w:rsidP="00983929">
      <w:pPr>
        <w:pageBreakBefore/>
      </w:pPr>
      <w:r w:rsidRPr="00246357">
        <w:rPr>
          <w:noProof/>
          <w:lang w:eastAsia="en-AU"/>
        </w:rPr>
        <w:lastRenderedPageBreak/>
        <w:drawing>
          <wp:anchor distT="0" distB="0" distL="114300" distR="114300" simplePos="0" relativeHeight="251658245" behindDoc="0" locked="0" layoutInCell="1" allowOverlap="1" wp14:anchorId="7A0B00BA" wp14:editId="12C12718">
            <wp:simplePos x="0" y="0"/>
            <wp:positionH relativeFrom="margin">
              <wp:posOffset>76200</wp:posOffset>
            </wp:positionH>
            <wp:positionV relativeFrom="paragraph">
              <wp:posOffset>-622935</wp:posOffset>
            </wp:positionV>
            <wp:extent cx="186944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69440" cy="571500"/>
                    </a:xfrm>
                    <a:prstGeom prst="rect">
                      <a:avLst/>
                    </a:prstGeom>
                  </pic:spPr>
                </pic:pic>
              </a:graphicData>
            </a:graphic>
            <wp14:sizeRelH relativeFrom="page">
              <wp14:pctWidth>0</wp14:pctWidth>
            </wp14:sizeRelH>
            <wp14:sizeRelV relativeFrom="page">
              <wp14:pctHeight>0</wp14:pctHeight>
            </wp14:sizeRelV>
          </wp:anchor>
        </w:drawing>
      </w:r>
    </w:p>
    <w:p w14:paraId="004A0D47" w14:textId="77777777" w:rsidR="00D01239" w:rsidRPr="000F05E4" w:rsidRDefault="00D01239" w:rsidP="00983929"/>
    <w:p w14:paraId="33EC004F" w14:textId="77777777" w:rsidR="00BF6F8B" w:rsidRPr="000F05E4" w:rsidRDefault="00680CEC" w:rsidP="009B139F">
      <w:r w:rsidRPr="000F05E4">
        <w:rPr>
          <w:noProof/>
          <w:lang w:eastAsia="en-AU"/>
        </w:rPr>
        <mc:AlternateContent>
          <mc:Choice Requires="wps">
            <w:drawing>
              <wp:anchor distT="0" distB="0" distL="114300" distR="114300" simplePos="0" relativeHeight="251658241" behindDoc="1" locked="1" layoutInCell="1" allowOverlap="1" wp14:anchorId="43A5787C" wp14:editId="60A4043A">
                <wp:simplePos x="0" y="0"/>
                <wp:positionH relativeFrom="page">
                  <wp:posOffset>0</wp:posOffset>
                </wp:positionH>
                <wp:positionV relativeFrom="page">
                  <wp:posOffset>0</wp:posOffset>
                </wp:positionV>
                <wp:extent cx="7563600" cy="10695600"/>
                <wp:effectExtent l="0" t="0" r="0" b="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gray">
                        <a:xfrm>
                          <a:off x="0" y="0"/>
                          <a:ext cx="7563600" cy="10695600"/>
                        </a:xfrm>
                        <a:prstGeom prst="rect">
                          <a:avLst/>
                        </a:prstGeom>
                        <a:solidFill>
                          <a:srgbClr val="FFFFFF"/>
                        </a:solidFill>
                        <a:ln w="19050" algn="ctr">
                          <a:noFill/>
                          <a:miter lim="800000"/>
                          <a:headEnd/>
                          <a:tailEnd/>
                        </a:ln>
                      </wps:spPr>
                      <wps:txbx>
                        <w:txbxContent>
                          <w:tbl>
                            <w:tblPr>
                              <w:tblStyle w:val="TableGrid"/>
                              <w:tblW w:w="9064" w:type="dxa"/>
                              <w:tblInd w:w="635" w:type="dxa"/>
                              <w:tblLook w:val="04A0" w:firstRow="1" w:lastRow="0" w:firstColumn="1" w:lastColumn="0" w:noHBand="0" w:noVBand="1"/>
                            </w:tblPr>
                            <w:tblGrid>
                              <w:gridCol w:w="9064"/>
                            </w:tblGrid>
                            <w:tr w:rsidR="00AF5414" w:rsidRPr="00DB2D17" w14:paraId="148135BF" w14:textId="77777777" w:rsidTr="00AF5414">
                              <w:trPr>
                                <w:cnfStyle w:val="100000000000" w:firstRow="1" w:lastRow="0" w:firstColumn="0" w:lastColumn="0" w:oddVBand="0" w:evenVBand="0" w:oddHBand="0" w:evenHBand="0" w:firstRowFirstColumn="0" w:firstRowLastColumn="0" w:lastRowFirstColumn="0" w:lastRowLastColumn="0"/>
                                <w:trHeight w:val="4765"/>
                              </w:trPr>
                              <w:tc>
                                <w:tcPr>
                                  <w:tcW w:w="9064" w:type="dxa"/>
                                  <w:vAlign w:val="bottom"/>
                                </w:tcPr>
                                <w:p w14:paraId="71FFE1CA" w14:textId="77777777" w:rsidR="00AF5414" w:rsidRPr="00DB2D17" w:rsidRDefault="00AF5414" w:rsidP="00AF5414">
                                  <w:pPr>
                                    <w:pStyle w:val="Legaltext"/>
                                  </w:pPr>
                                </w:p>
                                <w:p w14:paraId="0085F2EE" w14:textId="77777777" w:rsidR="00AF5414" w:rsidRPr="00DB2D17" w:rsidRDefault="00AF5414" w:rsidP="00AF5414">
                                  <w:pPr>
                                    <w:pStyle w:val="Legaltext"/>
                                  </w:pPr>
                                </w:p>
                                <w:p w14:paraId="2DC54158" w14:textId="77777777" w:rsidR="00AF5414" w:rsidRPr="00DB2D17" w:rsidRDefault="00AF5414" w:rsidP="00AF5414">
                                  <w:pPr>
                                    <w:pStyle w:val="Legaltext"/>
                                  </w:pPr>
                                </w:p>
                                <w:p w14:paraId="03689F3F" w14:textId="77777777" w:rsidR="00AF5414" w:rsidRPr="00DB2D17" w:rsidRDefault="00AF5414" w:rsidP="00AF5414">
                                  <w:pPr>
                                    <w:pStyle w:val="Legaltext"/>
                                  </w:pPr>
                                </w:p>
                                <w:p w14:paraId="5FB1DD6F" w14:textId="77777777" w:rsidR="00AF5414" w:rsidRDefault="00AF5414" w:rsidP="00AF5414">
                                  <w:pPr>
                                    <w:pStyle w:val="Legaltext"/>
                                  </w:pPr>
                                  <w:bookmarkStart w:id="133" w:name="OFF_OfficialName_1"/>
                                </w:p>
                                <w:p w14:paraId="4588CD98" w14:textId="77777777" w:rsidR="00AF5414" w:rsidRDefault="00AF5414" w:rsidP="00AF5414">
                                  <w:pPr>
                                    <w:pStyle w:val="Legaltext"/>
                                  </w:pPr>
                                </w:p>
                                <w:p w14:paraId="2C440F58" w14:textId="77777777" w:rsidR="00AF5414" w:rsidRDefault="00AF5414" w:rsidP="00AF5414">
                                  <w:pPr>
                                    <w:pStyle w:val="Legaltext"/>
                                  </w:pPr>
                                </w:p>
                                <w:p w14:paraId="4A0D759D" w14:textId="77777777" w:rsidR="00AF5414" w:rsidRDefault="00AF5414" w:rsidP="00AF5414">
                                  <w:pPr>
                                    <w:pStyle w:val="Legaltext"/>
                                  </w:pPr>
                                </w:p>
                                <w:p w14:paraId="0165EF4A" w14:textId="77777777" w:rsidR="00AF5414" w:rsidRDefault="00AF5414" w:rsidP="00AF5414">
                                  <w:pPr>
                                    <w:pStyle w:val="Legaltext"/>
                                  </w:pPr>
                                </w:p>
                                <w:p w14:paraId="3E99A8E6" w14:textId="77777777" w:rsidR="00AF5414" w:rsidRDefault="00AF5414" w:rsidP="00AF5414">
                                  <w:pPr>
                                    <w:pStyle w:val="Legaltext"/>
                                  </w:pPr>
                                </w:p>
                                <w:p w14:paraId="27F1502E" w14:textId="77777777" w:rsidR="00AF5414" w:rsidRDefault="00AF5414" w:rsidP="00AF5414">
                                  <w:pPr>
                                    <w:pStyle w:val="Legaltext"/>
                                  </w:pPr>
                                </w:p>
                                <w:p w14:paraId="6F9DC4BB" w14:textId="77777777" w:rsidR="00AF5414" w:rsidRDefault="00AF5414" w:rsidP="00AF5414">
                                  <w:pPr>
                                    <w:pStyle w:val="Legaltext"/>
                                  </w:pPr>
                                </w:p>
                                <w:p w14:paraId="129139D7" w14:textId="77777777" w:rsidR="00AF5414" w:rsidRDefault="00AF5414" w:rsidP="00AF5414">
                                  <w:pPr>
                                    <w:pStyle w:val="Legaltext"/>
                                  </w:pPr>
                                </w:p>
                                <w:p w14:paraId="6864A2FA" w14:textId="77777777" w:rsidR="00AF5414" w:rsidRDefault="00AF5414" w:rsidP="00AF5414">
                                  <w:pPr>
                                    <w:pStyle w:val="Legaltext"/>
                                  </w:pPr>
                                </w:p>
                                <w:p w14:paraId="77CD41A9" w14:textId="77777777" w:rsidR="00AF5414" w:rsidRDefault="00AF5414" w:rsidP="00AF5414">
                                  <w:pPr>
                                    <w:pStyle w:val="Legaltext"/>
                                  </w:pPr>
                                </w:p>
                                <w:p w14:paraId="185CDF5E" w14:textId="77777777" w:rsidR="00AF5414" w:rsidRDefault="00AF5414" w:rsidP="00AF5414">
                                  <w:pPr>
                                    <w:pStyle w:val="Legaltext"/>
                                  </w:pPr>
                                </w:p>
                                <w:p w14:paraId="3DF1CD13" w14:textId="77777777" w:rsidR="00AF5414" w:rsidRDefault="00AF5414" w:rsidP="00AF5414">
                                  <w:pPr>
                                    <w:pStyle w:val="Legaltext"/>
                                  </w:pPr>
                                </w:p>
                                <w:p w14:paraId="00552706" w14:textId="77777777" w:rsidR="00AF5414" w:rsidRDefault="00AF5414" w:rsidP="00AF5414">
                                  <w:pPr>
                                    <w:pStyle w:val="Legaltext"/>
                                  </w:pPr>
                                </w:p>
                                <w:p w14:paraId="5DC6D1D7" w14:textId="77777777" w:rsidR="00AF5414" w:rsidRDefault="00AF5414" w:rsidP="00AF5414">
                                  <w:pPr>
                                    <w:pStyle w:val="Legaltext"/>
                                  </w:pPr>
                                </w:p>
                                <w:p w14:paraId="2F6D1BF2" w14:textId="77777777" w:rsidR="00AF5414" w:rsidRDefault="00AF5414" w:rsidP="00AF5414">
                                  <w:pPr>
                                    <w:pStyle w:val="Legaltext"/>
                                  </w:pPr>
                                </w:p>
                                <w:p w14:paraId="07D5D7ED" w14:textId="77777777" w:rsidR="00AF5414" w:rsidRDefault="00AF5414" w:rsidP="00AF5414">
                                  <w:pPr>
                                    <w:pStyle w:val="Legaltext"/>
                                  </w:pPr>
                                </w:p>
                                <w:p w14:paraId="31C95DBD" w14:textId="77777777" w:rsidR="00AF5414" w:rsidRDefault="00AF5414" w:rsidP="00AF5414">
                                  <w:pPr>
                                    <w:pStyle w:val="Legaltext"/>
                                  </w:pPr>
                                </w:p>
                                <w:p w14:paraId="151DEFCF" w14:textId="77777777" w:rsidR="00AF5414" w:rsidRDefault="00AF5414" w:rsidP="00AF5414">
                                  <w:pPr>
                                    <w:pStyle w:val="Legaltext"/>
                                  </w:pPr>
                                </w:p>
                                <w:p w14:paraId="38858B00" w14:textId="77777777" w:rsidR="00AF5414" w:rsidRDefault="00AF5414" w:rsidP="00AF5414">
                                  <w:pPr>
                                    <w:pStyle w:val="Legaltext"/>
                                  </w:pPr>
                                </w:p>
                                <w:p w14:paraId="76325EAE" w14:textId="77777777" w:rsidR="00AF5414" w:rsidRDefault="00AF5414" w:rsidP="00AF5414">
                                  <w:pPr>
                                    <w:pStyle w:val="Legaltext"/>
                                  </w:pPr>
                                </w:p>
                                <w:p w14:paraId="056737B2" w14:textId="77777777" w:rsidR="00AF5414" w:rsidRDefault="00AF5414" w:rsidP="00AF5414">
                                  <w:pPr>
                                    <w:pStyle w:val="Legaltext"/>
                                  </w:pPr>
                                </w:p>
                                <w:p w14:paraId="63D04C27" w14:textId="77777777" w:rsidR="00AF5414" w:rsidRDefault="00AF5414" w:rsidP="00AF5414">
                                  <w:pPr>
                                    <w:pStyle w:val="Legaltext"/>
                                  </w:pPr>
                                </w:p>
                                <w:p w14:paraId="49065F9D" w14:textId="77777777" w:rsidR="00AF5414" w:rsidRDefault="00AF5414" w:rsidP="00AF5414">
                                  <w:pPr>
                                    <w:pStyle w:val="Legaltext"/>
                                  </w:pPr>
                                </w:p>
                                <w:p w14:paraId="148EF603" w14:textId="77777777" w:rsidR="00AF5414" w:rsidRDefault="00AF5414" w:rsidP="00AF5414">
                                  <w:pPr>
                                    <w:pStyle w:val="Legaltext"/>
                                  </w:pPr>
                                </w:p>
                                <w:p w14:paraId="4B807AC0" w14:textId="77777777" w:rsidR="00AF5414" w:rsidRDefault="00AF5414" w:rsidP="00AF5414">
                                  <w:pPr>
                                    <w:pStyle w:val="Legaltext"/>
                                  </w:pPr>
                                </w:p>
                                <w:p w14:paraId="1AF1F14B" w14:textId="77777777" w:rsidR="00AF5414" w:rsidRDefault="00AF5414" w:rsidP="00AF5414">
                                  <w:pPr>
                                    <w:pStyle w:val="Legaltext"/>
                                  </w:pPr>
                                </w:p>
                                <w:p w14:paraId="4EC2800B" w14:textId="77777777" w:rsidR="00AF5414" w:rsidRDefault="00AF5414" w:rsidP="00AF5414">
                                  <w:pPr>
                                    <w:pStyle w:val="Legaltext"/>
                                  </w:pPr>
                                </w:p>
                                <w:bookmarkEnd w:id="133"/>
                                <w:p w14:paraId="5CE5E668" w14:textId="77777777" w:rsidR="00ED7CF1" w:rsidRDefault="00ED7CF1" w:rsidP="00AF5414">
                                  <w:pPr>
                                    <w:pStyle w:val="Legaltext"/>
                                  </w:pPr>
                                </w:p>
                                <w:p w14:paraId="25645FB5" w14:textId="77777777" w:rsidR="00ED7CF1" w:rsidRDefault="00ED7CF1" w:rsidP="00AF5414">
                                  <w:pPr>
                                    <w:pStyle w:val="Legaltext"/>
                                  </w:pPr>
                                </w:p>
                                <w:p w14:paraId="1CB798BF" w14:textId="77777777" w:rsidR="00ED7CF1" w:rsidRDefault="00ED7CF1" w:rsidP="00AF5414">
                                  <w:pPr>
                                    <w:pStyle w:val="Legaltext"/>
                                  </w:pPr>
                                </w:p>
                                <w:p w14:paraId="294489C5" w14:textId="77777777" w:rsidR="00ED7CF1" w:rsidRDefault="00ED7CF1" w:rsidP="00AF5414">
                                  <w:pPr>
                                    <w:pStyle w:val="Legaltext"/>
                                  </w:pPr>
                                </w:p>
                                <w:p w14:paraId="2A902E77" w14:textId="77777777" w:rsidR="00ED7CF1" w:rsidRDefault="00ED7CF1" w:rsidP="00AF5414">
                                  <w:pPr>
                                    <w:pStyle w:val="Legaltext"/>
                                  </w:pPr>
                                </w:p>
                                <w:p w14:paraId="42362A68" w14:textId="77777777" w:rsidR="00ED7CF1" w:rsidRDefault="00ED7CF1" w:rsidP="00AF5414">
                                  <w:pPr>
                                    <w:pStyle w:val="Legaltext"/>
                                  </w:pPr>
                                </w:p>
                                <w:p w14:paraId="0CE56217" w14:textId="77777777" w:rsidR="00ED7CF1" w:rsidRDefault="00ED7CF1" w:rsidP="00AF5414">
                                  <w:pPr>
                                    <w:pStyle w:val="Legaltext"/>
                                  </w:pPr>
                                </w:p>
                                <w:p w14:paraId="5914F55C" w14:textId="77777777" w:rsidR="00ED7CF1" w:rsidRDefault="00ED7CF1" w:rsidP="00AF5414">
                                  <w:pPr>
                                    <w:pStyle w:val="Legaltext"/>
                                  </w:pPr>
                                </w:p>
                                <w:p w14:paraId="4A81B307" w14:textId="77777777" w:rsidR="00ED7CF1" w:rsidRDefault="00ED7CF1" w:rsidP="00AF5414">
                                  <w:pPr>
                                    <w:pStyle w:val="Legaltext"/>
                                  </w:pPr>
                                </w:p>
                                <w:p w14:paraId="0C72CD14" w14:textId="77777777" w:rsidR="00ED7CF1" w:rsidRDefault="00ED7CF1" w:rsidP="00AF5414">
                                  <w:pPr>
                                    <w:pStyle w:val="Legaltext"/>
                                  </w:pPr>
                                </w:p>
                                <w:p w14:paraId="6D79B6F9" w14:textId="77777777" w:rsidR="00ED7CF1" w:rsidRDefault="00ED7CF1" w:rsidP="00AF5414">
                                  <w:pPr>
                                    <w:pStyle w:val="Legaltext"/>
                                  </w:pPr>
                                </w:p>
                                <w:p w14:paraId="7A88CD4B" w14:textId="77777777" w:rsidR="00ED7CF1" w:rsidRDefault="00ED7CF1" w:rsidP="00AF5414">
                                  <w:pPr>
                                    <w:pStyle w:val="Legaltext"/>
                                  </w:pPr>
                                </w:p>
                                <w:p w14:paraId="33D6E8C8" w14:textId="77777777" w:rsidR="00ED7CF1" w:rsidRDefault="00ED7CF1" w:rsidP="00AF5414">
                                  <w:pPr>
                                    <w:pStyle w:val="Legaltext"/>
                                  </w:pPr>
                                </w:p>
                                <w:p w14:paraId="0214289A" w14:textId="77777777" w:rsidR="00ED7CF1" w:rsidRDefault="00ED7CF1" w:rsidP="00AF5414">
                                  <w:pPr>
                                    <w:pStyle w:val="Legaltext"/>
                                  </w:pPr>
                                </w:p>
                                <w:p w14:paraId="69168532" w14:textId="77777777" w:rsidR="00AF5414" w:rsidRPr="0078098D" w:rsidRDefault="00AF5414" w:rsidP="00AF5414">
                                  <w:pPr>
                                    <w:pStyle w:val="Legaltext"/>
                                  </w:pPr>
                                </w:p>
                                <w:p w14:paraId="2000C182" w14:textId="77777777" w:rsidR="00AF5414" w:rsidRDefault="00AF5414" w:rsidP="00AF5414">
                                  <w:pPr>
                                    <w:pStyle w:val="Legaltext"/>
                                  </w:pPr>
                                </w:p>
                                <w:p w14:paraId="580C52BF" w14:textId="77777777" w:rsidR="00AF5414" w:rsidRDefault="00AF5414" w:rsidP="00AF5414">
                                  <w:pPr>
                                    <w:pStyle w:val="Legaltext"/>
                                  </w:pPr>
                                  <w:r>
                                    <w:t xml:space="preserve">Deloitte Access Economics is Australia’s pre-eminent economics advisory practice and a member of Deloitte's global economics group. For more information, please visit our website: </w:t>
                                  </w:r>
                                  <w:hyperlink r:id="rId31" w:history="1">
                                    <w:r>
                                      <w:rPr>
                                        <w:rStyle w:val="Hyperlink"/>
                                      </w:rPr>
                                      <w:t>www.deloitte.com/au/deloitte-access-economics</w:t>
                                    </w:r>
                                  </w:hyperlink>
                                  <w:r>
                                    <w:t xml:space="preserve"> </w:t>
                                  </w:r>
                                </w:p>
                                <w:p w14:paraId="6BCF3DE7" w14:textId="77777777" w:rsidR="001E6747" w:rsidRDefault="001E6747" w:rsidP="00AF5414">
                                  <w:pPr>
                                    <w:pStyle w:val="Legaltext"/>
                                  </w:pPr>
                                </w:p>
                                <w:p w14:paraId="0886C2EE" w14:textId="77777777" w:rsidR="001E6747" w:rsidRDefault="00EC2635" w:rsidP="00AF5414">
                                  <w:pPr>
                                    <w:pStyle w:val="Legaltext"/>
                                  </w:pPr>
                                  <w:sdt>
                                    <w:sdtPr>
                                      <w:alias w:val="{{Form.Disclaimer.Disclaimer}}"/>
                                      <w:tag w:val="{&quot;templafy&quot;:{&quot;id&quot;:&quot;c328ffd7-89e2-453b-884a-6fde2b3afc34&quot;}}"/>
                                      <w:id w:val="1605384110"/>
                                    </w:sdtPr>
                                    <w:sdtEndPr/>
                                    <w:sdtContent>
                                      <w:r w:rsidR="0014798B">
                                        <w:t>Deloitte refers to one or more of Deloitte Touche Tohmatsu Limited (“DTTL”), its global network of member firms, and their related entities (collectively, the “Deloitte organisation”).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each other. DTTL does not provide services to clients. Please see www.deloitte.com/about to learn more.</w:t>
                                      </w:r>
                                      <w:r w:rsidR="0014798B">
                                        <w:br/>
                                      </w:r>
                                      <w:r w:rsidR="0014798B">
                                        <w:br/>
                                        <w:t>Deloitte is a leading global provider of audit and assurance, consulting, financial advisory, risk advisory, tax and related services. Our global network of member firms and related entities in more than 150 countries and territories (collectively, the “Deloitte organisation” serves four out of five Fortune Global 500® companies. Learn how Deloitte’s approximately 415,000 people make an impact that matters at www.deloitte.com.</w:t>
                                      </w:r>
                                      <w:r w:rsidR="0014798B">
                                        <w:br/>
                                      </w:r>
                                      <w:r w:rsidR="0014798B">
                                        <w:br/>
                                        <w:t xml:space="preserve">Deloitte Asia Pacific </w:t>
                                      </w:r>
                                      <w:r w:rsidR="0014798B">
                                        <w:br/>
                                        <w:t>Deloitte Asia Pacific Limited is a company limited by guarantee and a member firm of DTTL. Members of Deloitte Asia Pacific Limited and their related entities, each of which are separate and independent legal entities, provide services from more than 100 cities across the region, including Auckland, Bangkok, Beijing, Hanoi, Hong Kong, Jakarta, Kuala Lumpur, Manila, Melbourne, Mumbai, New Delhi, Osaka, Seoul, Shanghai, Singapore, Sydney, Taipei and Tokyo.</w:t>
                                      </w:r>
                                      <w:r w:rsidR="0014798B">
                                        <w:br/>
                                      </w:r>
                                      <w:r w:rsidR="0014798B">
                                        <w:br/>
                                        <w:t>Deloitte Australia</w:t>
                                      </w:r>
                                      <w:r w:rsidR="0014798B">
                                        <w:br/>
                                        <w:t>The Australian partnership of Deloitte Touche Tohmatsu is a member of Deloitte Asia Pacific Limited and the Deloitte organisation. As one of Australia’s leading professional services firms, Deloitte Touche Tohmatsu and its affiliates provide audit, tax, consulting, risk advisory, and financial advisory services through approximately 14,000 people across the country. Focused on the creation of value and growth, and known as an employer of choice for innovative human resources programs, we are dedicated to helping our clients and our people excel. For more information, please visit our web site at https://www2.deloitte.com/au/en.html.</w:t>
                                      </w:r>
                                      <w:r w:rsidR="0014798B">
                                        <w:br/>
                                      </w:r>
                                      <w:r w:rsidR="0014798B">
                                        <w:br/>
                                        <w:t>Liability limited by a scheme approved under Professional Standards Legislation.</w:t>
                                      </w:r>
                                      <w:r w:rsidR="0014798B">
                                        <w:br/>
                                        <w:t xml:space="preserve">Member of Deloitte Asia Pacific Limited and the Deloitte organisation. </w:t>
                                      </w:r>
                                      <w:r w:rsidR="0014798B">
                                        <w:br/>
                                      </w:r>
                                      <w:r w:rsidR="0014798B">
                                        <w:br/>
                                        <w:t>This communication contains general information only, and none of Deloitte Touche Tohmatsu Limited (“DTTL”), its global network of member firms or their related entities (collectively, the “Deloitte organisation”) is, by means of this communication, rendering professional advice or services. Before making any decision or taking any action that may affect your finances or your business, you should consult a qualified professional adviser. No representations, warranties or undertakings (express or implied) are given as to the accuracy or completeness of the information in this communication, and none of DTTL, its member firms, related entities, employees or agents shall be liable or responsible for any loss or damage whatsoever arising directly or indirectly in connection with any person relying on this communication.</w:t>
                                      </w:r>
                                    </w:sdtContent>
                                  </w:sdt>
                                </w:p>
                                <w:p w14:paraId="34F0C940" w14:textId="445E1470" w:rsidR="00AF5414" w:rsidRDefault="00AF5414" w:rsidP="00AF5414">
                                  <w:pPr>
                                    <w:pStyle w:val="Legaltext"/>
                                  </w:pPr>
                                </w:p>
                                <w:p w14:paraId="14657D36" w14:textId="77777777" w:rsidR="00AF5414" w:rsidRPr="00417D85" w:rsidRDefault="00AF5414" w:rsidP="00AF5414">
                                  <w:pPr>
                                    <w:pStyle w:val="Legaltext"/>
                                    <w:spacing w:line="0" w:lineRule="atLeast"/>
                                    <w:rPr>
                                      <w:sz w:val="2"/>
                                      <w:szCs w:val="2"/>
                                    </w:rPr>
                                  </w:pPr>
                                </w:p>
                              </w:tc>
                            </w:tr>
                          </w:tbl>
                          <w:p w14:paraId="3BF78B8C" w14:textId="77777777" w:rsidR="005D494E" w:rsidRDefault="005D494E" w:rsidP="005D494E">
                            <w:pPr>
                              <w:jc w:val="center"/>
                            </w:pPr>
                          </w:p>
                        </w:txbxContent>
                      </wps:txbx>
                      <wps:bodyPr rot="0" spcFirstLastPara="0" vertOverflow="overflow" horzOverflow="overflow" vert="horz" wrap="square" lIns="88900" tIns="88900" rIns="88900" bIns="889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5787C" id="Rectangle 3" o:spid="_x0000_s1028" style="position:absolute;margin-left:0;margin-top:0;width:595.55pt;height:842.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" stroked="f" strokeweight="1.5pt">
                <o:lock v:ext="edit" aspectratio="t"/>
                <v:textbox inset="7pt,7pt,7pt,7pt">
                  <w:txbxContent>
                    <w:tbl>
                      <w:tblPr>
                        <w:tblStyle w:val="TableGrid"/>
                        <w:tblW w:w="9064" w:type="dxa"/>
                        <w:tblInd w:w="635" w:type="dxa"/>
                        <w:tblLook w:val="04A0" w:firstRow="1" w:lastRow="0" w:firstColumn="1" w:lastColumn="0" w:noHBand="0" w:noVBand="1"/>
                      </w:tblPr>
                      <w:tblGrid>
                        <w:gridCol w:w="9064"/>
                      </w:tblGrid>
                      <w:tr w:rsidR="00AF5414" w:rsidRPr="00DB2D17" w14:paraId="148135BF" w14:textId="77777777" w:rsidTr="00AF5414">
                        <w:trPr>
                          <w:cnfStyle w:val="100000000000" w:firstRow="1" w:lastRow="0" w:firstColumn="0" w:lastColumn="0" w:oddVBand="0" w:evenVBand="0" w:oddHBand="0" w:evenHBand="0" w:firstRowFirstColumn="0" w:firstRowLastColumn="0" w:lastRowFirstColumn="0" w:lastRowLastColumn="0"/>
                          <w:trHeight w:val="4765"/>
                        </w:trPr>
                        <w:tc>
                          <w:tcPr>
                            <w:tcW w:w="9064" w:type="dxa"/>
                            <w:vAlign w:val="bottom"/>
                          </w:tcPr>
                          <w:p w14:paraId="71FFE1CA" w14:textId="77777777" w:rsidR="00AF5414" w:rsidRPr="00DB2D17" w:rsidRDefault="00AF5414" w:rsidP="00AF5414">
                            <w:pPr>
                              <w:pStyle w:val="Legaltext"/>
                            </w:pPr>
                          </w:p>
                          <w:p w14:paraId="0085F2EE" w14:textId="77777777" w:rsidR="00AF5414" w:rsidRPr="00DB2D17" w:rsidRDefault="00AF5414" w:rsidP="00AF5414">
                            <w:pPr>
                              <w:pStyle w:val="Legaltext"/>
                            </w:pPr>
                          </w:p>
                          <w:p w14:paraId="2DC54158" w14:textId="77777777" w:rsidR="00AF5414" w:rsidRPr="00DB2D17" w:rsidRDefault="00AF5414" w:rsidP="00AF5414">
                            <w:pPr>
                              <w:pStyle w:val="Legaltext"/>
                            </w:pPr>
                          </w:p>
                          <w:p w14:paraId="03689F3F" w14:textId="77777777" w:rsidR="00AF5414" w:rsidRPr="00DB2D17" w:rsidRDefault="00AF5414" w:rsidP="00AF5414">
                            <w:pPr>
                              <w:pStyle w:val="Legaltext"/>
                            </w:pPr>
                          </w:p>
                          <w:p w14:paraId="5FB1DD6F" w14:textId="77777777" w:rsidR="00AF5414" w:rsidRDefault="00AF5414" w:rsidP="00AF5414">
                            <w:pPr>
                              <w:pStyle w:val="Legaltext"/>
                            </w:pPr>
                            <w:bookmarkStart w:id="134" w:name="OFF_OfficialName_1"/>
                          </w:p>
                          <w:p w14:paraId="4588CD98" w14:textId="77777777" w:rsidR="00AF5414" w:rsidRDefault="00AF5414" w:rsidP="00AF5414">
                            <w:pPr>
                              <w:pStyle w:val="Legaltext"/>
                            </w:pPr>
                          </w:p>
                          <w:p w14:paraId="2C440F58" w14:textId="77777777" w:rsidR="00AF5414" w:rsidRDefault="00AF5414" w:rsidP="00AF5414">
                            <w:pPr>
                              <w:pStyle w:val="Legaltext"/>
                            </w:pPr>
                          </w:p>
                          <w:p w14:paraId="4A0D759D" w14:textId="77777777" w:rsidR="00AF5414" w:rsidRDefault="00AF5414" w:rsidP="00AF5414">
                            <w:pPr>
                              <w:pStyle w:val="Legaltext"/>
                            </w:pPr>
                          </w:p>
                          <w:p w14:paraId="0165EF4A" w14:textId="77777777" w:rsidR="00AF5414" w:rsidRDefault="00AF5414" w:rsidP="00AF5414">
                            <w:pPr>
                              <w:pStyle w:val="Legaltext"/>
                            </w:pPr>
                          </w:p>
                          <w:p w14:paraId="3E99A8E6" w14:textId="77777777" w:rsidR="00AF5414" w:rsidRDefault="00AF5414" w:rsidP="00AF5414">
                            <w:pPr>
                              <w:pStyle w:val="Legaltext"/>
                            </w:pPr>
                          </w:p>
                          <w:p w14:paraId="27F1502E" w14:textId="77777777" w:rsidR="00AF5414" w:rsidRDefault="00AF5414" w:rsidP="00AF5414">
                            <w:pPr>
                              <w:pStyle w:val="Legaltext"/>
                            </w:pPr>
                          </w:p>
                          <w:p w14:paraId="6F9DC4BB" w14:textId="77777777" w:rsidR="00AF5414" w:rsidRDefault="00AF5414" w:rsidP="00AF5414">
                            <w:pPr>
                              <w:pStyle w:val="Legaltext"/>
                            </w:pPr>
                          </w:p>
                          <w:p w14:paraId="129139D7" w14:textId="77777777" w:rsidR="00AF5414" w:rsidRDefault="00AF5414" w:rsidP="00AF5414">
                            <w:pPr>
                              <w:pStyle w:val="Legaltext"/>
                            </w:pPr>
                          </w:p>
                          <w:p w14:paraId="6864A2FA" w14:textId="77777777" w:rsidR="00AF5414" w:rsidRDefault="00AF5414" w:rsidP="00AF5414">
                            <w:pPr>
                              <w:pStyle w:val="Legaltext"/>
                            </w:pPr>
                          </w:p>
                          <w:p w14:paraId="77CD41A9" w14:textId="77777777" w:rsidR="00AF5414" w:rsidRDefault="00AF5414" w:rsidP="00AF5414">
                            <w:pPr>
                              <w:pStyle w:val="Legaltext"/>
                            </w:pPr>
                          </w:p>
                          <w:p w14:paraId="185CDF5E" w14:textId="77777777" w:rsidR="00AF5414" w:rsidRDefault="00AF5414" w:rsidP="00AF5414">
                            <w:pPr>
                              <w:pStyle w:val="Legaltext"/>
                            </w:pPr>
                          </w:p>
                          <w:p w14:paraId="3DF1CD13" w14:textId="77777777" w:rsidR="00AF5414" w:rsidRDefault="00AF5414" w:rsidP="00AF5414">
                            <w:pPr>
                              <w:pStyle w:val="Legaltext"/>
                            </w:pPr>
                          </w:p>
                          <w:p w14:paraId="00552706" w14:textId="77777777" w:rsidR="00AF5414" w:rsidRDefault="00AF5414" w:rsidP="00AF5414">
                            <w:pPr>
                              <w:pStyle w:val="Legaltext"/>
                            </w:pPr>
                          </w:p>
                          <w:p w14:paraId="5DC6D1D7" w14:textId="77777777" w:rsidR="00AF5414" w:rsidRDefault="00AF5414" w:rsidP="00AF5414">
                            <w:pPr>
                              <w:pStyle w:val="Legaltext"/>
                            </w:pPr>
                          </w:p>
                          <w:p w14:paraId="2F6D1BF2" w14:textId="77777777" w:rsidR="00AF5414" w:rsidRDefault="00AF5414" w:rsidP="00AF5414">
                            <w:pPr>
                              <w:pStyle w:val="Legaltext"/>
                            </w:pPr>
                          </w:p>
                          <w:p w14:paraId="07D5D7ED" w14:textId="77777777" w:rsidR="00AF5414" w:rsidRDefault="00AF5414" w:rsidP="00AF5414">
                            <w:pPr>
                              <w:pStyle w:val="Legaltext"/>
                            </w:pPr>
                          </w:p>
                          <w:p w14:paraId="31C95DBD" w14:textId="77777777" w:rsidR="00AF5414" w:rsidRDefault="00AF5414" w:rsidP="00AF5414">
                            <w:pPr>
                              <w:pStyle w:val="Legaltext"/>
                            </w:pPr>
                          </w:p>
                          <w:p w14:paraId="151DEFCF" w14:textId="77777777" w:rsidR="00AF5414" w:rsidRDefault="00AF5414" w:rsidP="00AF5414">
                            <w:pPr>
                              <w:pStyle w:val="Legaltext"/>
                            </w:pPr>
                          </w:p>
                          <w:p w14:paraId="38858B00" w14:textId="77777777" w:rsidR="00AF5414" w:rsidRDefault="00AF5414" w:rsidP="00AF5414">
                            <w:pPr>
                              <w:pStyle w:val="Legaltext"/>
                            </w:pPr>
                          </w:p>
                          <w:p w14:paraId="76325EAE" w14:textId="77777777" w:rsidR="00AF5414" w:rsidRDefault="00AF5414" w:rsidP="00AF5414">
                            <w:pPr>
                              <w:pStyle w:val="Legaltext"/>
                            </w:pPr>
                          </w:p>
                          <w:p w14:paraId="056737B2" w14:textId="77777777" w:rsidR="00AF5414" w:rsidRDefault="00AF5414" w:rsidP="00AF5414">
                            <w:pPr>
                              <w:pStyle w:val="Legaltext"/>
                            </w:pPr>
                          </w:p>
                          <w:p w14:paraId="63D04C27" w14:textId="77777777" w:rsidR="00AF5414" w:rsidRDefault="00AF5414" w:rsidP="00AF5414">
                            <w:pPr>
                              <w:pStyle w:val="Legaltext"/>
                            </w:pPr>
                          </w:p>
                          <w:p w14:paraId="49065F9D" w14:textId="77777777" w:rsidR="00AF5414" w:rsidRDefault="00AF5414" w:rsidP="00AF5414">
                            <w:pPr>
                              <w:pStyle w:val="Legaltext"/>
                            </w:pPr>
                          </w:p>
                          <w:p w14:paraId="148EF603" w14:textId="77777777" w:rsidR="00AF5414" w:rsidRDefault="00AF5414" w:rsidP="00AF5414">
                            <w:pPr>
                              <w:pStyle w:val="Legaltext"/>
                            </w:pPr>
                          </w:p>
                          <w:p w14:paraId="4B807AC0" w14:textId="77777777" w:rsidR="00AF5414" w:rsidRDefault="00AF5414" w:rsidP="00AF5414">
                            <w:pPr>
                              <w:pStyle w:val="Legaltext"/>
                            </w:pPr>
                          </w:p>
                          <w:p w14:paraId="1AF1F14B" w14:textId="77777777" w:rsidR="00AF5414" w:rsidRDefault="00AF5414" w:rsidP="00AF5414">
                            <w:pPr>
                              <w:pStyle w:val="Legaltext"/>
                            </w:pPr>
                          </w:p>
                          <w:p w14:paraId="4EC2800B" w14:textId="77777777" w:rsidR="00AF5414" w:rsidRDefault="00AF5414" w:rsidP="00AF5414">
                            <w:pPr>
                              <w:pStyle w:val="Legaltext"/>
                            </w:pPr>
                          </w:p>
                          <w:bookmarkEnd w:id="134"/>
                          <w:p w14:paraId="5CE5E668" w14:textId="77777777" w:rsidR="00ED7CF1" w:rsidRDefault="00ED7CF1" w:rsidP="00AF5414">
                            <w:pPr>
                              <w:pStyle w:val="Legaltext"/>
                            </w:pPr>
                          </w:p>
                          <w:p w14:paraId="25645FB5" w14:textId="77777777" w:rsidR="00ED7CF1" w:rsidRDefault="00ED7CF1" w:rsidP="00AF5414">
                            <w:pPr>
                              <w:pStyle w:val="Legaltext"/>
                            </w:pPr>
                          </w:p>
                          <w:p w14:paraId="1CB798BF" w14:textId="77777777" w:rsidR="00ED7CF1" w:rsidRDefault="00ED7CF1" w:rsidP="00AF5414">
                            <w:pPr>
                              <w:pStyle w:val="Legaltext"/>
                            </w:pPr>
                          </w:p>
                          <w:p w14:paraId="294489C5" w14:textId="77777777" w:rsidR="00ED7CF1" w:rsidRDefault="00ED7CF1" w:rsidP="00AF5414">
                            <w:pPr>
                              <w:pStyle w:val="Legaltext"/>
                            </w:pPr>
                          </w:p>
                          <w:p w14:paraId="2A902E77" w14:textId="77777777" w:rsidR="00ED7CF1" w:rsidRDefault="00ED7CF1" w:rsidP="00AF5414">
                            <w:pPr>
                              <w:pStyle w:val="Legaltext"/>
                            </w:pPr>
                          </w:p>
                          <w:p w14:paraId="42362A68" w14:textId="77777777" w:rsidR="00ED7CF1" w:rsidRDefault="00ED7CF1" w:rsidP="00AF5414">
                            <w:pPr>
                              <w:pStyle w:val="Legaltext"/>
                            </w:pPr>
                          </w:p>
                          <w:p w14:paraId="0CE56217" w14:textId="77777777" w:rsidR="00ED7CF1" w:rsidRDefault="00ED7CF1" w:rsidP="00AF5414">
                            <w:pPr>
                              <w:pStyle w:val="Legaltext"/>
                            </w:pPr>
                          </w:p>
                          <w:p w14:paraId="5914F55C" w14:textId="77777777" w:rsidR="00ED7CF1" w:rsidRDefault="00ED7CF1" w:rsidP="00AF5414">
                            <w:pPr>
                              <w:pStyle w:val="Legaltext"/>
                            </w:pPr>
                          </w:p>
                          <w:p w14:paraId="4A81B307" w14:textId="77777777" w:rsidR="00ED7CF1" w:rsidRDefault="00ED7CF1" w:rsidP="00AF5414">
                            <w:pPr>
                              <w:pStyle w:val="Legaltext"/>
                            </w:pPr>
                          </w:p>
                          <w:p w14:paraId="0C72CD14" w14:textId="77777777" w:rsidR="00ED7CF1" w:rsidRDefault="00ED7CF1" w:rsidP="00AF5414">
                            <w:pPr>
                              <w:pStyle w:val="Legaltext"/>
                            </w:pPr>
                          </w:p>
                          <w:p w14:paraId="6D79B6F9" w14:textId="77777777" w:rsidR="00ED7CF1" w:rsidRDefault="00ED7CF1" w:rsidP="00AF5414">
                            <w:pPr>
                              <w:pStyle w:val="Legaltext"/>
                            </w:pPr>
                          </w:p>
                          <w:p w14:paraId="7A88CD4B" w14:textId="77777777" w:rsidR="00ED7CF1" w:rsidRDefault="00ED7CF1" w:rsidP="00AF5414">
                            <w:pPr>
                              <w:pStyle w:val="Legaltext"/>
                            </w:pPr>
                          </w:p>
                          <w:p w14:paraId="33D6E8C8" w14:textId="77777777" w:rsidR="00ED7CF1" w:rsidRDefault="00ED7CF1" w:rsidP="00AF5414">
                            <w:pPr>
                              <w:pStyle w:val="Legaltext"/>
                            </w:pPr>
                          </w:p>
                          <w:p w14:paraId="0214289A" w14:textId="77777777" w:rsidR="00ED7CF1" w:rsidRDefault="00ED7CF1" w:rsidP="00AF5414">
                            <w:pPr>
                              <w:pStyle w:val="Legaltext"/>
                            </w:pPr>
                          </w:p>
                          <w:p w14:paraId="69168532" w14:textId="77777777" w:rsidR="00AF5414" w:rsidRPr="0078098D" w:rsidRDefault="00AF5414" w:rsidP="00AF5414">
                            <w:pPr>
                              <w:pStyle w:val="Legaltext"/>
                            </w:pPr>
                          </w:p>
                          <w:p w14:paraId="2000C182" w14:textId="77777777" w:rsidR="00AF5414" w:rsidRDefault="00AF5414" w:rsidP="00AF5414">
                            <w:pPr>
                              <w:pStyle w:val="Legaltext"/>
                            </w:pPr>
                          </w:p>
                          <w:p w14:paraId="580C52BF" w14:textId="77777777" w:rsidR="00AF5414" w:rsidRDefault="00AF5414" w:rsidP="00AF5414">
                            <w:pPr>
                              <w:pStyle w:val="Legaltext"/>
                            </w:pPr>
                            <w:r>
                              <w:t xml:space="preserve">Deloitte Access Economics is Australia’s pre-eminent economics advisory practice and a member of Deloitte's global economics group. For more information, please visit our website: </w:t>
                            </w:r>
                            <w:hyperlink r:id="rId32" w:history="1">
                              <w:r>
                                <w:rPr>
                                  <w:rStyle w:val="Hyperlink"/>
                                </w:rPr>
                                <w:t>www.deloitte.com/au/deloitte-access-economics</w:t>
                              </w:r>
                            </w:hyperlink>
                            <w:r>
                              <w:t xml:space="preserve"> </w:t>
                            </w:r>
                          </w:p>
                          <w:p w14:paraId="6BCF3DE7" w14:textId="77777777" w:rsidR="001E6747" w:rsidRDefault="001E6747" w:rsidP="00AF5414">
                            <w:pPr>
                              <w:pStyle w:val="Legaltext"/>
                            </w:pPr>
                          </w:p>
                          <w:p w14:paraId="0886C2EE" w14:textId="77777777" w:rsidR="001E6747" w:rsidRDefault="00EC2635" w:rsidP="00AF5414">
                            <w:pPr>
                              <w:pStyle w:val="Legaltext"/>
                            </w:pPr>
                            <w:sdt>
                              <w:sdtPr>
                                <w:alias w:val="{{Form.Disclaimer.Disclaimer}}"/>
                                <w:tag w:val="{&quot;templafy&quot;:{&quot;id&quot;:&quot;c328ffd7-89e2-453b-884a-6fde2b3afc34&quot;}}"/>
                                <w:id w:val="1605384110"/>
                              </w:sdtPr>
                              <w:sdtEndPr/>
                              <w:sdtContent>
                                <w:r w:rsidR="0014798B">
                                  <w:t>Deloitte refers to one or more of Deloitte Touche Tohmatsu Limited (“DTTL”), its global network of member firms, and their related entities (collectively, the “Deloitte organisation”).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each other. DTTL does not provide services to clients. Please see www.deloitte.com/about to learn more.</w:t>
                                </w:r>
                                <w:r w:rsidR="0014798B">
                                  <w:br/>
                                </w:r>
                                <w:r w:rsidR="0014798B">
                                  <w:br/>
                                  <w:t>Deloitte is a leading global provider of audit and assurance, consulting, financial advisory, risk advisory, tax and related services. Our global network of member firms and related entities in more than 150 countries and territories (collectively, the “Deloitte organisation” serves four out of five Fortune Global 500® companies. Learn how Deloitte’s approximately 415,000 people make an impact that matters at www.deloitte.com.</w:t>
                                </w:r>
                                <w:r w:rsidR="0014798B">
                                  <w:br/>
                                </w:r>
                                <w:r w:rsidR="0014798B">
                                  <w:br/>
                                  <w:t xml:space="preserve">Deloitte Asia Pacific </w:t>
                                </w:r>
                                <w:r w:rsidR="0014798B">
                                  <w:br/>
                                  <w:t>Deloitte Asia Pacific Limited is a company limited by guarantee and a member firm of DTTL. Members of Deloitte Asia Pacific Limited and their related entities, each of which are separate and independent legal entities, provide services from more than 100 cities across the region, including Auckland, Bangkok, Beijing, Hanoi, Hong Kong, Jakarta, Kuala Lumpur, Manila, Melbourne, Mumbai, New Delhi, Osaka, Seoul, Shanghai, Singapore, Sydney, Taipei and Tokyo.</w:t>
                                </w:r>
                                <w:r w:rsidR="0014798B">
                                  <w:br/>
                                </w:r>
                                <w:r w:rsidR="0014798B">
                                  <w:br/>
                                  <w:t>Deloitte Australia</w:t>
                                </w:r>
                                <w:r w:rsidR="0014798B">
                                  <w:br/>
                                  <w:t>The Australian partnership of Deloitte Touche Tohmatsu is a member of Deloitte Asia Pacific Limited and the Deloitte organisation. As one of Australia’s leading professional services firms, Deloitte Touche Tohmatsu and its affiliates provide audit, tax, consulting, risk advisory, and financial advisory services through approximately 14,000 people across the country. Focused on the creation of value and growth, and known as an employer of choice for innovative human resources programs, we are dedicated to helping our clients and our people excel. For more information, please visit our web site at https://www2.deloitte.com/au/en.html.</w:t>
                                </w:r>
                                <w:r w:rsidR="0014798B">
                                  <w:br/>
                                </w:r>
                                <w:r w:rsidR="0014798B">
                                  <w:br/>
                                  <w:t>Liability limited by a scheme approved under Professional Standards Legislation.</w:t>
                                </w:r>
                                <w:r w:rsidR="0014798B">
                                  <w:br/>
                                  <w:t xml:space="preserve">Member of Deloitte Asia Pacific Limited and the Deloitte organisation. </w:t>
                                </w:r>
                                <w:r w:rsidR="0014798B">
                                  <w:br/>
                                </w:r>
                                <w:r w:rsidR="0014798B">
                                  <w:br/>
                                  <w:t>This communication contains general information only, and none of Deloitte Touche Tohmatsu Limited (“DTTL”), its global network of member firms or their related entities (collectively, the “Deloitte organisation”) is, by means of this communication, rendering professional advice or services. Before making any decision or taking any action that may affect your finances or your business, you should consult a qualified professional adviser. No representations, warranties or undertakings (express or implied) are given as to the accuracy or completeness of the information in this communication, and none of DTTL, its member firms, related entities, employees or agents shall be liable or responsible for any loss or damage whatsoever arising directly or indirectly in connection with any person relying on this communication.</w:t>
                                </w:r>
                              </w:sdtContent>
                            </w:sdt>
                          </w:p>
                          <w:p w14:paraId="34F0C940" w14:textId="445E1470" w:rsidR="00AF5414" w:rsidRDefault="00AF5414" w:rsidP="00AF5414">
                            <w:pPr>
                              <w:pStyle w:val="Legaltext"/>
                            </w:pPr>
                          </w:p>
                          <w:p w14:paraId="14657D36" w14:textId="77777777" w:rsidR="00AF5414" w:rsidRPr="00417D85" w:rsidRDefault="00AF5414" w:rsidP="00AF5414">
                            <w:pPr>
                              <w:pStyle w:val="Legaltext"/>
                              <w:spacing w:line="0" w:lineRule="atLeast"/>
                              <w:rPr>
                                <w:sz w:val="2"/>
                                <w:szCs w:val="2"/>
                              </w:rPr>
                            </w:pPr>
                          </w:p>
                        </w:tc>
                      </w:tr>
                    </w:tbl>
                    <w:p w14:paraId="3BF78B8C" w14:textId="77777777" w:rsidR="005D494E" w:rsidRDefault="005D494E" w:rsidP="005D494E">
                      <w:pPr>
                        <w:jc w:val="center"/>
                      </w:pPr>
                    </w:p>
                  </w:txbxContent>
                </v:textbox>
                <w10:wrap anchorx="page" anchory="page"/>
                <w10:anchorlock/>
              </v:rect>
            </w:pict>
          </mc:Fallback>
        </mc:AlternateContent>
      </w:r>
    </w:p>
    <w:p w14:paraId="7FD4B448" w14:textId="77777777" w:rsidR="007629C6" w:rsidRPr="000F05E4" w:rsidRDefault="007629C6" w:rsidP="009B139F"/>
    <w:sectPr w:rsidR="007629C6" w:rsidRPr="000F05E4" w:rsidSect="00C8573F">
      <w:pgSz w:w="11906" w:h="16838" w:code="9"/>
      <w:pgMar w:top="1440" w:right="1134" w:bottom="1440" w:left="1134" w:header="680" w:footer="425" w:gutter="0"/>
      <w:pgNumType w:start="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4CD1" w14:textId="77777777" w:rsidR="002E5260" w:rsidRDefault="002E5260" w:rsidP="00C702C7">
      <w:pPr>
        <w:spacing w:line="240" w:lineRule="auto"/>
      </w:pPr>
    </w:p>
    <w:p w14:paraId="16A4D6AE" w14:textId="77777777" w:rsidR="002E5260" w:rsidRDefault="002E5260"/>
  </w:endnote>
  <w:endnote w:type="continuationSeparator" w:id="0">
    <w:p w14:paraId="5CA96A01" w14:textId="77777777" w:rsidR="002E5260" w:rsidRDefault="002E5260" w:rsidP="00C702C7">
      <w:pPr>
        <w:spacing w:line="240" w:lineRule="auto"/>
      </w:pPr>
      <w:r>
        <w:continuationSeparator/>
      </w:r>
    </w:p>
    <w:p w14:paraId="6A549AC7" w14:textId="77777777" w:rsidR="002E5260" w:rsidRDefault="002E5260"/>
  </w:endnote>
  <w:endnote w:type="continuationNotice" w:id="1">
    <w:p w14:paraId="2952D7D7" w14:textId="77777777" w:rsidR="002E5260" w:rsidRDefault="002E5260">
      <w:pPr>
        <w:spacing w:after="0" w:line="240" w:lineRule="auto"/>
      </w:pPr>
    </w:p>
    <w:p w14:paraId="6A2F291F" w14:textId="77777777" w:rsidR="002E5260" w:rsidRDefault="002E5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otham Bold">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OpenSans-Bold">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78B9" w14:textId="3537ABEE" w:rsidR="00BC0840" w:rsidRDefault="00BC0840">
    <w:pPr>
      <w:pStyle w:val="Footer"/>
    </w:pPr>
    <w:r>
      <w:rPr>
        <w:noProof/>
      </w:rPr>
      <mc:AlternateContent>
        <mc:Choice Requires="wps">
          <w:drawing>
            <wp:anchor distT="0" distB="0" distL="0" distR="0" simplePos="0" relativeHeight="251643904" behindDoc="0" locked="0" layoutInCell="1" allowOverlap="1" wp14:anchorId="33CBA433" wp14:editId="3977FF76">
              <wp:simplePos x="635" y="635"/>
              <wp:positionH relativeFrom="page">
                <wp:align>left</wp:align>
              </wp:positionH>
              <wp:positionV relativeFrom="page">
                <wp:align>bottom</wp:align>
              </wp:positionV>
              <wp:extent cx="759460" cy="361315"/>
              <wp:effectExtent l="0" t="0" r="2540" b="0"/>
              <wp:wrapNone/>
              <wp:docPr id="8874713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5B079404" w14:textId="4CC65689"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BA433" id="_x0000_t202" coordsize="21600,21600" o:spt="202" path="m,l,21600r21600,l21600,xe">
              <v:stroke joinstyle="miter"/>
              <v:path gradientshapeok="t" o:connecttype="rect"/>
            </v:shapetype>
            <v:shape id="Text Box 2" o:spid="_x0000_s1029" type="#_x0000_t202" alt="OFFICIAL" style="position:absolute;margin-left:0;margin-top:0;width:59.8pt;height:28.45pt;z-index:2516439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5B079404" w14:textId="4CC65689"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3544"/>
      <w:gridCol w:w="7002"/>
    </w:tblGrid>
    <w:tr w:rsidR="00137F51" w14:paraId="13C470FC" w14:textId="77777777" w:rsidTr="00137F51">
      <w:trPr>
        <w:cnfStyle w:val="100000000000" w:firstRow="1" w:lastRow="0" w:firstColumn="0" w:lastColumn="0" w:oddVBand="0" w:evenVBand="0" w:oddHBand="0" w:evenHBand="0" w:firstRowFirstColumn="0" w:firstRowLastColumn="0" w:lastRowFirstColumn="0" w:lastRowLastColumn="0"/>
      </w:trPr>
      <w:tc>
        <w:tcPr>
          <w:tcW w:w="3544" w:type="dxa"/>
          <w:vAlign w:val="bottom"/>
        </w:tcPr>
        <w:p w14:paraId="0ACC4BDF" w14:textId="727D3412" w:rsidR="00137F51" w:rsidRDefault="00137F51" w:rsidP="00536AB8">
          <w:pPr>
            <w:pStyle w:val="Footer"/>
          </w:pPr>
        </w:p>
      </w:tc>
      <w:tc>
        <w:tcPr>
          <w:tcW w:w="7002" w:type="dxa"/>
          <w:vAlign w:val="bottom"/>
        </w:tcPr>
        <w:p w14:paraId="5A874DE7" w14:textId="77777777" w:rsidR="00137F51" w:rsidRPr="00904097" w:rsidRDefault="00137F51" w:rsidP="00536AB8">
          <w:pPr>
            <w:pStyle w:val="Footer"/>
            <w:spacing w:line="180" w:lineRule="atLeast"/>
            <w:rPr>
              <w:sz w:val="14"/>
              <w:szCs w:val="14"/>
            </w:rPr>
          </w:pPr>
        </w:p>
      </w:tc>
    </w:tr>
  </w:tbl>
  <w:p w14:paraId="722F33C2" w14:textId="77777777" w:rsidR="00137F51" w:rsidRDefault="00137F51" w:rsidP="00536AB8">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9E3E" w14:textId="1D129840" w:rsidR="00BC0840" w:rsidRDefault="00BC0840">
    <w:pPr>
      <w:pStyle w:val="Footer"/>
    </w:pPr>
    <w:r>
      <w:rPr>
        <w:noProof/>
      </w:rPr>
      <mc:AlternateContent>
        <mc:Choice Requires="wps">
          <w:drawing>
            <wp:anchor distT="0" distB="0" distL="0" distR="0" simplePos="0" relativeHeight="251642880" behindDoc="0" locked="0" layoutInCell="1" allowOverlap="1" wp14:anchorId="6D67833F" wp14:editId="68D7DDBF">
              <wp:simplePos x="635" y="635"/>
              <wp:positionH relativeFrom="page">
                <wp:align>left</wp:align>
              </wp:positionH>
              <wp:positionV relativeFrom="page">
                <wp:align>bottom</wp:align>
              </wp:positionV>
              <wp:extent cx="759460" cy="361315"/>
              <wp:effectExtent l="0" t="0" r="2540" b="0"/>
              <wp:wrapNone/>
              <wp:docPr id="60627917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56506839" w14:textId="65BB2A85"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67833F" id="_x0000_t202" coordsize="21600,21600" o:spt="202" path="m,l,21600r21600,l21600,xe">
              <v:stroke joinstyle="miter"/>
              <v:path gradientshapeok="t" o:connecttype="rect"/>
            </v:shapetype>
            <v:shape id="Text Box 1" o:spid="_x0000_s1030" type="#_x0000_t202" alt="OFFICIAL" style="position:absolute;margin-left:0;margin-top:0;width:59.8pt;height:28.45pt;z-index:2516428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" filled="f" stroked="f">
              <v:textbox style="mso-fit-shape-to-text:t" inset="20pt,0,0,15pt">
                <w:txbxContent>
                  <w:p w14:paraId="56506839" w14:textId="65BB2A85"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4188" w14:textId="157CD206" w:rsidR="00E821B3" w:rsidRDefault="00BC0840">
    <w:pPr>
      <w:pStyle w:val="Footer"/>
    </w:pPr>
    <w:r>
      <w:rPr>
        <w:noProof/>
      </w:rPr>
      <mc:AlternateContent>
        <mc:Choice Requires="wps">
          <w:drawing>
            <wp:anchor distT="0" distB="0" distL="0" distR="0" simplePos="0" relativeHeight="251656192" behindDoc="0" locked="0" layoutInCell="1" allowOverlap="1" wp14:anchorId="7091ED52" wp14:editId="2091C235">
              <wp:simplePos x="635" y="635"/>
              <wp:positionH relativeFrom="page">
                <wp:align>left</wp:align>
              </wp:positionH>
              <wp:positionV relativeFrom="page">
                <wp:align>bottom</wp:align>
              </wp:positionV>
              <wp:extent cx="759460" cy="361315"/>
              <wp:effectExtent l="0" t="0" r="2540" b="0"/>
              <wp:wrapNone/>
              <wp:docPr id="2072438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2FD137E9" w14:textId="085AB359"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91ED52" id="_x0000_t202" coordsize="21600,21600" o:spt="202" path="m,l,21600r21600,l21600,xe">
              <v:stroke joinstyle="miter"/>
              <v:path gradientshapeok="t" o:connecttype="rect"/>
            </v:shapetype>
            <v:shape id="Text Box 5" o:spid="_x0000_s1031" type="#_x0000_t202" alt="OFFICIAL" style="position:absolute;margin-left:0;margin-top:0;width:59.8pt;height:28.4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qH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a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2piocT&#10;AgAAIQQAAA4AAAAAAAAAAAAAAAAALgIAAGRycy9lMm9Eb2MueG1sUEsBAi0AFAAGAAgAAAAhAL0k&#10;MifaAAAABAEAAA8AAAAAAAAAAAAAAAAAbQQAAGRycy9kb3ducmV2LnhtbFBLBQYAAAAABAAEAPMA&#10;AAB0BQAAAAA=&#10;" filled="f" stroked="f">
              <v:textbox style="mso-fit-shape-to-text:t" inset="20pt,0,0,15pt">
                <w:txbxContent>
                  <w:p w14:paraId="2FD137E9" w14:textId="085AB359"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D375" w14:textId="57258E66" w:rsidR="00137F51" w:rsidRPr="00672300" w:rsidRDefault="00137F51" w:rsidP="00672300">
    <w:pPr>
      <w:pStyle w:val="Footer"/>
    </w:pPr>
    <w:r w:rsidRPr="006C4F67">
      <w:rPr>
        <w:rStyle w:val="PageNumber"/>
      </w:rPr>
      <w:fldChar w:fldCharType="begin"/>
    </w:r>
    <w:r w:rsidRPr="006C4F67">
      <w:rPr>
        <w:rStyle w:val="PageNumber"/>
      </w:rPr>
      <w:instrText xml:space="preserve"> PAGE</w:instrText>
    </w:r>
    <w:r>
      <w:rPr>
        <w:rStyle w:val="PageNumber"/>
      </w:rPr>
      <w:instrText xml:space="preserve"> </w:instrText>
    </w:r>
    <w:r w:rsidRPr="006C4F67">
      <w:rPr>
        <w:rStyle w:val="PageNumber"/>
      </w:rPr>
      <w:fldChar w:fldCharType="separate"/>
    </w:r>
    <w:r w:rsidR="001E62EA">
      <w:rPr>
        <w:rStyle w:val="PageNumber"/>
        <w:noProof/>
      </w:rPr>
      <w:t>i</w:t>
    </w:r>
    <w:r w:rsidRPr="006C4F6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86B8" w14:textId="218D819D" w:rsidR="00E821B3" w:rsidRDefault="00BC0840">
    <w:pPr>
      <w:pStyle w:val="Footer"/>
    </w:pPr>
    <w:r>
      <w:rPr>
        <w:noProof/>
      </w:rPr>
      <mc:AlternateContent>
        <mc:Choice Requires="wps">
          <w:drawing>
            <wp:anchor distT="0" distB="0" distL="0" distR="0" simplePos="0" relativeHeight="251650048" behindDoc="0" locked="0" layoutInCell="1" allowOverlap="1" wp14:anchorId="4CB21F27" wp14:editId="0D79B9A9">
              <wp:simplePos x="635" y="635"/>
              <wp:positionH relativeFrom="page">
                <wp:align>left</wp:align>
              </wp:positionH>
              <wp:positionV relativeFrom="page">
                <wp:align>bottom</wp:align>
              </wp:positionV>
              <wp:extent cx="759460" cy="361315"/>
              <wp:effectExtent l="0" t="0" r="2540" b="0"/>
              <wp:wrapNone/>
              <wp:docPr id="10196383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4D66FDD7" w14:textId="0325054A"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B21F27" id="_x0000_t202" coordsize="21600,21600" o:spt="202" path="m,l,21600r21600,l21600,xe">
              <v:stroke joinstyle="miter"/>
              <v:path gradientshapeok="t" o:connecttype="rect"/>
            </v:shapetype>
            <v:shape id="Text Box 4" o:spid="_x0000_s1032" type="#_x0000_t202" alt="OFFICIAL" style="position:absolute;margin-left:0;margin-top:0;width:59.8pt;height:28.45pt;z-index:2516500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sPEg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Q1Nh+n30J9xKUcDHx7y9cttn5kPrwwhwTjtCja&#10;8IyHVNBVFE4WJQ24H3/zx3zEHaOUdCiYihpUNCXqm0E+prPrPI8CSzc03Ghsk1Hc5rMYN3t9D6jF&#10;Ap+F5cmMyUGNpnSg31DTq9gNQ8xw7FnR7Wjeh0G++Ca4WK1SEmrJsvBoNpbH0hGzCOhr/8acPaEe&#10;kK4nGCXFynfgD7nxT29X+4AUJGYivgOaJ9hRh4nb05uJQv/1nrIuL3v5Ew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jSYLDxIC&#10;AAAhBAAADgAAAAAAAAAAAAAAAAAuAgAAZHJzL2Uyb0RvYy54bWxQSwECLQAUAAYACAAAACEAvSQy&#10;J9oAAAAEAQAADwAAAAAAAAAAAAAAAABsBAAAZHJzL2Rvd25yZXYueG1sUEsFBgAAAAAEAAQA8wAA&#10;AHMFAAAAAA==&#10;" filled="f" stroked="f">
              <v:textbox style="mso-fit-shape-to-text:t" inset="20pt,0,0,15pt">
                <w:txbxContent>
                  <w:p w14:paraId="4D66FDD7" w14:textId="0325054A"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39C5" w14:textId="492D4F01" w:rsidR="00E821B3" w:rsidRDefault="00BC0840">
    <w:pPr>
      <w:pStyle w:val="Footer"/>
    </w:pPr>
    <w:r>
      <w:rPr>
        <w:noProof/>
      </w:rPr>
      <mc:AlternateContent>
        <mc:Choice Requires="wps">
          <w:drawing>
            <wp:anchor distT="0" distB="0" distL="0" distR="0" simplePos="0" relativeHeight="251672576" behindDoc="0" locked="0" layoutInCell="1" allowOverlap="1" wp14:anchorId="6A3CABEF" wp14:editId="41232DB9">
              <wp:simplePos x="635" y="635"/>
              <wp:positionH relativeFrom="page">
                <wp:align>left</wp:align>
              </wp:positionH>
              <wp:positionV relativeFrom="page">
                <wp:align>bottom</wp:align>
              </wp:positionV>
              <wp:extent cx="759460" cy="361315"/>
              <wp:effectExtent l="0" t="0" r="2540" b="0"/>
              <wp:wrapNone/>
              <wp:docPr id="61133026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94EF7F3" w14:textId="258AED6F"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3CABEF" id="_x0000_t202" coordsize="21600,21600" o:spt="202" path="m,l,21600r21600,l21600,xe">
              <v:stroke joinstyle="miter"/>
              <v:path gradientshapeok="t" o:connecttype="rect"/>
            </v:shapetype>
            <v:shape id="Text Box 8" o:spid="_x0000_s1033" type="#_x0000_t202" alt="OFFICIAL" style="position:absolute;margin-left:0;margin-top:0;width:59.8pt;height:28.4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FbQIT&#10;AgAAIQQAAA4AAAAAAAAAAAAAAAAALgIAAGRycy9lMm9Eb2MueG1sUEsBAi0AFAAGAAgAAAAhAL0k&#10;MifaAAAABAEAAA8AAAAAAAAAAAAAAAAAbQQAAGRycy9kb3ducmV2LnhtbFBLBQYAAAAABAAEAPMA&#10;AAB0BQAAAAA=&#10;" filled="f" stroked="f">
              <v:textbox style="mso-fit-shape-to-text:t" inset="20pt,0,0,15pt">
                <w:txbxContent>
                  <w:p w14:paraId="394EF7F3" w14:textId="258AED6F"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4B23" w14:textId="28E159DE" w:rsidR="007E7D93" w:rsidRPr="007E7D93" w:rsidRDefault="007E7D93" w:rsidP="007E7D93">
    <w:pPr>
      <w:pStyle w:val="Footer"/>
    </w:pPr>
    <w:r w:rsidRPr="006C4F67">
      <w:rPr>
        <w:rStyle w:val="PageNumber"/>
      </w:rPr>
      <w:fldChar w:fldCharType="begin"/>
    </w:r>
    <w:r w:rsidRPr="006C4F67">
      <w:rPr>
        <w:rStyle w:val="PageNumber"/>
      </w:rPr>
      <w:instrText xml:space="preserve"> PAGE</w:instrText>
    </w:r>
    <w:r>
      <w:rPr>
        <w:rStyle w:val="PageNumber"/>
      </w:rPr>
      <w:instrText xml:space="preserve"> </w:instrText>
    </w:r>
    <w:r w:rsidRPr="006C4F67">
      <w:rPr>
        <w:rStyle w:val="PageNumber"/>
      </w:rPr>
      <w:fldChar w:fldCharType="separate"/>
    </w:r>
    <w:r w:rsidR="001E62EA">
      <w:rPr>
        <w:rStyle w:val="PageNumber"/>
        <w:noProof/>
      </w:rPr>
      <w:t>9</w:t>
    </w:r>
    <w:r w:rsidRPr="006C4F67">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DA1F" w14:textId="35FFD07F" w:rsidR="00E821B3" w:rsidRDefault="00BC0840">
    <w:pPr>
      <w:pStyle w:val="Footer"/>
    </w:pPr>
    <w:r>
      <w:rPr>
        <w:noProof/>
      </w:rPr>
      <mc:AlternateContent>
        <mc:Choice Requires="wps">
          <w:drawing>
            <wp:anchor distT="0" distB="0" distL="0" distR="0" simplePos="0" relativeHeight="251664384" behindDoc="0" locked="0" layoutInCell="1" allowOverlap="1" wp14:anchorId="31EE7460" wp14:editId="767E5884">
              <wp:simplePos x="635" y="635"/>
              <wp:positionH relativeFrom="page">
                <wp:align>left</wp:align>
              </wp:positionH>
              <wp:positionV relativeFrom="page">
                <wp:align>bottom</wp:align>
              </wp:positionV>
              <wp:extent cx="759460" cy="361315"/>
              <wp:effectExtent l="0" t="0" r="2540" b="0"/>
              <wp:wrapNone/>
              <wp:docPr id="77802558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2B78CBF9" w14:textId="5435DD9B"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EE7460" id="_x0000_t202" coordsize="21600,21600" o:spt="202" path="m,l,21600r21600,l21600,xe">
              <v:stroke joinstyle="miter"/>
              <v:path gradientshapeok="t" o:connecttype="rect"/>
            </v:shapetype>
            <v:shape id="Text Box 7" o:spid="_x0000_s1034" type="#_x0000_t202" alt="OFFICIAL" style="position:absolute;margin-left:0;margin-top:0;width:59.8pt;height:28.4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LwrsihIC&#10;AAAhBAAADgAAAAAAAAAAAAAAAAAuAgAAZHJzL2Uyb0RvYy54bWxQSwECLQAUAAYACAAAACEAvSQy&#10;J9oAAAAEAQAADwAAAAAAAAAAAAAAAABsBAAAZHJzL2Rvd25yZXYueG1sUEsFBgAAAAAEAAQA8wAA&#10;AHMFAAAAAA==&#10;" filled="f" stroked="f">
              <v:textbox style="mso-fit-shape-to-text:t" inset="20pt,0,0,15pt">
                <w:txbxContent>
                  <w:p w14:paraId="2B78CBF9" w14:textId="5435DD9B" w:rsidR="00BC0840" w:rsidRPr="00BC0840" w:rsidRDefault="00BC0840" w:rsidP="00BC0840">
                    <w:pPr>
                      <w:spacing w:after="0"/>
                      <w:rPr>
                        <w:rFonts w:ascii="Calibri" w:eastAsia="Calibri" w:hAnsi="Calibri" w:cs="Calibri"/>
                        <w:noProof/>
                        <w:color w:val="000000"/>
                        <w:sz w:val="22"/>
                        <w:szCs w:val="22"/>
                      </w:rPr>
                    </w:pPr>
                    <w:r w:rsidRPr="00BC0840">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C9D6" w14:textId="77777777" w:rsidR="002E5260" w:rsidRDefault="002E5260" w:rsidP="00C702C7">
      <w:pPr>
        <w:spacing w:line="240" w:lineRule="auto"/>
      </w:pPr>
      <w:r>
        <w:separator/>
      </w:r>
    </w:p>
    <w:p w14:paraId="14B3E6B2" w14:textId="77777777" w:rsidR="002E5260" w:rsidRDefault="002E5260"/>
  </w:footnote>
  <w:footnote w:type="continuationSeparator" w:id="0">
    <w:p w14:paraId="7B96D94B" w14:textId="77777777" w:rsidR="002E5260" w:rsidRDefault="002E5260" w:rsidP="00C702C7">
      <w:pPr>
        <w:spacing w:line="240" w:lineRule="auto"/>
      </w:pPr>
      <w:r>
        <w:continuationSeparator/>
      </w:r>
    </w:p>
    <w:p w14:paraId="651AFBBE" w14:textId="77777777" w:rsidR="002E5260" w:rsidRDefault="002E5260"/>
  </w:footnote>
  <w:footnote w:type="continuationNotice" w:id="1">
    <w:p w14:paraId="322A9B4C" w14:textId="77777777" w:rsidR="002E5260" w:rsidRDefault="002E5260">
      <w:pPr>
        <w:spacing w:after="0" w:line="240" w:lineRule="auto"/>
      </w:pPr>
    </w:p>
    <w:p w14:paraId="27948269" w14:textId="77777777" w:rsidR="002E5260" w:rsidRDefault="002E5260"/>
  </w:footnote>
  <w:footnote w:id="2">
    <w:p w14:paraId="6A8E3337" w14:textId="77777777" w:rsidR="005E37B8" w:rsidRDefault="005E37B8" w:rsidP="005E37B8">
      <w:pPr>
        <w:pStyle w:val="FootnoteText"/>
      </w:pPr>
      <w:r>
        <w:rPr>
          <w:rStyle w:val="FootnoteReference"/>
        </w:rPr>
        <w:footnoteRef/>
      </w:r>
      <w:r>
        <w:t xml:space="preserve"> Australian Security Industry Association Limited (2024), ASIAL Security Industry Licensing Report 2024. </w:t>
      </w:r>
      <w:hyperlink r:id="rId1" w:history="1">
        <w:r w:rsidRPr="00B6184C">
          <w:rPr>
            <w:rStyle w:val="Hyperlink"/>
          </w:rPr>
          <w:t>https://asial.com.au/common/Uploaded%20files/ASIAL_Public/Annual%20reports/Australian%20Security%20Industry%20Licensing%20Report%202024_final.pdf</w:t>
        </w:r>
      </w:hyperlink>
      <w:r>
        <w:t xml:space="preserve"> </w:t>
      </w:r>
    </w:p>
  </w:footnote>
  <w:footnote w:id="3">
    <w:p w14:paraId="20684495" w14:textId="6C55CC47" w:rsidR="00E26936" w:rsidRDefault="00E26936">
      <w:pPr>
        <w:pStyle w:val="FootnoteText"/>
      </w:pPr>
      <w:r>
        <w:rPr>
          <w:rStyle w:val="FootnoteReference"/>
        </w:rPr>
        <w:footnoteRef/>
      </w:r>
      <w:r>
        <w:t xml:space="preserve"> Victorian Law Reform Commission (2016), Use of regulatory regimes in preventing the infiltration of organised crime into lawful occupations and industries. </w:t>
      </w:r>
      <w:hyperlink r:id="rId2" w:history="1">
        <w:r w:rsidRPr="00D67C67">
          <w:rPr>
            <w:rStyle w:val="Hyperlink"/>
          </w:rPr>
          <w:t>https://www.lawreform.vic.gov.au/wp-content/uploads/2021/07/VLRC_Regulatory_Regimes_Report_for_web.pdf</w:t>
        </w:r>
      </w:hyperlink>
    </w:p>
  </w:footnote>
  <w:footnote w:id="4">
    <w:p w14:paraId="36027153" w14:textId="657439A5" w:rsidR="00E56622" w:rsidRDefault="00E56622" w:rsidP="00E56622">
      <w:pPr>
        <w:pStyle w:val="FootnoteText"/>
      </w:pPr>
      <w:r>
        <w:rPr>
          <w:rStyle w:val="FootnoteReference"/>
        </w:rPr>
        <w:footnoteRef/>
      </w:r>
      <w:r>
        <w:rPr>
          <w:rStyle w:val="FootnoteReference"/>
        </w:rPr>
        <w:footnoteRef/>
      </w:r>
      <w:r>
        <w:t xml:space="preserve"> Victoria Police (202</w:t>
      </w:r>
      <w:r w:rsidR="00E54F7B">
        <w:t>4</w:t>
      </w:r>
      <w:r>
        <w:t>), Private Security Fees and Charges 2024-202</w:t>
      </w:r>
      <w:r w:rsidR="00E54F7B">
        <w:t>5</w:t>
      </w:r>
      <w:r>
        <w:t xml:space="preserve">. </w:t>
      </w:r>
      <w:hyperlink r:id="rId3" w:history="1">
        <w:r w:rsidR="00B61EE4" w:rsidRPr="006A2EE3">
          <w:rPr>
            <w:rStyle w:val="Hyperlink"/>
          </w:rPr>
          <w:t>https://content.police.vic.gov.au/sites/default/files/2024-06/Victoria-Police-Fees-and-Charges-Private-Security-2024-2025.pdf</w:t>
        </w:r>
      </w:hyperlink>
      <w:r w:rsidR="00B61EE4">
        <w:t xml:space="preserve"> </w:t>
      </w:r>
    </w:p>
  </w:footnote>
  <w:footnote w:id="5">
    <w:p w14:paraId="395DBF3B" w14:textId="6201AC68" w:rsidR="00633FCA" w:rsidRDefault="00633FCA">
      <w:pPr>
        <w:pStyle w:val="FootnoteText"/>
      </w:pPr>
      <w:r>
        <w:rPr>
          <w:rStyle w:val="FootnoteReference"/>
        </w:rPr>
        <w:footnoteRef/>
      </w:r>
      <w:r>
        <w:t xml:space="preserve"> Victoria Police, Private Security Authority Types, Eligibility and Training. </w:t>
      </w:r>
      <w:hyperlink r:id="rId4" w:history="1">
        <w:r w:rsidR="007948FC" w:rsidRPr="00957AD1">
          <w:rPr>
            <w:rStyle w:val="Hyperlink"/>
          </w:rPr>
          <w:t>https://www.police.vic.gov.au/eligibility-requirements-1</w:t>
        </w:r>
      </w:hyperlink>
      <w:r w:rsidR="007948FC">
        <w:t xml:space="preserve"> </w:t>
      </w:r>
    </w:p>
  </w:footnote>
  <w:footnote w:id="6">
    <w:p w14:paraId="5C16C489" w14:textId="77777777" w:rsidR="00881E2E" w:rsidRDefault="00881E2E">
      <w:pPr>
        <w:pStyle w:val="FootnoteText"/>
      </w:pPr>
      <w:r>
        <w:rPr>
          <w:rStyle w:val="FootnoteReference"/>
        </w:rPr>
        <w:footnoteRef/>
      </w:r>
      <w:r>
        <w:t xml:space="preserve"> Victoria Police, Applying for a new private security licence or registration. </w:t>
      </w:r>
      <w:hyperlink r:id="rId5" w:history="1">
        <w:r w:rsidR="00E27922" w:rsidRPr="004C2CDC">
          <w:rPr>
            <w:rStyle w:val="Hyperlink"/>
          </w:rPr>
          <w:t>https://www.police.vic.gov.au/applying-new-individual-licence-or-registration</w:t>
        </w:r>
      </w:hyperlink>
      <w:r w:rsidR="00E27922">
        <w:t xml:space="preserve"> </w:t>
      </w:r>
    </w:p>
  </w:footnote>
  <w:footnote w:id="7">
    <w:p w14:paraId="30424E25" w14:textId="0578EE77" w:rsidR="00216F69" w:rsidRDefault="00216F69">
      <w:pPr>
        <w:pStyle w:val="FootnoteText"/>
      </w:pPr>
      <w:r>
        <w:rPr>
          <w:rStyle w:val="FootnoteReference"/>
        </w:rPr>
        <w:footnoteRef/>
      </w:r>
      <w:r>
        <w:t xml:space="preserve"> </w:t>
      </w:r>
      <w:r w:rsidR="0008196A">
        <w:t xml:space="preserve">Department of Justice and Community Safety (2020), Victoria’s Private Security </w:t>
      </w:r>
      <w:r w:rsidR="003350C0">
        <w:t>Industry: Issues paper for consultation</w:t>
      </w:r>
      <w:r w:rsidR="004607C0">
        <w:t xml:space="preserve">. </w:t>
      </w:r>
      <w:hyperlink r:id="rId6" w:history="1">
        <w:r w:rsidR="004607C0" w:rsidRPr="00EC4DA0">
          <w:rPr>
            <w:rStyle w:val="Hyperlink"/>
          </w:rPr>
          <w:t>https://engage.vic.gov.au/private-security-review-2020</w:t>
        </w:r>
      </w:hyperlink>
      <w:r w:rsidR="004607C0">
        <w:t xml:space="preserve"> </w:t>
      </w:r>
    </w:p>
  </w:footnote>
  <w:footnote w:id="8">
    <w:p w14:paraId="196973D4" w14:textId="310AE40B" w:rsidR="003861C4" w:rsidRDefault="003861C4">
      <w:pPr>
        <w:pStyle w:val="FootnoteText"/>
      </w:pPr>
      <w:r>
        <w:rPr>
          <w:rStyle w:val="FootnoteReference"/>
        </w:rPr>
        <w:footnoteRef/>
      </w:r>
      <w:r>
        <w:t xml:space="preserve"> Department of Justice and Community Safety (2020), Victoria’s Private Security Industry: Issues paper for consultation</w:t>
      </w:r>
      <w:r w:rsidR="0036598D">
        <w:t xml:space="preserve"> </w:t>
      </w:r>
    </w:p>
  </w:footnote>
  <w:footnote w:id="9">
    <w:p w14:paraId="019BDAFD" w14:textId="38BF4FF7" w:rsidR="008871C4" w:rsidRDefault="008871C4">
      <w:pPr>
        <w:pStyle w:val="FootnoteText"/>
      </w:pPr>
      <w:r>
        <w:rPr>
          <w:rStyle w:val="FootnoteReference"/>
        </w:rPr>
        <w:footnoteRef/>
      </w:r>
      <w:r>
        <w:t xml:space="preserve"> </w:t>
      </w:r>
      <w:r w:rsidR="00194AAD">
        <w:t xml:space="preserve">Department of Justice and Community Safety (2021), </w:t>
      </w:r>
      <w:r w:rsidR="001E149D">
        <w:t xml:space="preserve">Final Report: </w:t>
      </w:r>
      <w:r w:rsidR="00194AAD">
        <w:t xml:space="preserve">Review of the Private Security Industry. </w:t>
      </w:r>
      <w:hyperlink r:id="rId7" w:history="1">
        <w:r w:rsidR="001E149D" w:rsidRPr="00EC4DA0">
          <w:rPr>
            <w:rStyle w:val="Hyperlink"/>
          </w:rPr>
          <w:t>https://engage.vic.gov.au/private-security-review-2020</w:t>
        </w:r>
      </w:hyperlink>
      <w:r w:rsidR="001E149D">
        <w:t xml:space="preserve"> </w:t>
      </w:r>
    </w:p>
  </w:footnote>
  <w:footnote w:id="10">
    <w:p w14:paraId="4BAF27EC" w14:textId="77777777" w:rsidR="00C15082" w:rsidRDefault="007543FD" w:rsidP="00C15082">
      <w:pPr>
        <w:pStyle w:val="FootnoteText"/>
      </w:pPr>
      <w:r>
        <w:rPr>
          <w:rStyle w:val="FootnoteReference"/>
        </w:rPr>
        <w:footnoteRef/>
      </w:r>
      <w:r>
        <w:t xml:space="preserve"> </w:t>
      </w:r>
      <w:r w:rsidR="00C15082">
        <w:t xml:space="preserve">COVID-19 Hotel Quarantine Inquiry (2020) Final Report and Recommendations Volume I, Victorian Government. </w:t>
      </w:r>
    </w:p>
    <w:p w14:paraId="24348574" w14:textId="7E48AB7A" w:rsidR="007543FD" w:rsidRDefault="00C15082" w:rsidP="00C15082">
      <w:pPr>
        <w:pStyle w:val="FootnoteText"/>
      </w:pPr>
      <w:hyperlink r:id="rId8" w:history="1">
        <w:r w:rsidRPr="00B6184C">
          <w:rPr>
            <w:rStyle w:val="Hyperlink"/>
          </w:rPr>
          <w:t>https://content.royalcommission.vic.gov.au/sites/default/files/2020-12/0387_RC_Covid-19%20Final%20Report_Volume%201%2B2_Digital.pdf</w:t>
        </w:r>
      </w:hyperlink>
      <w:r>
        <w:t xml:space="preserve">. </w:t>
      </w:r>
    </w:p>
  </w:footnote>
  <w:footnote w:id="11">
    <w:p w14:paraId="101BABE2" w14:textId="77777777" w:rsidR="008B1A3C" w:rsidRDefault="008B1A3C" w:rsidP="008B1A3C">
      <w:pPr>
        <w:pStyle w:val="FootnoteText"/>
      </w:pPr>
      <w:r>
        <w:rPr>
          <w:rStyle w:val="FootnoteReference"/>
        </w:rPr>
        <w:footnoteRef/>
      </w:r>
      <w:r>
        <w:t xml:space="preserve"> Australian Security Industry Association Limited (2024), ASIAL Security Industry Licensing Report 2024. </w:t>
      </w:r>
      <w:hyperlink r:id="rId9" w:history="1">
        <w:r w:rsidRPr="00B6184C">
          <w:rPr>
            <w:rStyle w:val="Hyperlink"/>
          </w:rPr>
          <w:t>https://asial.com.au/common/Uploaded%20files/ASIAL_Public/Annual%20reports/Australian%20Security%20Industry%20Licensing%20Report%202024_final.pdf</w:t>
        </w:r>
      </w:hyperlink>
      <w:r>
        <w:t xml:space="preserve"> </w:t>
      </w:r>
    </w:p>
  </w:footnote>
  <w:footnote w:id="12">
    <w:p w14:paraId="13670F11" w14:textId="557FB402" w:rsidR="005F1544" w:rsidRPr="0063508B" w:rsidRDefault="005F1544" w:rsidP="005F1544">
      <w:pPr>
        <w:pStyle w:val="FootnoteText"/>
      </w:pPr>
      <w:r>
        <w:rPr>
          <w:rStyle w:val="FootnoteReference"/>
        </w:rPr>
        <w:footnoteRef/>
      </w:r>
      <w:r>
        <w:t xml:space="preserve"> Commissioner for Better Regulation (2016), </w:t>
      </w:r>
      <w:r>
        <w:rPr>
          <w:i/>
        </w:rPr>
        <w:t xml:space="preserve">Victorian Guide to Regulation: A handbook for </w:t>
      </w:r>
      <w:r w:rsidR="007526EF">
        <w:rPr>
          <w:i/>
        </w:rPr>
        <w:t>policymakers</w:t>
      </w:r>
      <w:r>
        <w:rPr>
          <w:i/>
        </w:rPr>
        <w:t xml:space="preserve"> in Victoria</w:t>
      </w:r>
      <w:r>
        <w:t xml:space="preserve"> &lt;</w:t>
      </w:r>
      <w:r w:rsidRPr="00A1031A">
        <w:t>http://www.betterregulation.vic.gov.au/Guidance-and-Resources</w:t>
      </w:r>
      <w:r>
        <w:t>&gt;.</w:t>
      </w:r>
    </w:p>
  </w:footnote>
  <w:footnote w:id="13">
    <w:p w14:paraId="7C82CDCD" w14:textId="7E7D4173" w:rsidR="00A321EB" w:rsidRDefault="00A321EB">
      <w:pPr>
        <w:pStyle w:val="FootnoteText"/>
      </w:pPr>
      <w:r>
        <w:rPr>
          <w:rStyle w:val="FootnoteReference"/>
        </w:rPr>
        <w:footnoteRef/>
      </w:r>
      <w:r>
        <w:t xml:space="preserve"> </w:t>
      </w:r>
      <w:r w:rsidR="00053104">
        <w:t xml:space="preserve">Victorian Law Reform Commission (2016), Use of regulatory regimes in preventing the infiltration of organised crime into lawful occupations and industries. </w:t>
      </w:r>
      <w:hyperlink r:id="rId10" w:history="1">
        <w:r w:rsidR="0074397D" w:rsidRPr="00D67C67">
          <w:rPr>
            <w:rStyle w:val="Hyperlink"/>
          </w:rPr>
          <w:t>https://www.lawreform.vic.gov.au/wp-content/uploads/2021/07/VLRC_Regulatory_Regimes_Report_for_web.pdf</w:t>
        </w:r>
      </w:hyperlink>
      <w:r w:rsidR="0074397D">
        <w:t xml:space="preserve"> </w:t>
      </w:r>
    </w:p>
  </w:footnote>
  <w:footnote w:id="14">
    <w:p w14:paraId="16D53109" w14:textId="77777777" w:rsidR="00EB7C1C" w:rsidRDefault="00EB7C1C">
      <w:pPr>
        <w:pStyle w:val="FootnoteText"/>
      </w:pPr>
      <w:r>
        <w:rPr>
          <w:rStyle w:val="FootnoteReference"/>
        </w:rPr>
        <w:footnoteRef/>
      </w:r>
      <w:r>
        <w:t xml:space="preserve"> Victoria Police, Private Security authority types, eligibility</w:t>
      </w:r>
      <w:r w:rsidR="00585E20">
        <w:t>,</w:t>
      </w:r>
      <w:r>
        <w:t xml:space="preserve"> and training. </w:t>
      </w:r>
      <w:hyperlink r:id="rId11" w:history="1">
        <w:r w:rsidR="00585E20" w:rsidRPr="00D67C67">
          <w:rPr>
            <w:rStyle w:val="Hyperlink"/>
          </w:rPr>
          <w:t>https://www.police.vic.gov.au/private-security-eligibility-requirements-and-training</w:t>
        </w:r>
      </w:hyperlink>
      <w:r w:rsidR="00585E20">
        <w:t xml:space="preserve"> </w:t>
      </w:r>
    </w:p>
  </w:footnote>
  <w:footnote w:id="15">
    <w:p w14:paraId="5576FC0D" w14:textId="6300A5B2" w:rsidR="00342901" w:rsidRDefault="00342901">
      <w:pPr>
        <w:pStyle w:val="FootnoteText"/>
      </w:pPr>
      <w:r>
        <w:rPr>
          <w:rStyle w:val="FootnoteReference"/>
        </w:rPr>
        <w:footnoteRef/>
      </w:r>
      <w:r>
        <w:t xml:space="preserve"> Victoria Police (2023), Victoria Police Annual Report 2022-23. </w:t>
      </w:r>
      <w:hyperlink r:id="rId12" w:anchor="_ga=2.19325112.1088627876.1722471520-38763444.1717139804" w:history="1">
        <w:r w:rsidR="00736337" w:rsidRPr="00D67C67">
          <w:rPr>
            <w:rStyle w:val="Hyperlink"/>
          </w:rPr>
          <w:t>https://content.police.vic.gov.au/sites/default/files/2023-10/Victoria-Police-Annual-Report-2022-23.pdf#_ga=2.19325112.1088627876.1722471520-38763444.1717139804</w:t>
        </w:r>
      </w:hyperlink>
      <w:r w:rsidR="00736337">
        <w:t xml:space="preserve"> </w:t>
      </w:r>
    </w:p>
  </w:footnote>
  <w:footnote w:id="16">
    <w:p w14:paraId="12AF31A5" w14:textId="18215F97" w:rsidR="004F755D" w:rsidRDefault="004F755D">
      <w:pPr>
        <w:pStyle w:val="FootnoteText"/>
      </w:pPr>
      <w:r>
        <w:rPr>
          <w:rStyle w:val="FootnoteReference"/>
        </w:rPr>
        <w:footnoteRef/>
      </w:r>
      <w:r>
        <w:t xml:space="preserve"> </w:t>
      </w:r>
      <w:r w:rsidR="000022B5">
        <w:t xml:space="preserve">Department of Justice and Regulation (2016), Private Security Regulations 2016 Regulatory Impact Statement. </w:t>
      </w:r>
    </w:p>
  </w:footnote>
  <w:footnote w:id="17">
    <w:p w14:paraId="608C384F" w14:textId="77777777" w:rsidR="00535B35" w:rsidRDefault="00535B35" w:rsidP="00535B35">
      <w:pPr>
        <w:pStyle w:val="FootnoteText"/>
      </w:pPr>
      <w:r>
        <w:rPr>
          <w:rStyle w:val="FootnoteReference"/>
        </w:rPr>
        <w:footnoteRef/>
      </w:r>
      <w:r>
        <w:t xml:space="preserve"> Better Regulation Victoria (2019), ‘</w:t>
      </w:r>
      <w:r>
        <w:rPr>
          <w:i/>
          <w:iCs/>
        </w:rPr>
        <w:t>Guidance Note – Multi-Criteria Analysis’</w:t>
      </w:r>
      <w:r>
        <w:t xml:space="preserve"> &lt;</w:t>
      </w:r>
      <w:r w:rsidRPr="00360C87">
        <w:t>https://content.vic.gov.au/sites/default/files/2019-10/Guidance-note-Multi-Criteria-Analysis-MCA.pdf</w:t>
      </w:r>
      <w:r>
        <w:t xml:space="preserve">&gt;. </w:t>
      </w:r>
    </w:p>
  </w:footnote>
  <w:footnote w:id="18">
    <w:p w14:paraId="62ACB8E6" w14:textId="14855DB2" w:rsidR="00753B3E" w:rsidRDefault="00753B3E">
      <w:pPr>
        <w:pStyle w:val="FootnoteText"/>
      </w:pPr>
      <w:r>
        <w:rPr>
          <w:rStyle w:val="FootnoteReference"/>
        </w:rPr>
        <w:footnoteRef/>
      </w:r>
      <w:r>
        <w:t xml:space="preserve"> </w:t>
      </w:r>
      <w:r w:rsidR="0076406D">
        <w:t xml:space="preserve">According to the Act, a prohibited person is someone has either been convicted of a disqualifying offence within the previous 10 years or </w:t>
      </w:r>
      <w:r w:rsidR="00C51F25">
        <w:t xml:space="preserve">someone who has been found guilty of a disqualifying offence without a conviction being recorded within the previous five years </w:t>
      </w:r>
    </w:p>
  </w:footnote>
  <w:footnote w:id="19">
    <w:p w14:paraId="3960B9A7" w14:textId="417A62BA" w:rsidR="00047AED" w:rsidRDefault="00047AED">
      <w:pPr>
        <w:pStyle w:val="FootnoteText"/>
      </w:pPr>
      <w:r>
        <w:rPr>
          <w:rStyle w:val="FootnoteReference"/>
        </w:rPr>
        <w:footnoteRef/>
      </w:r>
      <w:r>
        <w:t xml:space="preserve"> The Act defines a disqualifying offence</w:t>
      </w:r>
      <w:r w:rsidR="00B97328">
        <w:t xml:space="preserve"> as offences involving</w:t>
      </w:r>
      <w:r w:rsidR="00400953">
        <w:t xml:space="preserve"> drug trafficking, cultivating narcotic plants, assault, dishonesty, theft, controlled weapons, </w:t>
      </w:r>
      <w:r w:rsidR="00753B3E">
        <w:t xml:space="preserve">firearm offences and terrorism. </w:t>
      </w:r>
    </w:p>
  </w:footnote>
  <w:footnote w:id="20">
    <w:p w14:paraId="6CE14511" w14:textId="7FF4C2CA" w:rsidR="00A316AE" w:rsidRDefault="00A316AE" w:rsidP="00951B7F">
      <w:pPr>
        <w:spacing w:line="240" w:lineRule="auto"/>
      </w:pPr>
      <w:r>
        <w:rPr>
          <w:rStyle w:val="FootnoteReference"/>
        </w:rPr>
        <w:footnoteRef/>
      </w:r>
      <w:r>
        <w:t xml:space="preserve"> </w:t>
      </w:r>
      <w:r w:rsidRPr="00A316AE">
        <w:rPr>
          <w:sz w:val="16"/>
          <w:szCs w:val="16"/>
        </w:rPr>
        <w:t>It is assumed that it would take an individual 30 minutes to get the training documents certified while a business applicant would need an hour to certify the documents given the higher number of documents required. The value of the time required for certification has been estimated using the average wage of a security personnel from the 2024 Security Services Industry Award for an individual and using the 2024 Clerks Private Sector Award for administrative staff in a business. These average wages were then estimated for a ten-year period using Deloitte’s wage-price index forecasts. The application volumes for the next years were estimated by applying the historical annual average growth rate in applications (between 2016-17 to 2023-24) to the 2023-24 application volumes.</w:t>
      </w:r>
      <w:r>
        <w:t xml:space="preserve"> </w:t>
      </w:r>
    </w:p>
  </w:footnote>
  <w:footnote w:id="21">
    <w:p w14:paraId="0010C25B" w14:textId="2F6D3FBB" w:rsidR="00A316AE" w:rsidRDefault="00A316AE" w:rsidP="00A316AE">
      <w:pPr>
        <w:spacing w:line="240" w:lineRule="auto"/>
        <w:textAlignment w:val="baseline"/>
      </w:pPr>
      <w:r>
        <w:rPr>
          <w:rStyle w:val="FootnoteReference"/>
        </w:rPr>
        <w:footnoteRef/>
      </w:r>
      <w:r>
        <w:t xml:space="preserve"> </w:t>
      </w:r>
      <w:r w:rsidRPr="00A316AE">
        <w:rPr>
          <w:sz w:val="16"/>
          <w:szCs w:val="16"/>
        </w:rPr>
        <w:t xml:space="preserve">A conservative time estimate of two hours (for individuals) and three hours (for businesses) for providing the prescribed particulars has been adopted. Additionally, individuals and businesses would also need to provide certified documents as for new applications. </w:t>
      </w:r>
      <w:r w:rsidR="00083AC4">
        <w:rPr>
          <w:sz w:val="16"/>
          <w:szCs w:val="16"/>
        </w:rPr>
        <w:t xml:space="preserve">No data was available to inform </w:t>
      </w:r>
      <w:r w:rsidR="00BF255F">
        <w:rPr>
          <w:sz w:val="16"/>
          <w:szCs w:val="16"/>
        </w:rPr>
        <w:t xml:space="preserve">the proportion of renewals that require additional documents to be certified </w:t>
      </w:r>
      <w:r w:rsidR="001969BC">
        <w:rPr>
          <w:sz w:val="16"/>
          <w:szCs w:val="16"/>
        </w:rPr>
        <w:t xml:space="preserve">(in cases where </w:t>
      </w:r>
      <w:r w:rsidR="00B3422C">
        <w:rPr>
          <w:sz w:val="16"/>
          <w:szCs w:val="16"/>
        </w:rPr>
        <w:t xml:space="preserve">circumstances have changed or previous documentation was not certified as part of the original application process). </w:t>
      </w:r>
      <w:r w:rsidRPr="00A316AE">
        <w:rPr>
          <w:sz w:val="16"/>
          <w:szCs w:val="16"/>
        </w:rPr>
        <w:t>As</w:t>
      </w:r>
      <w:r w:rsidR="005934AC">
        <w:rPr>
          <w:sz w:val="16"/>
          <w:szCs w:val="16"/>
        </w:rPr>
        <w:t xml:space="preserve"> such, a conservative assumption </w:t>
      </w:r>
      <w:r w:rsidR="00DA45E0">
        <w:rPr>
          <w:sz w:val="16"/>
          <w:szCs w:val="16"/>
        </w:rPr>
        <w:t xml:space="preserve">that all renewals require </w:t>
      </w:r>
      <w:r w:rsidR="00F273BD">
        <w:rPr>
          <w:sz w:val="16"/>
          <w:szCs w:val="16"/>
        </w:rPr>
        <w:t xml:space="preserve">additional documents to be certified </w:t>
      </w:r>
      <w:r w:rsidR="005934AC">
        <w:rPr>
          <w:sz w:val="16"/>
          <w:szCs w:val="16"/>
        </w:rPr>
        <w:t>has been used</w:t>
      </w:r>
      <w:r w:rsidR="00DA45E0">
        <w:rPr>
          <w:sz w:val="16"/>
          <w:szCs w:val="16"/>
        </w:rPr>
        <w:t xml:space="preserve"> to demonstrate maximum potential </w:t>
      </w:r>
      <w:r w:rsidR="00F273BD">
        <w:rPr>
          <w:sz w:val="16"/>
          <w:szCs w:val="16"/>
        </w:rPr>
        <w:t>regulatory</w:t>
      </w:r>
      <w:r w:rsidR="00DA45E0">
        <w:rPr>
          <w:sz w:val="16"/>
          <w:szCs w:val="16"/>
        </w:rPr>
        <w:t xml:space="preserve"> burden</w:t>
      </w:r>
      <w:r w:rsidR="00F273BD">
        <w:rPr>
          <w:sz w:val="16"/>
          <w:szCs w:val="16"/>
        </w:rPr>
        <w:t>.</w:t>
      </w:r>
      <w:r w:rsidR="005934AC">
        <w:rPr>
          <w:sz w:val="16"/>
          <w:szCs w:val="16"/>
        </w:rPr>
        <w:t xml:space="preserve"> </w:t>
      </w:r>
      <w:r w:rsidR="00F273BD">
        <w:rPr>
          <w:sz w:val="16"/>
          <w:szCs w:val="16"/>
        </w:rPr>
        <w:t>T</w:t>
      </w:r>
      <w:r w:rsidRPr="00A316AE">
        <w:rPr>
          <w:sz w:val="16"/>
          <w:szCs w:val="16"/>
        </w:rPr>
        <w:t xml:space="preserve">he certified documents required for individuals </w:t>
      </w:r>
      <w:r w:rsidR="00F273BD">
        <w:rPr>
          <w:sz w:val="16"/>
          <w:szCs w:val="16"/>
        </w:rPr>
        <w:t xml:space="preserve">in renewal applications </w:t>
      </w:r>
      <w:r w:rsidRPr="00A316AE">
        <w:rPr>
          <w:sz w:val="16"/>
          <w:szCs w:val="16"/>
        </w:rPr>
        <w:t xml:space="preserve">are the same as for new applications, it is </w:t>
      </w:r>
      <w:r w:rsidR="00F273BD">
        <w:rPr>
          <w:sz w:val="16"/>
          <w:szCs w:val="16"/>
        </w:rPr>
        <w:t xml:space="preserve">therefore </w:t>
      </w:r>
      <w:r w:rsidRPr="00A316AE">
        <w:rPr>
          <w:sz w:val="16"/>
          <w:szCs w:val="16"/>
        </w:rPr>
        <w:t xml:space="preserve">estimated that individuals would require 30 minutes to certify the required documents. Businesses would need to provide fewer documents for renewals than for new applications. </w:t>
      </w:r>
      <w:r w:rsidRPr="000B07DB">
        <w:rPr>
          <w:sz w:val="16"/>
          <w:szCs w:val="16"/>
        </w:rPr>
        <w:t>Therefore</w:t>
      </w:r>
      <w:r>
        <w:t xml:space="preserve">, </w:t>
      </w:r>
      <w:r w:rsidRPr="00A316AE">
        <w:rPr>
          <w:sz w:val="16"/>
          <w:szCs w:val="16"/>
        </w:rPr>
        <w:t>the time required for businesses to certify documents has been estimated at 45 minutes. This results in a total time impost of 2.5 hours for individuals and 3.75 hours for businesses renewals. Variation applications would only incur the time required for certifying documents.</w:t>
      </w:r>
      <w:r w:rsidR="0036598D">
        <w:t xml:space="preserve"> </w:t>
      </w:r>
    </w:p>
    <w:p w14:paraId="74BD82EE" w14:textId="1DFCD209" w:rsidR="00A316AE" w:rsidRDefault="00A316AE">
      <w:pPr>
        <w:pStyle w:val="FootnoteText"/>
      </w:pPr>
    </w:p>
  </w:footnote>
  <w:footnote w:id="22">
    <w:p w14:paraId="7FD9D2F1" w14:textId="3F0663C6" w:rsidR="00A316AE" w:rsidRDefault="00A316AE">
      <w:pPr>
        <w:pStyle w:val="FootnoteText"/>
      </w:pPr>
    </w:p>
  </w:footnote>
  <w:footnote w:id="23">
    <w:p w14:paraId="20F8DB49" w14:textId="53EC4621" w:rsidR="00AF156B" w:rsidRDefault="00AF156B">
      <w:pPr>
        <w:pStyle w:val="FootnoteText"/>
      </w:pPr>
      <w:r>
        <w:rPr>
          <w:rStyle w:val="FootnoteReference"/>
        </w:rPr>
        <w:footnoteRef/>
      </w:r>
      <w:r>
        <w:t xml:space="preserve"> Current fee value reflects the ‘Total Licence Fee’ for approved applicants, which comprises both the ‘Application Fee’ and ‘Maintenance Fee’. For those applications that are denied, applications would be charged a lower fee for the application fee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E401" w14:textId="7285D1AB" w:rsidR="00137F51" w:rsidRDefault="00EC2635" w:rsidP="00474643">
    <w:pPr>
      <w:pStyle w:val="Header"/>
    </w:pPr>
    <w:sdt>
      <w:sdtPr>
        <w:rPr>
          <w:lang w:val="en-US"/>
        </w:rPr>
        <w:alias w:val="Title"/>
        <w:id w:val="122897596"/>
        <w:dataBinding w:prefixMappings="xmlns:ns0='http://purl.org/dc/elements/1.1/' xmlns:ns1='http://schemas.openxmlformats.org/package/2006/metadata/core-properties' " w:xpath="/ns1:coreProperties[1]/ns0:title[1]" w:storeItemID="{6C3C8BC8-F283-45AE-878A-BAB7291924A1}"/>
        <w:text/>
      </w:sdtPr>
      <w:sdtEndPr/>
      <w:sdtContent>
        <w:r w:rsidR="00105B67">
          <w:rPr>
            <w:lang w:val="en-US"/>
          </w:rPr>
          <w:t>Attachment B Regulatory Impact Statement_Private Security Regulations 2025.docx</w:t>
        </w:r>
      </w:sdtContent>
    </w:sdt>
  </w:p>
  <w:p w14:paraId="5098C78A" w14:textId="77777777" w:rsidR="00137F51" w:rsidRPr="00474643" w:rsidRDefault="00137F51" w:rsidP="00474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294D" w14:textId="54BECED5" w:rsidR="00E33B5F" w:rsidRPr="00F052EC" w:rsidRDefault="00EC2635" w:rsidP="00E33B5F">
    <w:pPr>
      <w:pStyle w:val="Header"/>
      <w:rPr>
        <w:rFonts w:ascii="Calibri Light" w:hAnsi="Calibri Light" w:cs="Calibri Light"/>
        <w:sz w:val="15"/>
        <w:szCs w:val="15"/>
      </w:rPr>
    </w:pPr>
    <w:sdt>
      <w:sdtPr>
        <w:rPr>
          <w:rFonts w:ascii="Calibri Light" w:hAnsi="Calibri Light" w:cs="Calibri Light"/>
          <w:sz w:val="15"/>
          <w:szCs w:val="15"/>
        </w:rPr>
        <w:alias w:val="Title"/>
        <w:id w:val="-130020643"/>
        <w:dataBinding w:prefixMappings="xmlns:ns0='http://purl.org/dc/elements/1.1/' xmlns:ns1='http://schemas.openxmlformats.org/package/2006/metadata/core-properties' " w:xpath="/ns1:coreProperties[1]/ns0:title[1]" w:storeItemID="{6C3C8BC8-F283-45AE-878A-BAB7291924A1}"/>
        <w:text/>
      </w:sdtPr>
      <w:sdtEndPr/>
      <w:sdtContent>
        <w:r w:rsidR="00105B67">
          <w:rPr>
            <w:rFonts w:ascii="Calibri Light" w:hAnsi="Calibri Light" w:cs="Calibri Light"/>
            <w:sz w:val="15"/>
            <w:szCs w:val="15"/>
          </w:rPr>
          <w:t>Attachment B Regulatory Impact Statement_Private Security Regulations 2025.docx</w:t>
        </w:r>
      </w:sdtContent>
    </w:sdt>
  </w:p>
  <w:p w14:paraId="51EE6403" w14:textId="1B13C919" w:rsidR="00E33B5F" w:rsidRDefault="00E33B5F" w:rsidP="00E33B5F">
    <w:pPr>
      <w:pStyle w:val="Header"/>
    </w:pPr>
  </w:p>
  <w:p w14:paraId="417F964A" w14:textId="3C60EE39" w:rsidR="004F5755" w:rsidRDefault="004F5755" w:rsidP="004F5755">
    <w:pPr>
      <w:pStyle w:val="Header"/>
    </w:pPr>
  </w:p>
  <w:p w14:paraId="56B56E7F" w14:textId="77777777" w:rsidR="00137F51" w:rsidRPr="00E33B5F" w:rsidRDefault="00137F51" w:rsidP="00E33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649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CAA2C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3643CF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A6A322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2202889"/>
    <w:multiLevelType w:val="hybridMultilevel"/>
    <w:tmpl w:val="10480AD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2DB2827"/>
    <w:multiLevelType w:val="multilevel"/>
    <w:tmpl w:val="E0023528"/>
    <w:lvl w:ilvl="0">
      <w:start w:val="1"/>
      <w:numFmt w:val="upperLetter"/>
      <w:pStyle w:val="AlphabeticList"/>
      <w:lvlText w:val="%1"/>
      <w:lvlJc w:val="left"/>
      <w:pPr>
        <w:ind w:left="340" w:hanging="340"/>
      </w:pPr>
      <w:rPr>
        <w:rFonts w:hint="default"/>
      </w:rPr>
    </w:lvl>
    <w:lvl w:ilvl="1">
      <w:start w:val="1"/>
      <w:numFmt w:val="lowerLetter"/>
      <w:pStyle w:val="AlphabeticList2"/>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6" w15:restartNumberingAfterBreak="0">
    <w:nsid w:val="04CC34CD"/>
    <w:multiLevelType w:val="hybridMultilevel"/>
    <w:tmpl w:val="C77A1B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7450FEA"/>
    <w:multiLevelType w:val="hybridMultilevel"/>
    <w:tmpl w:val="B22A7242"/>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BE805CD"/>
    <w:multiLevelType w:val="multilevel"/>
    <w:tmpl w:val="6D2E1BCC"/>
    <w:lvl w:ilvl="0">
      <w:start w:val="1"/>
      <w:numFmt w:val="upperLetter"/>
      <w:pStyle w:val="Appendixhead1"/>
      <w:lvlText w:val="Appendix %1"/>
      <w:lvlJc w:val="left"/>
      <w:pPr>
        <w:ind w:left="3856" w:hanging="3856"/>
      </w:pPr>
    </w:lvl>
    <w:lvl w:ilvl="1">
      <w:start w:val="1"/>
      <w:numFmt w:val="decimal"/>
      <w:pStyle w:val="Appendixhead2"/>
      <w:lvlText w:val="%1.%2."/>
      <w:lvlJc w:val="left"/>
      <w:pPr>
        <w:ind w:left="792" w:hanging="792"/>
      </w:pPr>
      <w:rPr>
        <w:rFonts w:hint="default"/>
      </w:rPr>
    </w:lvl>
    <w:lvl w:ilvl="2">
      <w:start w:val="1"/>
      <w:numFmt w:val="decimal"/>
      <w:pStyle w:val="Appendixhead3"/>
      <w:lvlText w:val="%1.%2.%3."/>
      <w:lvlJc w:val="left"/>
      <w:pPr>
        <w:ind w:left="794" w:hanging="794"/>
      </w:pPr>
      <w:rPr>
        <w:rFonts w:hint="default"/>
      </w:rPr>
    </w:lvl>
    <w:lvl w:ilvl="3">
      <w:start w:val="1"/>
      <w:numFmt w:val="decimal"/>
      <w:pStyle w:val="Appendixhead4"/>
      <w:lvlText w:val="%1.%2.%3.%4."/>
      <w:lvlJc w:val="left"/>
      <w:pPr>
        <w:ind w:left="794" w:hanging="794"/>
      </w:pPr>
      <w:rPr>
        <w:rFonts w:hint="default"/>
      </w:rPr>
    </w:lvl>
    <w:lvl w:ilvl="4">
      <w:start w:val="1"/>
      <w:numFmt w:val="decimal"/>
      <w:lvlText w:val="%1.%2.%3.%4.%5."/>
      <w:lvlJc w:val="left"/>
      <w:pPr>
        <w:ind w:left="1134" w:hanging="1134"/>
      </w:pPr>
      <w:rPr>
        <w:rFonts w:hint="default"/>
        <w:color w:val="44546A" w:themeColor="text2"/>
        <w:sz w:val="22"/>
      </w:rPr>
    </w:lvl>
    <w:lvl w:ilvl="5">
      <w:start w:val="1"/>
      <w:numFmt w:val="decimal"/>
      <w:lvlText w:val="%1.%2.%3.%4.%5.%6."/>
      <w:lvlJc w:val="left"/>
      <w:pPr>
        <w:ind w:left="1701" w:hanging="1701"/>
      </w:pPr>
      <w:rPr>
        <w:rFonts w:hint="default"/>
      </w:rPr>
    </w:lvl>
    <w:lvl w:ilvl="6">
      <w:start w:val="1"/>
      <w:numFmt w:val="decimal"/>
      <w:lvlRestart w:val="1"/>
      <w:pStyle w:val="AppendixTableCaption"/>
      <w:suff w:val="nothing"/>
      <w:lvlText w:val="Table %1.%7"/>
      <w:lvlJc w:val="left"/>
      <w:pPr>
        <w:ind w:left="851" w:firstLine="0"/>
      </w:pPr>
      <w:rPr>
        <w:rFonts w:hint="default"/>
      </w:rPr>
    </w:lvl>
    <w:lvl w:ilvl="7">
      <w:start w:val="1"/>
      <w:numFmt w:val="decimal"/>
      <w:lvlRestart w:val="1"/>
      <w:pStyle w:val="AppendixChartCaption"/>
      <w:suff w:val="nothing"/>
      <w:lvlText w:val="Chart %1.%8"/>
      <w:lvlJc w:val="left"/>
      <w:pPr>
        <w:ind w:left="0" w:firstLine="0"/>
      </w:pPr>
      <w:rPr>
        <w:rFonts w:hint="default"/>
      </w:rPr>
    </w:lvl>
    <w:lvl w:ilvl="8">
      <w:start w:val="1"/>
      <w:numFmt w:val="decimal"/>
      <w:lvlRestart w:val="1"/>
      <w:pStyle w:val="AppendixFigureCaption"/>
      <w:suff w:val="nothing"/>
      <w:lvlText w:val="Figure %1.%9"/>
      <w:lvlJc w:val="left"/>
      <w:pPr>
        <w:ind w:left="0" w:firstLine="0"/>
      </w:pPr>
      <w:rPr>
        <w:rFonts w:hint="default"/>
      </w:rPr>
    </w:lvl>
  </w:abstractNum>
  <w:abstractNum w:abstractNumId="9" w15:restartNumberingAfterBreak="0">
    <w:nsid w:val="0FDC1104"/>
    <w:multiLevelType w:val="hybridMultilevel"/>
    <w:tmpl w:val="D15C4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0A837F3"/>
    <w:multiLevelType w:val="hybridMultilevel"/>
    <w:tmpl w:val="6AC21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79747A"/>
    <w:multiLevelType w:val="multilevel"/>
    <w:tmpl w:val="4C584C80"/>
    <w:lvl w:ilvl="0">
      <w:start w:val="1"/>
      <w:numFmt w:val="none"/>
      <w:pStyle w:val="ExecutiveHeading"/>
      <w:suff w:val="nothing"/>
      <w:lvlText w:val=""/>
      <w:lvlJc w:val="left"/>
      <w:pPr>
        <w:ind w:left="0" w:firstLine="0"/>
      </w:pPr>
      <w:rPr>
        <w:rFonts w:hint="default"/>
      </w:rPr>
    </w:lvl>
    <w:lvl w:ilvl="1">
      <w:start w:val="1"/>
      <w:numFmt w:val="lowerRoman"/>
      <w:lvlRestart w:val="0"/>
      <w:pStyle w:val="ExecTableCaption"/>
      <w:suff w:val="nothing"/>
      <w:lvlText w:val="Table %2"/>
      <w:lvlJc w:val="left"/>
      <w:pPr>
        <w:ind w:left="5955" w:firstLine="0"/>
      </w:pPr>
      <w:rPr>
        <w:rFonts w:hint="default"/>
      </w:rPr>
    </w:lvl>
    <w:lvl w:ilvl="2">
      <w:start w:val="1"/>
      <w:numFmt w:val="lowerRoman"/>
      <w:lvlRestart w:val="0"/>
      <w:pStyle w:val="ExecChartCaption"/>
      <w:suff w:val="nothing"/>
      <w:lvlText w:val="Chart %3"/>
      <w:lvlJc w:val="left"/>
      <w:pPr>
        <w:ind w:left="0" w:firstLine="0"/>
      </w:pPr>
      <w:rPr>
        <w:rFonts w:hint="default"/>
      </w:rPr>
    </w:lvl>
    <w:lvl w:ilvl="3">
      <w:start w:val="1"/>
      <w:numFmt w:val="lowerRoman"/>
      <w:lvlRestart w:val="0"/>
      <w:pStyle w:val="ExecFigureCaption"/>
      <w:suff w:val="nothing"/>
      <w:lvlText w:val="Figure %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75A050B"/>
    <w:multiLevelType w:val="hybridMultilevel"/>
    <w:tmpl w:val="757A2FEE"/>
    <w:lvl w:ilvl="0" w:tplc="0C090001">
      <w:start w:val="1"/>
      <w:numFmt w:val="bullet"/>
      <w:lvlText w:val=""/>
      <w:lvlJc w:val="left"/>
      <w:pPr>
        <w:ind w:left="777" w:hanging="360"/>
      </w:pPr>
      <w:rPr>
        <w:rFonts w:ascii="Symbol" w:hAnsi="Symbo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3" w15:restartNumberingAfterBreak="0">
    <w:nsid w:val="18E0104F"/>
    <w:multiLevelType w:val="multilevel"/>
    <w:tmpl w:val="57629E32"/>
    <w:lvl w:ilvl="0">
      <w:start w:val="1"/>
      <w:numFmt w:val="bullet"/>
      <w:pStyle w:val="ListBullet3"/>
      <w:lvlText w:val=""/>
      <w:lvlJc w:val="left"/>
      <w:pPr>
        <w:ind w:left="1021" w:hanging="341"/>
      </w:pPr>
      <w:rPr>
        <w:rFonts w:ascii="Symbol" w:hAnsi="Symbol" w:hint="default"/>
      </w:rPr>
    </w:lvl>
    <w:lvl w:ilvl="1">
      <w:start w:val="1"/>
      <w:numFmt w:val="bullet"/>
      <w:lvlText w:val="–"/>
      <w:lvlJc w:val="left"/>
      <w:pPr>
        <w:ind w:left="1361" w:hanging="341"/>
      </w:pPr>
      <w:rPr>
        <w:rFonts w:ascii="Verdana" w:hAnsi="Verdana" w:hint="default"/>
      </w:rPr>
    </w:lvl>
    <w:lvl w:ilvl="2">
      <w:start w:val="1"/>
      <w:numFmt w:val="bullet"/>
      <w:lvlText w:val=""/>
      <w:lvlJc w:val="left"/>
      <w:pPr>
        <w:ind w:left="1701" w:hanging="341"/>
      </w:pPr>
      <w:rPr>
        <w:rFonts w:ascii="Symbol" w:hAnsi="Symbol" w:hint="default"/>
      </w:rPr>
    </w:lvl>
    <w:lvl w:ilvl="3">
      <w:start w:val="1"/>
      <w:numFmt w:val="bullet"/>
      <w:lvlText w:val="–"/>
      <w:lvlJc w:val="left"/>
      <w:pPr>
        <w:ind w:left="2041" w:hanging="341"/>
      </w:pPr>
      <w:rPr>
        <w:rFonts w:ascii="Verdana" w:hAnsi="Verdana" w:hint="default"/>
      </w:rPr>
    </w:lvl>
    <w:lvl w:ilvl="4">
      <w:start w:val="1"/>
      <w:numFmt w:val="bullet"/>
      <w:lvlText w:val=""/>
      <w:lvlJc w:val="left"/>
      <w:pPr>
        <w:ind w:left="2381" w:hanging="341"/>
      </w:pPr>
      <w:rPr>
        <w:rFonts w:ascii="Symbol" w:hAnsi="Symbol" w:hint="default"/>
      </w:rPr>
    </w:lvl>
    <w:lvl w:ilvl="5">
      <w:start w:val="1"/>
      <w:numFmt w:val="bullet"/>
      <w:lvlText w:val="–"/>
      <w:lvlJc w:val="left"/>
      <w:pPr>
        <w:ind w:left="2721" w:hanging="341"/>
      </w:pPr>
      <w:rPr>
        <w:rFonts w:ascii="Verdana" w:hAnsi="Verdana" w:hint="default"/>
      </w:rPr>
    </w:lvl>
    <w:lvl w:ilvl="6">
      <w:start w:val="1"/>
      <w:numFmt w:val="bullet"/>
      <w:lvlText w:val=""/>
      <w:lvlJc w:val="left"/>
      <w:pPr>
        <w:ind w:left="3061" w:hanging="341"/>
      </w:pPr>
      <w:rPr>
        <w:rFonts w:ascii="Symbol" w:hAnsi="Symbol" w:hint="default"/>
      </w:rPr>
    </w:lvl>
    <w:lvl w:ilvl="7">
      <w:start w:val="1"/>
      <w:numFmt w:val="bullet"/>
      <w:lvlText w:val="–"/>
      <w:lvlJc w:val="left"/>
      <w:pPr>
        <w:ind w:left="3401" w:hanging="341"/>
      </w:pPr>
      <w:rPr>
        <w:rFonts w:ascii="Verdana" w:hAnsi="Verdana" w:hint="default"/>
      </w:rPr>
    </w:lvl>
    <w:lvl w:ilvl="8">
      <w:start w:val="1"/>
      <w:numFmt w:val="bullet"/>
      <w:lvlText w:val=""/>
      <w:lvlJc w:val="left"/>
      <w:pPr>
        <w:ind w:left="3741" w:hanging="341"/>
      </w:pPr>
      <w:rPr>
        <w:rFonts w:ascii="Symbol" w:hAnsi="Symbol" w:hint="default"/>
      </w:rPr>
    </w:lvl>
  </w:abstractNum>
  <w:abstractNum w:abstractNumId="14" w15:restartNumberingAfterBreak="0">
    <w:nsid w:val="19CE2217"/>
    <w:multiLevelType w:val="hybridMultilevel"/>
    <w:tmpl w:val="EA765214"/>
    <w:lvl w:ilvl="0" w:tplc="2D30EE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EEC7149"/>
    <w:multiLevelType w:val="hybridMultilevel"/>
    <w:tmpl w:val="87DA1A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BC05F4"/>
    <w:multiLevelType w:val="hybridMultilevel"/>
    <w:tmpl w:val="9CDAC83A"/>
    <w:lvl w:ilvl="0" w:tplc="56F8EB1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BE4256"/>
    <w:multiLevelType w:val="hybridMultilevel"/>
    <w:tmpl w:val="5030B918"/>
    <w:lvl w:ilvl="0" w:tplc="C40ECA3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F44AD3"/>
    <w:multiLevelType w:val="hybridMultilevel"/>
    <w:tmpl w:val="71A40D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007CD9"/>
    <w:multiLevelType w:val="hybridMultilevel"/>
    <w:tmpl w:val="A86CA2C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0" w15:restartNumberingAfterBreak="0">
    <w:nsid w:val="2B9F302D"/>
    <w:multiLevelType w:val="multilevel"/>
    <w:tmpl w:val="58063B50"/>
    <w:lvl w:ilvl="0">
      <w:start w:val="1"/>
      <w:numFmt w:val="bullet"/>
      <w:pStyle w:val="BulletedText1"/>
      <w:lvlText w:val=""/>
      <w:lvlJc w:val="left"/>
      <w:pPr>
        <w:ind w:left="227" w:hanging="227"/>
      </w:pPr>
      <w:rPr>
        <w:rFonts w:ascii="Wingdings" w:hAnsi="Wingdings" w:hint="default"/>
        <w:color w:val="44546A" w:themeColor="text2"/>
        <w:sz w:val="18"/>
      </w:rPr>
    </w:lvl>
    <w:lvl w:ilvl="1">
      <w:start w:val="1"/>
      <w:numFmt w:val="bullet"/>
      <w:pStyle w:val="BulletedText2"/>
      <w:lvlText w:val="–"/>
      <w:lvlJc w:val="left"/>
      <w:pPr>
        <w:ind w:left="454" w:hanging="227"/>
      </w:pPr>
      <w:rPr>
        <w:rFonts w:ascii="Verdana" w:hAnsi="Verdana" w:hint="default"/>
      </w:rPr>
    </w:lvl>
    <w:lvl w:ilvl="2">
      <w:start w:val="1"/>
      <w:numFmt w:val="bullet"/>
      <w:lvlText w:val=""/>
      <w:lvlJc w:val="left"/>
      <w:pPr>
        <w:ind w:left="681" w:hanging="227"/>
      </w:pPr>
      <w:rPr>
        <w:rFonts w:ascii="Wingdings" w:hAnsi="Wingdings" w:hint="default"/>
        <w:color w:val="44546A" w:themeColor="text2"/>
      </w:rPr>
    </w:lvl>
    <w:lvl w:ilvl="3">
      <w:start w:val="1"/>
      <w:numFmt w:val="bullet"/>
      <w:lvlText w:val="–"/>
      <w:lvlJc w:val="left"/>
      <w:pPr>
        <w:ind w:left="908" w:hanging="227"/>
      </w:pPr>
      <w:rPr>
        <w:rFonts w:ascii="Gotham Bold" w:hAnsi="Gotham Bold" w:hint="default"/>
        <w:color w:val="64645A"/>
      </w:rPr>
    </w:lvl>
    <w:lvl w:ilvl="4">
      <w:start w:val="1"/>
      <w:numFmt w:val="bullet"/>
      <w:lvlText w:val=""/>
      <w:lvlJc w:val="left"/>
      <w:pPr>
        <w:ind w:left="1135" w:hanging="227"/>
      </w:pPr>
      <w:rPr>
        <w:rFonts w:ascii="Wingdings" w:hAnsi="Wingdings" w:hint="default"/>
        <w:color w:val="44546A" w:themeColor="text2"/>
      </w:rPr>
    </w:lvl>
    <w:lvl w:ilvl="5">
      <w:start w:val="1"/>
      <w:numFmt w:val="bullet"/>
      <w:lvlText w:val="–"/>
      <w:lvlJc w:val="left"/>
      <w:pPr>
        <w:ind w:left="1362" w:hanging="227"/>
      </w:pPr>
      <w:rPr>
        <w:rFonts w:ascii="Gotham Bold" w:hAnsi="Gotham Bold" w:hint="default"/>
        <w:color w:val="64645A"/>
      </w:rPr>
    </w:lvl>
    <w:lvl w:ilvl="6">
      <w:start w:val="1"/>
      <w:numFmt w:val="bullet"/>
      <w:lvlText w:val=""/>
      <w:lvlJc w:val="left"/>
      <w:pPr>
        <w:ind w:left="1589" w:hanging="227"/>
      </w:pPr>
      <w:rPr>
        <w:rFonts w:ascii="Wingdings" w:hAnsi="Wingdings" w:hint="default"/>
        <w:color w:val="44546A" w:themeColor="text2"/>
      </w:rPr>
    </w:lvl>
    <w:lvl w:ilvl="7">
      <w:start w:val="1"/>
      <w:numFmt w:val="bullet"/>
      <w:lvlText w:val="–"/>
      <w:lvlJc w:val="left"/>
      <w:pPr>
        <w:ind w:left="1816" w:hanging="227"/>
      </w:pPr>
      <w:rPr>
        <w:rFonts w:ascii="Gotham Bold" w:hAnsi="Gotham Bold" w:hint="default"/>
        <w:color w:val="64645A"/>
      </w:rPr>
    </w:lvl>
    <w:lvl w:ilvl="8">
      <w:start w:val="1"/>
      <w:numFmt w:val="bullet"/>
      <w:lvlText w:val=""/>
      <w:lvlJc w:val="left"/>
      <w:pPr>
        <w:ind w:left="2043" w:hanging="227"/>
      </w:pPr>
      <w:rPr>
        <w:rFonts w:ascii="Wingdings" w:hAnsi="Wingdings" w:hint="default"/>
        <w:color w:val="44546A" w:themeColor="text2"/>
      </w:rPr>
    </w:lvl>
  </w:abstractNum>
  <w:abstractNum w:abstractNumId="21" w15:restartNumberingAfterBreak="0">
    <w:nsid w:val="2BC26D65"/>
    <w:multiLevelType w:val="hybridMultilevel"/>
    <w:tmpl w:val="0512D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FF9169E"/>
    <w:multiLevelType w:val="hybridMultilevel"/>
    <w:tmpl w:val="B7468058"/>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3" w15:restartNumberingAfterBreak="0">
    <w:nsid w:val="31BE08CD"/>
    <w:multiLevelType w:val="hybridMultilevel"/>
    <w:tmpl w:val="924860C6"/>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4" w15:restartNumberingAfterBreak="0">
    <w:nsid w:val="337F5C65"/>
    <w:multiLevelType w:val="hybridMultilevel"/>
    <w:tmpl w:val="FFE6BBA4"/>
    <w:lvl w:ilvl="0" w:tplc="0C090001">
      <w:start w:val="1"/>
      <w:numFmt w:val="bullet"/>
      <w:lvlText w:val=""/>
      <w:lvlJc w:val="left"/>
      <w:pPr>
        <w:ind w:left="360" w:hanging="360"/>
      </w:pPr>
      <w:rPr>
        <w:rFonts w:ascii="Symbol" w:hAnsi="Symbol" w:hint="default"/>
      </w:rPr>
    </w:lvl>
    <w:lvl w:ilvl="1" w:tplc="C02AA5F4">
      <w:start w:val="1"/>
      <w:numFmt w:val="bullet"/>
      <w:lvlText w:val="-"/>
      <w:lvlJc w:val="left"/>
      <w:pPr>
        <w:ind w:left="72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7416DD8"/>
    <w:multiLevelType w:val="hybridMultilevel"/>
    <w:tmpl w:val="8A068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9FD664A"/>
    <w:multiLevelType w:val="hybridMultilevel"/>
    <w:tmpl w:val="DA78C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A6B663C"/>
    <w:multiLevelType w:val="hybridMultilevel"/>
    <w:tmpl w:val="C144B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E661664"/>
    <w:multiLevelType w:val="hybridMultilevel"/>
    <w:tmpl w:val="46F81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FAD01D2"/>
    <w:multiLevelType w:val="multilevel"/>
    <w:tmpl w:val="11D45350"/>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247" w:hanging="1247"/>
      </w:pPr>
      <w:rPr>
        <w:rFonts w:hint="default"/>
      </w:rPr>
    </w:lvl>
    <w:lvl w:ilvl="6">
      <w:start w:val="1"/>
      <w:numFmt w:val="decimal"/>
      <w:lvlRestart w:val="1"/>
      <w:suff w:val="nothing"/>
      <w:lvlText w:val="Table %1.%7"/>
      <w:lvlJc w:val="left"/>
      <w:pPr>
        <w:ind w:left="709" w:firstLine="0"/>
      </w:p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30" w15:restartNumberingAfterBreak="0">
    <w:nsid w:val="405F4842"/>
    <w:multiLevelType w:val="multilevel"/>
    <w:tmpl w:val="281C291A"/>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1" w15:restartNumberingAfterBreak="0">
    <w:nsid w:val="451578A7"/>
    <w:multiLevelType w:val="multilevel"/>
    <w:tmpl w:val="1356211C"/>
    <w:lvl w:ilvl="0">
      <w:start w:val="1"/>
      <w:numFmt w:val="bullet"/>
      <w:pStyle w:val="List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32" w15:restartNumberingAfterBreak="0">
    <w:nsid w:val="457C67BE"/>
    <w:multiLevelType w:val="hybridMultilevel"/>
    <w:tmpl w:val="9A7E6C42"/>
    <w:lvl w:ilvl="0" w:tplc="2E444D5E">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7E6EBC"/>
    <w:multiLevelType w:val="multilevel"/>
    <w:tmpl w:val="7B98EE74"/>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9627C40"/>
    <w:multiLevelType w:val="hybridMultilevel"/>
    <w:tmpl w:val="D936A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DCE2E8E"/>
    <w:multiLevelType w:val="multilevel"/>
    <w:tmpl w:val="3D485516"/>
    <w:name w:val="BulletList"/>
    <w:lvl w:ilvl="0">
      <w:numFmt w:val="none"/>
      <w:lvlText w:val=""/>
      <w:lvlJc w:val="left"/>
      <w:pPr>
        <w:tabs>
          <w:tab w:val="num" w:pos="360"/>
        </w:tabs>
      </w:pPr>
    </w:lvl>
    <w:lvl w:ilvl="1">
      <w:start w:val="1"/>
      <w:numFmt w:val="bullet"/>
      <w:lvlRestart w:val="0"/>
      <w:lvlText w:val=""/>
      <w:lvlJc w:val="left"/>
      <w:pPr>
        <w:tabs>
          <w:tab w:val="num" w:pos="1134"/>
        </w:tabs>
        <w:ind w:left="1134" w:hanging="567"/>
      </w:pPr>
      <w:rPr>
        <w:rFonts w:ascii="Wingdings 3" w:hAnsi="Wingdings 3" w:hint="default"/>
        <w:b/>
        <w:i w:val="0"/>
        <w:color w:val="931638"/>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F872625"/>
    <w:multiLevelType w:val="hybridMultilevel"/>
    <w:tmpl w:val="077EC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0AD3281"/>
    <w:multiLevelType w:val="hybridMultilevel"/>
    <w:tmpl w:val="DC28A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41A218D"/>
    <w:multiLevelType w:val="hybridMultilevel"/>
    <w:tmpl w:val="95B6FC9E"/>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9" w15:restartNumberingAfterBreak="0">
    <w:nsid w:val="5527728B"/>
    <w:multiLevelType w:val="hybridMultilevel"/>
    <w:tmpl w:val="201AC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C4765A4"/>
    <w:multiLevelType w:val="hybridMultilevel"/>
    <w:tmpl w:val="2BD04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D3344B1"/>
    <w:multiLevelType w:val="hybridMultilevel"/>
    <w:tmpl w:val="1040A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04217CC"/>
    <w:multiLevelType w:val="hybridMultilevel"/>
    <w:tmpl w:val="F1B2C706"/>
    <w:lvl w:ilvl="0" w:tplc="6D781E6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09152D5"/>
    <w:multiLevelType w:val="hybridMultilevel"/>
    <w:tmpl w:val="95E85276"/>
    <w:lvl w:ilvl="0" w:tplc="0D3636FA">
      <w:start w:val="1"/>
      <w:numFmt w:val="decimal"/>
      <w:pStyle w:val="Tablenumbered"/>
      <w:lvlText w:val="%1."/>
      <w:lvlJc w:val="left"/>
      <w:pPr>
        <w:ind w:left="720" w:hanging="360"/>
      </w:pPr>
    </w:lvl>
    <w:lvl w:ilvl="1" w:tplc="7996F936" w:tentative="1">
      <w:start w:val="1"/>
      <w:numFmt w:val="lowerLetter"/>
      <w:lvlText w:val="%2."/>
      <w:lvlJc w:val="left"/>
      <w:pPr>
        <w:ind w:left="1440" w:hanging="360"/>
      </w:pPr>
    </w:lvl>
    <w:lvl w:ilvl="2" w:tplc="0E6C94CC" w:tentative="1">
      <w:start w:val="1"/>
      <w:numFmt w:val="lowerRoman"/>
      <w:lvlText w:val="%3."/>
      <w:lvlJc w:val="right"/>
      <w:pPr>
        <w:ind w:left="2160" w:hanging="180"/>
      </w:pPr>
    </w:lvl>
    <w:lvl w:ilvl="3" w:tplc="00DA055E" w:tentative="1">
      <w:start w:val="1"/>
      <w:numFmt w:val="decimal"/>
      <w:lvlText w:val="%4."/>
      <w:lvlJc w:val="left"/>
      <w:pPr>
        <w:ind w:left="2880" w:hanging="360"/>
      </w:pPr>
    </w:lvl>
    <w:lvl w:ilvl="4" w:tplc="5BE0FF6A" w:tentative="1">
      <w:start w:val="1"/>
      <w:numFmt w:val="lowerLetter"/>
      <w:lvlText w:val="%5."/>
      <w:lvlJc w:val="left"/>
      <w:pPr>
        <w:ind w:left="3600" w:hanging="360"/>
      </w:pPr>
    </w:lvl>
    <w:lvl w:ilvl="5" w:tplc="0AE2F662" w:tentative="1">
      <w:start w:val="1"/>
      <w:numFmt w:val="lowerRoman"/>
      <w:lvlText w:val="%6."/>
      <w:lvlJc w:val="right"/>
      <w:pPr>
        <w:ind w:left="4320" w:hanging="180"/>
      </w:pPr>
    </w:lvl>
    <w:lvl w:ilvl="6" w:tplc="BB2E865E" w:tentative="1">
      <w:start w:val="1"/>
      <w:numFmt w:val="decimal"/>
      <w:lvlText w:val="%7."/>
      <w:lvlJc w:val="left"/>
      <w:pPr>
        <w:ind w:left="5040" w:hanging="360"/>
      </w:pPr>
    </w:lvl>
    <w:lvl w:ilvl="7" w:tplc="23A4B1A6" w:tentative="1">
      <w:start w:val="1"/>
      <w:numFmt w:val="lowerLetter"/>
      <w:lvlText w:val="%8."/>
      <w:lvlJc w:val="left"/>
      <w:pPr>
        <w:ind w:left="5760" w:hanging="360"/>
      </w:pPr>
    </w:lvl>
    <w:lvl w:ilvl="8" w:tplc="C82247A4" w:tentative="1">
      <w:start w:val="1"/>
      <w:numFmt w:val="lowerRoman"/>
      <w:lvlText w:val="%9."/>
      <w:lvlJc w:val="right"/>
      <w:pPr>
        <w:ind w:left="6480" w:hanging="180"/>
      </w:pPr>
    </w:lvl>
  </w:abstractNum>
  <w:abstractNum w:abstractNumId="44" w15:restartNumberingAfterBreak="0">
    <w:nsid w:val="62F46508"/>
    <w:multiLevelType w:val="multilevel"/>
    <w:tmpl w:val="ABF0BB72"/>
    <w:lvl w:ilvl="0">
      <w:start w:val="1"/>
      <w:numFmt w:val="bullet"/>
      <w:pStyle w:val="ListBullet2"/>
      <w:lvlText w:val="–"/>
      <w:lvlJc w:val="left"/>
      <w:pPr>
        <w:ind w:left="680" w:hanging="340"/>
      </w:pPr>
      <w:rPr>
        <w:rFonts w:ascii="Verdana" w:hAnsi="Verdana"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Verdana" w:hAnsi="Verdana" w:hint="default"/>
      </w:rPr>
    </w:lvl>
    <w:lvl w:ilvl="3">
      <w:start w:val="1"/>
      <w:numFmt w:val="bullet"/>
      <w:lvlText w:val=""/>
      <w:lvlJc w:val="left"/>
      <w:pPr>
        <w:ind w:left="1700" w:hanging="340"/>
      </w:pPr>
      <w:rPr>
        <w:rFonts w:ascii="Symbol" w:hAnsi="Symbol" w:hint="default"/>
        <w:color w:val="auto"/>
      </w:rPr>
    </w:lvl>
    <w:lvl w:ilvl="4">
      <w:start w:val="1"/>
      <w:numFmt w:val="bullet"/>
      <w:lvlText w:val="–"/>
      <w:lvlJc w:val="left"/>
      <w:pPr>
        <w:ind w:left="2040" w:hanging="340"/>
      </w:pPr>
      <w:rPr>
        <w:rFonts w:ascii="Verdana" w:hAnsi="Verdana" w:hint="default"/>
      </w:rPr>
    </w:lvl>
    <w:lvl w:ilvl="5">
      <w:start w:val="1"/>
      <w:numFmt w:val="bullet"/>
      <w:lvlText w:val=""/>
      <w:lvlJc w:val="left"/>
      <w:pPr>
        <w:ind w:left="2380" w:hanging="340"/>
      </w:pPr>
      <w:rPr>
        <w:rFonts w:ascii="Symbol" w:hAnsi="Symbol" w:hint="default"/>
      </w:rPr>
    </w:lvl>
    <w:lvl w:ilvl="6">
      <w:start w:val="1"/>
      <w:numFmt w:val="bullet"/>
      <w:lvlText w:val="–"/>
      <w:lvlJc w:val="left"/>
      <w:pPr>
        <w:ind w:left="2720" w:hanging="340"/>
      </w:pPr>
      <w:rPr>
        <w:rFonts w:ascii="Verdana" w:hAnsi="Verdana" w:hint="default"/>
      </w:rPr>
    </w:lvl>
    <w:lvl w:ilvl="7">
      <w:start w:val="1"/>
      <w:numFmt w:val="bullet"/>
      <w:lvlText w:val=""/>
      <w:lvlJc w:val="left"/>
      <w:pPr>
        <w:ind w:left="3060" w:hanging="340"/>
      </w:pPr>
      <w:rPr>
        <w:rFonts w:ascii="Symbol" w:hAnsi="Symbol" w:hint="default"/>
      </w:rPr>
    </w:lvl>
    <w:lvl w:ilvl="8">
      <w:start w:val="1"/>
      <w:numFmt w:val="bullet"/>
      <w:lvlText w:val="–"/>
      <w:lvlJc w:val="left"/>
      <w:pPr>
        <w:ind w:left="3400" w:hanging="340"/>
      </w:pPr>
      <w:rPr>
        <w:rFonts w:ascii="Verdana" w:hAnsi="Verdana" w:hint="default"/>
      </w:rPr>
    </w:lvl>
  </w:abstractNum>
  <w:abstractNum w:abstractNumId="45" w15:restartNumberingAfterBreak="0">
    <w:nsid w:val="64AF633E"/>
    <w:multiLevelType w:val="hybridMultilevel"/>
    <w:tmpl w:val="233AD32A"/>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46" w15:restartNumberingAfterBreak="0">
    <w:nsid w:val="6611636E"/>
    <w:multiLevelType w:val="hybridMultilevel"/>
    <w:tmpl w:val="4920B436"/>
    <w:lvl w:ilvl="0" w:tplc="C02AA5F4">
      <w:start w:val="1"/>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DA94343"/>
    <w:multiLevelType w:val="hybridMultilevel"/>
    <w:tmpl w:val="6AD86D5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8" w15:restartNumberingAfterBreak="0">
    <w:nsid w:val="6E904978"/>
    <w:multiLevelType w:val="hybridMultilevel"/>
    <w:tmpl w:val="AB768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20A4091"/>
    <w:multiLevelType w:val="hybridMultilevel"/>
    <w:tmpl w:val="533A4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419306C"/>
    <w:multiLevelType w:val="hybridMultilevel"/>
    <w:tmpl w:val="A972F08A"/>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51" w15:restartNumberingAfterBreak="0">
    <w:nsid w:val="74F067A9"/>
    <w:multiLevelType w:val="hybridMultilevel"/>
    <w:tmpl w:val="28780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58703DC"/>
    <w:multiLevelType w:val="hybridMultilevel"/>
    <w:tmpl w:val="93DE24E6"/>
    <w:lvl w:ilvl="0" w:tplc="15D4AD0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82445AF"/>
    <w:multiLevelType w:val="hybridMultilevel"/>
    <w:tmpl w:val="CEBC964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B886502"/>
    <w:multiLevelType w:val="hybridMultilevel"/>
    <w:tmpl w:val="7C6489BA"/>
    <w:lvl w:ilvl="0" w:tplc="0C090001">
      <w:start w:val="1"/>
      <w:numFmt w:val="bullet"/>
      <w:lvlText w:val=""/>
      <w:lvlJc w:val="left"/>
      <w:pPr>
        <w:ind w:left="360" w:hanging="360"/>
      </w:pPr>
      <w:rPr>
        <w:rFonts w:ascii="Symbol" w:hAnsi="Symbol" w:hint="default"/>
      </w:rPr>
    </w:lvl>
    <w:lvl w:ilvl="1" w:tplc="C02AA5F4">
      <w:start w:val="1"/>
      <w:numFmt w:val="bullet"/>
      <w:lvlText w:val="-"/>
      <w:lvlJc w:val="left"/>
      <w:pPr>
        <w:ind w:left="720" w:hanging="360"/>
      </w:pPr>
      <w:rPr>
        <w:rFonts w:ascii="Calibri Light" w:eastAsiaTheme="minorHAnsi"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C4961B0"/>
    <w:multiLevelType w:val="hybridMultilevel"/>
    <w:tmpl w:val="DF520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7A549C"/>
    <w:multiLevelType w:val="hybridMultilevel"/>
    <w:tmpl w:val="67AC9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EB122E2"/>
    <w:multiLevelType w:val="hybridMultilevel"/>
    <w:tmpl w:val="D6AC3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76989140">
    <w:abstractNumId w:val="20"/>
  </w:num>
  <w:num w:numId="2" w16cid:durableId="1251743231">
    <w:abstractNumId w:val="29"/>
  </w:num>
  <w:num w:numId="3" w16cid:durableId="296304573">
    <w:abstractNumId w:val="3"/>
  </w:num>
  <w:num w:numId="4" w16cid:durableId="2023435099">
    <w:abstractNumId w:val="2"/>
  </w:num>
  <w:num w:numId="5" w16cid:durableId="1885829750">
    <w:abstractNumId w:val="1"/>
  </w:num>
  <w:num w:numId="6" w16cid:durableId="349064708">
    <w:abstractNumId w:val="0"/>
  </w:num>
  <w:num w:numId="7" w16cid:durableId="780416045">
    <w:abstractNumId w:val="33"/>
  </w:num>
  <w:num w:numId="8" w16cid:durableId="940722144">
    <w:abstractNumId w:val="32"/>
  </w:num>
  <w:num w:numId="9" w16cid:durableId="469448076">
    <w:abstractNumId w:val="43"/>
  </w:num>
  <w:num w:numId="10" w16cid:durableId="584412515">
    <w:abstractNumId w:val="11"/>
  </w:num>
  <w:num w:numId="11" w16cid:durableId="490105023">
    <w:abstractNumId w:val="8"/>
  </w:num>
  <w:num w:numId="12" w16cid:durableId="30889510">
    <w:abstractNumId w:val="5"/>
  </w:num>
  <w:num w:numId="13" w16cid:durableId="448939368">
    <w:abstractNumId w:val="31"/>
  </w:num>
  <w:num w:numId="14" w16cid:durableId="1056855095">
    <w:abstractNumId w:val="30"/>
  </w:num>
  <w:num w:numId="15" w16cid:durableId="1962031967">
    <w:abstractNumId w:val="44"/>
  </w:num>
  <w:num w:numId="16" w16cid:durableId="66541112">
    <w:abstractNumId w:val="13"/>
  </w:num>
  <w:num w:numId="17" w16cid:durableId="941032443">
    <w:abstractNumId w:val="7"/>
  </w:num>
  <w:num w:numId="18" w16cid:durableId="133332207">
    <w:abstractNumId w:val="55"/>
  </w:num>
  <w:num w:numId="19" w16cid:durableId="932974868">
    <w:abstractNumId w:val="41"/>
  </w:num>
  <w:num w:numId="20" w16cid:durableId="1574702631">
    <w:abstractNumId w:val="9"/>
  </w:num>
  <w:num w:numId="21" w16cid:durableId="2063096732">
    <w:abstractNumId w:val="21"/>
  </w:num>
  <w:num w:numId="22" w16cid:durableId="1930655844">
    <w:abstractNumId w:val="48"/>
  </w:num>
  <w:num w:numId="23" w16cid:durableId="1252660813">
    <w:abstractNumId w:val="34"/>
  </w:num>
  <w:num w:numId="24" w16cid:durableId="136805944">
    <w:abstractNumId w:val="49"/>
  </w:num>
  <w:num w:numId="25" w16cid:durableId="2088531470">
    <w:abstractNumId w:val="28"/>
  </w:num>
  <w:num w:numId="26" w16cid:durableId="554511150">
    <w:abstractNumId w:val="26"/>
  </w:num>
  <w:num w:numId="27" w16cid:durableId="311830978">
    <w:abstractNumId w:val="19"/>
  </w:num>
  <w:num w:numId="28" w16cid:durableId="1649285058">
    <w:abstractNumId w:val="22"/>
  </w:num>
  <w:num w:numId="29" w16cid:durableId="686637062">
    <w:abstractNumId w:val="50"/>
  </w:num>
  <w:num w:numId="30" w16cid:durableId="1660618858">
    <w:abstractNumId w:val="57"/>
  </w:num>
  <w:num w:numId="31" w16cid:durableId="662926443">
    <w:abstractNumId w:val="56"/>
  </w:num>
  <w:num w:numId="32" w16cid:durableId="1628504695">
    <w:abstractNumId w:val="36"/>
  </w:num>
  <w:num w:numId="33" w16cid:durableId="1762021867">
    <w:abstractNumId w:val="40"/>
  </w:num>
  <w:num w:numId="34" w16cid:durableId="13640174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6506771">
    <w:abstractNumId w:val="46"/>
  </w:num>
  <w:num w:numId="36" w16cid:durableId="1566187911">
    <w:abstractNumId w:val="54"/>
  </w:num>
  <w:num w:numId="37" w16cid:durableId="259996781">
    <w:abstractNumId w:val="37"/>
  </w:num>
  <w:num w:numId="38" w16cid:durableId="1482692126">
    <w:abstractNumId w:val="27"/>
  </w:num>
  <w:num w:numId="39" w16cid:durableId="2016378556">
    <w:abstractNumId w:val="24"/>
  </w:num>
  <w:num w:numId="40" w16cid:durableId="906956918">
    <w:abstractNumId w:val="23"/>
  </w:num>
  <w:num w:numId="41" w16cid:durableId="354233578">
    <w:abstractNumId w:val="38"/>
  </w:num>
  <w:num w:numId="42" w16cid:durableId="1776562391">
    <w:abstractNumId w:val="45"/>
  </w:num>
  <w:num w:numId="43" w16cid:durableId="1818718683">
    <w:abstractNumId w:val="18"/>
  </w:num>
  <w:num w:numId="44" w16cid:durableId="373848561">
    <w:abstractNumId w:val="39"/>
  </w:num>
  <w:num w:numId="45" w16cid:durableId="1112088314">
    <w:abstractNumId w:val="15"/>
  </w:num>
  <w:num w:numId="46" w16cid:durableId="476606428">
    <w:abstractNumId w:val="14"/>
  </w:num>
  <w:num w:numId="47" w16cid:durableId="1867863155">
    <w:abstractNumId w:val="52"/>
  </w:num>
  <w:num w:numId="48" w16cid:durableId="150565608">
    <w:abstractNumId w:val="6"/>
  </w:num>
  <w:num w:numId="49" w16cid:durableId="1484005125">
    <w:abstractNumId w:val="25"/>
  </w:num>
  <w:num w:numId="50" w16cid:durableId="357588023">
    <w:abstractNumId w:val="51"/>
  </w:num>
  <w:num w:numId="51" w16cid:durableId="2108307034">
    <w:abstractNumId w:val="53"/>
  </w:num>
  <w:num w:numId="52" w16cid:durableId="939679516">
    <w:abstractNumId w:val="4"/>
  </w:num>
  <w:num w:numId="53" w16cid:durableId="1546091955">
    <w:abstractNumId w:val="10"/>
  </w:num>
  <w:num w:numId="54" w16cid:durableId="1582564297">
    <w:abstractNumId w:val="47"/>
  </w:num>
  <w:num w:numId="55" w16cid:durableId="784542667">
    <w:abstractNumId w:val="12"/>
  </w:num>
  <w:num w:numId="56" w16cid:durableId="1600210032">
    <w:abstractNumId w:val="42"/>
  </w:num>
  <w:num w:numId="57" w16cid:durableId="2013336367">
    <w:abstractNumId w:val="16"/>
  </w:num>
  <w:num w:numId="58" w16cid:durableId="251472764">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da-DK" w:vendorID="64" w:dllVersion="0" w:nlCheck="1" w:checkStyle="0"/>
  <w:activeWritingStyle w:appName="MSWord" w:lang="en-GB"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01"/>
    <w:rsid w:val="0000015A"/>
    <w:rsid w:val="000001A8"/>
    <w:rsid w:val="00000232"/>
    <w:rsid w:val="00000341"/>
    <w:rsid w:val="000003EE"/>
    <w:rsid w:val="00000473"/>
    <w:rsid w:val="00000477"/>
    <w:rsid w:val="000004B6"/>
    <w:rsid w:val="000005FE"/>
    <w:rsid w:val="00000678"/>
    <w:rsid w:val="00000819"/>
    <w:rsid w:val="0000085B"/>
    <w:rsid w:val="000008F1"/>
    <w:rsid w:val="0000098A"/>
    <w:rsid w:val="00000A38"/>
    <w:rsid w:val="00000B0B"/>
    <w:rsid w:val="00000BDF"/>
    <w:rsid w:val="00000E4A"/>
    <w:rsid w:val="00000F3C"/>
    <w:rsid w:val="0000110F"/>
    <w:rsid w:val="000011C8"/>
    <w:rsid w:val="000012A9"/>
    <w:rsid w:val="000012DB"/>
    <w:rsid w:val="00001320"/>
    <w:rsid w:val="00001437"/>
    <w:rsid w:val="000014C5"/>
    <w:rsid w:val="00001556"/>
    <w:rsid w:val="00001762"/>
    <w:rsid w:val="000017BA"/>
    <w:rsid w:val="000018D2"/>
    <w:rsid w:val="00001B24"/>
    <w:rsid w:val="00001B2F"/>
    <w:rsid w:val="00001B6F"/>
    <w:rsid w:val="00001D5B"/>
    <w:rsid w:val="00001DE1"/>
    <w:rsid w:val="00001E82"/>
    <w:rsid w:val="00001F2F"/>
    <w:rsid w:val="00002021"/>
    <w:rsid w:val="0000219F"/>
    <w:rsid w:val="000022B5"/>
    <w:rsid w:val="000022B7"/>
    <w:rsid w:val="00002452"/>
    <w:rsid w:val="00002463"/>
    <w:rsid w:val="0000247C"/>
    <w:rsid w:val="000024F3"/>
    <w:rsid w:val="00002785"/>
    <w:rsid w:val="000027E9"/>
    <w:rsid w:val="0000283E"/>
    <w:rsid w:val="000028A2"/>
    <w:rsid w:val="000028A4"/>
    <w:rsid w:val="00002940"/>
    <w:rsid w:val="00002A27"/>
    <w:rsid w:val="00002ABB"/>
    <w:rsid w:val="00002B24"/>
    <w:rsid w:val="00002B53"/>
    <w:rsid w:val="00002CE9"/>
    <w:rsid w:val="00002E74"/>
    <w:rsid w:val="00002E91"/>
    <w:rsid w:val="00003453"/>
    <w:rsid w:val="000034B9"/>
    <w:rsid w:val="00003671"/>
    <w:rsid w:val="0000368B"/>
    <w:rsid w:val="000036E3"/>
    <w:rsid w:val="00003749"/>
    <w:rsid w:val="00003800"/>
    <w:rsid w:val="000038E3"/>
    <w:rsid w:val="000039DE"/>
    <w:rsid w:val="00003D07"/>
    <w:rsid w:val="00003E4E"/>
    <w:rsid w:val="00003E9E"/>
    <w:rsid w:val="00004005"/>
    <w:rsid w:val="0000404D"/>
    <w:rsid w:val="000042FC"/>
    <w:rsid w:val="0000431A"/>
    <w:rsid w:val="0000451A"/>
    <w:rsid w:val="000045C8"/>
    <w:rsid w:val="00004615"/>
    <w:rsid w:val="00004634"/>
    <w:rsid w:val="0000467C"/>
    <w:rsid w:val="00004720"/>
    <w:rsid w:val="00004743"/>
    <w:rsid w:val="0000487E"/>
    <w:rsid w:val="0000488F"/>
    <w:rsid w:val="00004950"/>
    <w:rsid w:val="000049E0"/>
    <w:rsid w:val="00004B7D"/>
    <w:rsid w:val="00004CFE"/>
    <w:rsid w:val="00004DA9"/>
    <w:rsid w:val="00004DB3"/>
    <w:rsid w:val="00004E42"/>
    <w:rsid w:val="00004FE8"/>
    <w:rsid w:val="00005000"/>
    <w:rsid w:val="00005120"/>
    <w:rsid w:val="00005200"/>
    <w:rsid w:val="00005330"/>
    <w:rsid w:val="0000551D"/>
    <w:rsid w:val="00005621"/>
    <w:rsid w:val="00005681"/>
    <w:rsid w:val="0000591B"/>
    <w:rsid w:val="0000596A"/>
    <w:rsid w:val="00005B76"/>
    <w:rsid w:val="00005BD1"/>
    <w:rsid w:val="00005C1D"/>
    <w:rsid w:val="00005E07"/>
    <w:rsid w:val="00005E89"/>
    <w:rsid w:val="00005ECD"/>
    <w:rsid w:val="00005F30"/>
    <w:rsid w:val="00005F93"/>
    <w:rsid w:val="0000626A"/>
    <w:rsid w:val="00006287"/>
    <w:rsid w:val="000062FF"/>
    <w:rsid w:val="000063C9"/>
    <w:rsid w:val="00006427"/>
    <w:rsid w:val="00006498"/>
    <w:rsid w:val="0000659B"/>
    <w:rsid w:val="0000671C"/>
    <w:rsid w:val="00006831"/>
    <w:rsid w:val="00006ADE"/>
    <w:rsid w:val="00006C4E"/>
    <w:rsid w:val="00006D2D"/>
    <w:rsid w:val="00006D88"/>
    <w:rsid w:val="00006E0B"/>
    <w:rsid w:val="00006E2F"/>
    <w:rsid w:val="00006E5A"/>
    <w:rsid w:val="00006FC5"/>
    <w:rsid w:val="00006FE3"/>
    <w:rsid w:val="00006FF5"/>
    <w:rsid w:val="0000705F"/>
    <w:rsid w:val="0000737C"/>
    <w:rsid w:val="00007552"/>
    <w:rsid w:val="00007565"/>
    <w:rsid w:val="00007570"/>
    <w:rsid w:val="00007584"/>
    <w:rsid w:val="000075A0"/>
    <w:rsid w:val="000075F8"/>
    <w:rsid w:val="00007613"/>
    <w:rsid w:val="0000765B"/>
    <w:rsid w:val="00007890"/>
    <w:rsid w:val="00007919"/>
    <w:rsid w:val="000079E3"/>
    <w:rsid w:val="00007A6C"/>
    <w:rsid w:val="00007A82"/>
    <w:rsid w:val="00007ADE"/>
    <w:rsid w:val="00007BB1"/>
    <w:rsid w:val="00007D88"/>
    <w:rsid w:val="00007D98"/>
    <w:rsid w:val="00010022"/>
    <w:rsid w:val="0001035C"/>
    <w:rsid w:val="000103BC"/>
    <w:rsid w:val="00010414"/>
    <w:rsid w:val="0001053F"/>
    <w:rsid w:val="00010577"/>
    <w:rsid w:val="0001059E"/>
    <w:rsid w:val="000105FE"/>
    <w:rsid w:val="00010787"/>
    <w:rsid w:val="00010866"/>
    <w:rsid w:val="000109CB"/>
    <w:rsid w:val="00010D21"/>
    <w:rsid w:val="00010E73"/>
    <w:rsid w:val="0001102A"/>
    <w:rsid w:val="000110FA"/>
    <w:rsid w:val="00011367"/>
    <w:rsid w:val="000113CA"/>
    <w:rsid w:val="000115A9"/>
    <w:rsid w:val="000116B0"/>
    <w:rsid w:val="00011749"/>
    <w:rsid w:val="00011944"/>
    <w:rsid w:val="000119FE"/>
    <w:rsid w:val="00011A45"/>
    <w:rsid w:val="00011AD6"/>
    <w:rsid w:val="00011EBF"/>
    <w:rsid w:val="00011F02"/>
    <w:rsid w:val="00012011"/>
    <w:rsid w:val="00012069"/>
    <w:rsid w:val="000120CB"/>
    <w:rsid w:val="0001226C"/>
    <w:rsid w:val="000122F5"/>
    <w:rsid w:val="00012449"/>
    <w:rsid w:val="000125C7"/>
    <w:rsid w:val="00012650"/>
    <w:rsid w:val="00012848"/>
    <w:rsid w:val="00012B5C"/>
    <w:rsid w:val="00012CB7"/>
    <w:rsid w:val="00012D38"/>
    <w:rsid w:val="00012D74"/>
    <w:rsid w:val="00012D95"/>
    <w:rsid w:val="00012E2B"/>
    <w:rsid w:val="00012F46"/>
    <w:rsid w:val="00012FA5"/>
    <w:rsid w:val="00012FE5"/>
    <w:rsid w:val="00013025"/>
    <w:rsid w:val="000131A3"/>
    <w:rsid w:val="0001368C"/>
    <w:rsid w:val="00013738"/>
    <w:rsid w:val="0001387C"/>
    <w:rsid w:val="000138B8"/>
    <w:rsid w:val="00013936"/>
    <w:rsid w:val="00013C1A"/>
    <w:rsid w:val="00013CB0"/>
    <w:rsid w:val="00013CB9"/>
    <w:rsid w:val="00013CD5"/>
    <w:rsid w:val="00013CFB"/>
    <w:rsid w:val="00013DB1"/>
    <w:rsid w:val="00013DBE"/>
    <w:rsid w:val="00013EFC"/>
    <w:rsid w:val="00013F3B"/>
    <w:rsid w:val="00013F8B"/>
    <w:rsid w:val="00013FC6"/>
    <w:rsid w:val="00013FF8"/>
    <w:rsid w:val="00014250"/>
    <w:rsid w:val="0001433A"/>
    <w:rsid w:val="0001433F"/>
    <w:rsid w:val="00014391"/>
    <w:rsid w:val="00014445"/>
    <w:rsid w:val="0001451E"/>
    <w:rsid w:val="0001454A"/>
    <w:rsid w:val="00014646"/>
    <w:rsid w:val="00014655"/>
    <w:rsid w:val="00014866"/>
    <w:rsid w:val="0001487C"/>
    <w:rsid w:val="00014938"/>
    <w:rsid w:val="0001496C"/>
    <w:rsid w:val="00014A17"/>
    <w:rsid w:val="00014A83"/>
    <w:rsid w:val="00014ADE"/>
    <w:rsid w:val="00014B7C"/>
    <w:rsid w:val="00014B89"/>
    <w:rsid w:val="00014BB7"/>
    <w:rsid w:val="00014CA2"/>
    <w:rsid w:val="00014E86"/>
    <w:rsid w:val="00014FED"/>
    <w:rsid w:val="000150EB"/>
    <w:rsid w:val="00015171"/>
    <w:rsid w:val="000151DD"/>
    <w:rsid w:val="000152B1"/>
    <w:rsid w:val="00015355"/>
    <w:rsid w:val="00015450"/>
    <w:rsid w:val="0001549D"/>
    <w:rsid w:val="00015519"/>
    <w:rsid w:val="00015798"/>
    <w:rsid w:val="000157AE"/>
    <w:rsid w:val="0001587B"/>
    <w:rsid w:val="00015933"/>
    <w:rsid w:val="00015952"/>
    <w:rsid w:val="00015AF8"/>
    <w:rsid w:val="00015BAE"/>
    <w:rsid w:val="00015BCB"/>
    <w:rsid w:val="00015C4F"/>
    <w:rsid w:val="00015C53"/>
    <w:rsid w:val="00015D1F"/>
    <w:rsid w:val="00015E0C"/>
    <w:rsid w:val="00015E34"/>
    <w:rsid w:val="00015E91"/>
    <w:rsid w:val="00015F22"/>
    <w:rsid w:val="00015F2C"/>
    <w:rsid w:val="00015F7D"/>
    <w:rsid w:val="0001609C"/>
    <w:rsid w:val="000161DB"/>
    <w:rsid w:val="000163F0"/>
    <w:rsid w:val="00016459"/>
    <w:rsid w:val="00016470"/>
    <w:rsid w:val="0001649A"/>
    <w:rsid w:val="00016541"/>
    <w:rsid w:val="000165ED"/>
    <w:rsid w:val="000166B4"/>
    <w:rsid w:val="00016723"/>
    <w:rsid w:val="0001678D"/>
    <w:rsid w:val="000167A0"/>
    <w:rsid w:val="000167FB"/>
    <w:rsid w:val="000168EA"/>
    <w:rsid w:val="00016A4D"/>
    <w:rsid w:val="00016B7B"/>
    <w:rsid w:val="00016C38"/>
    <w:rsid w:val="00016EC2"/>
    <w:rsid w:val="00016F20"/>
    <w:rsid w:val="000170B1"/>
    <w:rsid w:val="000170CA"/>
    <w:rsid w:val="00017151"/>
    <w:rsid w:val="00017194"/>
    <w:rsid w:val="0001720C"/>
    <w:rsid w:val="00017221"/>
    <w:rsid w:val="0001723B"/>
    <w:rsid w:val="0001731D"/>
    <w:rsid w:val="000173B3"/>
    <w:rsid w:val="000173DD"/>
    <w:rsid w:val="00017411"/>
    <w:rsid w:val="00017458"/>
    <w:rsid w:val="000174C6"/>
    <w:rsid w:val="00017509"/>
    <w:rsid w:val="0001754E"/>
    <w:rsid w:val="00017560"/>
    <w:rsid w:val="000175CC"/>
    <w:rsid w:val="000176F6"/>
    <w:rsid w:val="00017712"/>
    <w:rsid w:val="00017837"/>
    <w:rsid w:val="00017AB8"/>
    <w:rsid w:val="00017BD1"/>
    <w:rsid w:val="00017C1C"/>
    <w:rsid w:val="00017C49"/>
    <w:rsid w:val="00017CA8"/>
    <w:rsid w:val="00017CFC"/>
    <w:rsid w:val="00017D27"/>
    <w:rsid w:val="00017D40"/>
    <w:rsid w:val="00017D69"/>
    <w:rsid w:val="00017DA6"/>
    <w:rsid w:val="00017E74"/>
    <w:rsid w:val="00017FA0"/>
    <w:rsid w:val="000200FE"/>
    <w:rsid w:val="00020220"/>
    <w:rsid w:val="00020297"/>
    <w:rsid w:val="00020298"/>
    <w:rsid w:val="0002035B"/>
    <w:rsid w:val="00020663"/>
    <w:rsid w:val="00020724"/>
    <w:rsid w:val="0002073F"/>
    <w:rsid w:val="00020A92"/>
    <w:rsid w:val="00020B63"/>
    <w:rsid w:val="00020BE6"/>
    <w:rsid w:val="00020D44"/>
    <w:rsid w:val="00020D76"/>
    <w:rsid w:val="00020E17"/>
    <w:rsid w:val="00020EA3"/>
    <w:rsid w:val="00020F06"/>
    <w:rsid w:val="00020F22"/>
    <w:rsid w:val="00020F46"/>
    <w:rsid w:val="00020F82"/>
    <w:rsid w:val="00021043"/>
    <w:rsid w:val="00021070"/>
    <w:rsid w:val="00021115"/>
    <w:rsid w:val="0002128D"/>
    <w:rsid w:val="00021290"/>
    <w:rsid w:val="0002131A"/>
    <w:rsid w:val="000213F0"/>
    <w:rsid w:val="00021760"/>
    <w:rsid w:val="000217BE"/>
    <w:rsid w:val="00021913"/>
    <w:rsid w:val="00021A39"/>
    <w:rsid w:val="00021A78"/>
    <w:rsid w:val="00021C85"/>
    <w:rsid w:val="00021DB5"/>
    <w:rsid w:val="00021DC8"/>
    <w:rsid w:val="00021EEA"/>
    <w:rsid w:val="00021FA8"/>
    <w:rsid w:val="00021FFD"/>
    <w:rsid w:val="0002205E"/>
    <w:rsid w:val="00022086"/>
    <w:rsid w:val="00022182"/>
    <w:rsid w:val="0002223E"/>
    <w:rsid w:val="0002224C"/>
    <w:rsid w:val="00022527"/>
    <w:rsid w:val="00022542"/>
    <w:rsid w:val="0002265B"/>
    <w:rsid w:val="00022664"/>
    <w:rsid w:val="000226BC"/>
    <w:rsid w:val="000226CD"/>
    <w:rsid w:val="0002275C"/>
    <w:rsid w:val="0002278D"/>
    <w:rsid w:val="00022846"/>
    <w:rsid w:val="000228F3"/>
    <w:rsid w:val="0002295A"/>
    <w:rsid w:val="00022A07"/>
    <w:rsid w:val="00022AF3"/>
    <w:rsid w:val="00022B0B"/>
    <w:rsid w:val="00022B43"/>
    <w:rsid w:val="00022BAB"/>
    <w:rsid w:val="00022BDB"/>
    <w:rsid w:val="00022C89"/>
    <w:rsid w:val="00022CF0"/>
    <w:rsid w:val="00022D20"/>
    <w:rsid w:val="00022D3C"/>
    <w:rsid w:val="00022D5B"/>
    <w:rsid w:val="00022D87"/>
    <w:rsid w:val="00022E7C"/>
    <w:rsid w:val="00022F8F"/>
    <w:rsid w:val="00022FAA"/>
    <w:rsid w:val="000230D2"/>
    <w:rsid w:val="000230DC"/>
    <w:rsid w:val="0002320C"/>
    <w:rsid w:val="00023296"/>
    <w:rsid w:val="000232F8"/>
    <w:rsid w:val="0002335C"/>
    <w:rsid w:val="00023386"/>
    <w:rsid w:val="0002340B"/>
    <w:rsid w:val="00023418"/>
    <w:rsid w:val="00023483"/>
    <w:rsid w:val="000234D4"/>
    <w:rsid w:val="0002351E"/>
    <w:rsid w:val="000235A6"/>
    <w:rsid w:val="00023669"/>
    <w:rsid w:val="0002369C"/>
    <w:rsid w:val="000237B4"/>
    <w:rsid w:val="000237E8"/>
    <w:rsid w:val="000239C2"/>
    <w:rsid w:val="000239E1"/>
    <w:rsid w:val="00023B79"/>
    <w:rsid w:val="00023BC1"/>
    <w:rsid w:val="00023C35"/>
    <w:rsid w:val="00023E41"/>
    <w:rsid w:val="00023ED4"/>
    <w:rsid w:val="00024036"/>
    <w:rsid w:val="00024054"/>
    <w:rsid w:val="0002414F"/>
    <w:rsid w:val="00024150"/>
    <w:rsid w:val="000241A2"/>
    <w:rsid w:val="0002421C"/>
    <w:rsid w:val="0002426E"/>
    <w:rsid w:val="00024525"/>
    <w:rsid w:val="00024665"/>
    <w:rsid w:val="000246B6"/>
    <w:rsid w:val="000247A9"/>
    <w:rsid w:val="000248EF"/>
    <w:rsid w:val="00024B17"/>
    <w:rsid w:val="00024BAB"/>
    <w:rsid w:val="00024C03"/>
    <w:rsid w:val="00024C74"/>
    <w:rsid w:val="00024CA3"/>
    <w:rsid w:val="00024D72"/>
    <w:rsid w:val="00024F0C"/>
    <w:rsid w:val="00024F6F"/>
    <w:rsid w:val="000250FB"/>
    <w:rsid w:val="00025342"/>
    <w:rsid w:val="0002545D"/>
    <w:rsid w:val="000254F6"/>
    <w:rsid w:val="00025516"/>
    <w:rsid w:val="00025562"/>
    <w:rsid w:val="00025692"/>
    <w:rsid w:val="00025717"/>
    <w:rsid w:val="00025758"/>
    <w:rsid w:val="0002579D"/>
    <w:rsid w:val="000257FC"/>
    <w:rsid w:val="0002589E"/>
    <w:rsid w:val="000258CC"/>
    <w:rsid w:val="00025983"/>
    <w:rsid w:val="000259B9"/>
    <w:rsid w:val="00025A0C"/>
    <w:rsid w:val="00025B06"/>
    <w:rsid w:val="00025B72"/>
    <w:rsid w:val="00025BA3"/>
    <w:rsid w:val="00025C1E"/>
    <w:rsid w:val="00025C71"/>
    <w:rsid w:val="00025CE8"/>
    <w:rsid w:val="00025CE9"/>
    <w:rsid w:val="00025D59"/>
    <w:rsid w:val="00025DD4"/>
    <w:rsid w:val="00025E7D"/>
    <w:rsid w:val="00025F20"/>
    <w:rsid w:val="00025F78"/>
    <w:rsid w:val="00025F8E"/>
    <w:rsid w:val="000260B4"/>
    <w:rsid w:val="000261B7"/>
    <w:rsid w:val="00026303"/>
    <w:rsid w:val="00026493"/>
    <w:rsid w:val="00026542"/>
    <w:rsid w:val="00026560"/>
    <w:rsid w:val="00026636"/>
    <w:rsid w:val="0002697D"/>
    <w:rsid w:val="000269E9"/>
    <w:rsid w:val="00026B5E"/>
    <w:rsid w:val="00026B6A"/>
    <w:rsid w:val="00026B85"/>
    <w:rsid w:val="00026CAB"/>
    <w:rsid w:val="00026E26"/>
    <w:rsid w:val="00026FE4"/>
    <w:rsid w:val="00027031"/>
    <w:rsid w:val="0002704B"/>
    <w:rsid w:val="000270BA"/>
    <w:rsid w:val="00027206"/>
    <w:rsid w:val="0002751A"/>
    <w:rsid w:val="000275C0"/>
    <w:rsid w:val="000276BA"/>
    <w:rsid w:val="000276D3"/>
    <w:rsid w:val="000276D8"/>
    <w:rsid w:val="00027793"/>
    <w:rsid w:val="000277CA"/>
    <w:rsid w:val="0002798C"/>
    <w:rsid w:val="000279DF"/>
    <w:rsid w:val="00027A0C"/>
    <w:rsid w:val="00027B19"/>
    <w:rsid w:val="00027CCD"/>
    <w:rsid w:val="00027D0C"/>
    <w:rsid w:val="00027FC4"/>
    <w:rsid w:val="00030011"/>
    <w:rsid w:val="000300BC"/>
    <w:rsid w:val="000303A7"/>
    <w:rsid w:val="000303D2"/>
    <w:rsid w:val="000303E4"/>
    <w:rsid w:val="00030473"/>
    <w:rsid w:val="0003057D"/>
    <w:rsid w:val="000305CD"/>
    <w:rsid w:val="00030811"/>
    <w:rsid w:val="00030963"/>
    <w:rsid w:val="00030C1A"/>
    <w:rsid w:val="00030D9A"/>
    <w:rsid w:val="00030E3B"/>
    <w:rsid w:val="00031032"/>
    <w:rsid w:val="0003106E"/>
    <w:rsid w:val="00031269"/>
    <w:rsid w:val="000312B7"/>
    <w:rsid w:val="00031461"/>
    <w:rsid w:val="000314B7"/>
    <w:rsid w:val="0003156F"/>
    <w:rsid w:val="0003158E"/>
    <w:rsid w:val="000315BC"/>
    <w:rsid w:val="000317AB"/>
    <w:rsid w:val="000319C4"/>
    <w:rsid w:val="000319E3"/>
    <w:rsid w:val="00031A0D"/>
    <w:rsid w:val="00031A27"/>
    <w:rsid w:val="00031CA7"/>
    <w:rsid w:val="00031D99"/>
    <w:rsid w:val="00031DFA"/>
    <w:rsid w:val="00031E06"/>
    <w:rsid w:val="00031E0A"/>
    <w:rsid w:val="00031EC3"/>
    <w:rsid w:val="00031F08"/>
    <w:rsid w:val="0003200E"/>
    <w:rsid w:val="00032010"/>
    <w:rsid w:val="0003204D"/>
    <w:rsid w:val="000320D2"/>
    <w:rsid w:val="00032251"/>
    <w:rsid w:val="0003227C"/>
    <w:rsid w:val="00032319"/>
    <w:rsid w:val="000323CC"/>
    <w:rsid w:val="00032693"/>
    <w:rsid w:val="00032743"/>
    <w:rsid w:val="000327D1"/>
    <w:rsid w:val="000327F2"/>
    <w:rsid w:val="0003297A"/>
    <w:rsid w:val="000329E9"/>
    <w:rsid w:val="000329FC"/>
    <w:rsid w:val="00032A32"/>
    <w:rsid w:val="00032B7A"/>
    <w:rsid w:val="00032CDE"/>
    <w:rsid w:val="00032F15"/>
    <w:rsid w:val="000330AB"/>
    <w:rsid w:val="00033127"/>
    <w:rsid w:val="0003326C"/>
    <w:rsid w:val="000332ED"/>
    <w:rsid w:val="0003348A"/>
    <w:rsid w:val="00033647"/>
    <w:rsid w:val="000336F4"/>
    <w:rsid w:val="00033A95"/>
    <w:rsid w:val="00033BD7"/>
    <w:rsid w:val="00033BFE"/>
    <w:rsid w:val="00033CC3"/>
    <w:rsid w:val="00033D22"/>
    <w:rsid w:val="00033D78"/>
    <w:rsid w:val="00033D83"/>
    <w:rsid w:val="00033E73"/>
    <w:rsid w:val="00033E7F"/>
    <w:rsid w:val="00033ECE"/>
    <w:rsid w:val="00033F89"/>
    <w:rsid w:val="00033FA9"/>
    <w:rsid w:val="0003403E"/>
    <w:rsid w:val="00034216"/>
    <w:rsid w:val="00034239"/>
    <w:rsid w:val="0003426C"/>
    <w:rsid w:val="0003429D"/>
    <w:rsid w:val="000343B8"/>
    <w:rsid w:val="0003451F"/>
    <w:rsid w:val="000345B4"/>
    <w:rsid w:val="0003463D"/>
    <w:rsid w:val="00034684"/>
    <w:rsid w:val="00034716"/>
    <w:rsid w:val="00034865"/>
    <w:rsid w:val="000349F0"/>
    <w:rsid w:val="00034A07"/>
    <w:rsid w:val="00034A5C"/>
    <w:rsid w:val="00034A75"/>
    <w:rsid w:val="00034B53"/>
    <w:rsid w:val="00034C0C"/>
    <w:rsid w:val="00034C6C"/>
    <w:rsid w:val="00034C9A"/>
    <w:rsid w:val="00034CBC"/>
    <w:rsid w:val="00034CED"/>
    <w:rsid w:val="00034CFC"/>
    <w:rsid w:val="00034E49"/>
    <w:rsid w:val="00034EDF"/>
    <w:rsid w:val="00034F79"/>
    <w:rsid w:val="00035055"/>
    <w:rsid w:val="00035066"/>
    <w:rsid w:val="00035260"/>
    <w:rsid w:val="000352B6"/>
    <w:rsid w:val="00035416"/>
    <w:rsid w:val="00035451"/>
    <w:rsid w:val="0003552F"/>
    <w:rsid w:val="000356A7"/>
    <w:rsid w:val="000357AF"/>
    <w:rsid w:val="00035916"/>
    <w:rsid w:val="000359EE"/>
    <w:rsid w:val="00035A7C"/>
    <w:rsid w:val="00035BA6"/>
    <w:rsid w:val="00035BAD"/>
    <w:rsid w:val="00035D3F"/>
    <w:rsid w:val="00035DA9"/>
    <w:rsid w:val="00035DBA"/>
    <w:rsid w:val="00035E54"/>
    <w:rsid w:val="00035EAF"/>
    <w:rsid w:val="00035FA7"/>
    <w:rsid w:val="000360FA"/>
    <w:rsid w:val="00036237"/>
    <w:rsid w:val="00036299"/>
    <w:rsid w:val="0003630C"/>
    <w:rsid w:val="000363B0"/>
    <w:rsid w:val="000363E4"/>
    <w:rsid w:val="00036419"/>
    <w:rsid w:val="00036544"/>
    <w:rsid w:val="0003659C"/>
    <w:rsid w:val="00036911"/>
    <w:rsid w:val="00036A16"/>
    <w:rsid w:val="00036B2B"/>
    <w:rsid w:val="00036B39"/>
    <w:rsid w:val="00036C09"/>
    <w:rsid w:val="00036C5F"/>
    <w:rsid w:val="00036D4D"/>
    <w:rsid w:val="00036DC6"/>
    <w:rsid w:val="000371C6"/>
    <w:rsid w:val="00037237"/>
    <w:rsid w:val="000372CF"/>
    <w:rsid w:val="00037302"/>
    <w:rsid w:val="00037466"/>
    <w:rsid w:val="000374A9"/>
    <w:rsid w:val="00037610"/>
    <w:rsid w:val="00037659"/>
    <w:rsid w:val="000376BA"/>
    <w:rsid w:val="0003771A"/>
    <w:rsid w:val="000377D0"/>
    <w:rsid w:val="0003783F"/>
    <w:rsid w:val="0003788F"/>
    <w:rsid w:val="00037895"/>
    <w:rsid w:val="000379AD"/>
    <w:rsid w:val="00037A2B"/>
    <w:rsid w:val="00037A6E"/>
    <w:rsid w:val="00037B36"/>
    <w:rsid w:val="00037C17"/>
    <w:rsid w:val="00037D62"/>
    <w:rsid w:val="00037F08"/>
    <w:rsid w:val="00037F6E"/>
    <w:rsid w:val="00037FA6"/>
    <w:rsid w:val="00040078"/>
    <w:rsid w:val="00040263"/>
    <w:rsid w:val="00040278"/>
    <w:rsid w:val="00040386"/>
    <w:rsid w:val="000403D2"/>
    <w:rsid w:val="00040425"/>
    <w:rsid w:val="00040516"/>
    <w:rsid w:val="000405D6"/>
    <w:rsid w:val="00040747"/>
    <w:rsid w:val="000407FC"/>
    <w:rsid w:val="00040856"/>
    <w:rsid w:val="00040903"/>
    <w:rsid w:val="00040912"/>
    <w:rsid w:val="00040964"/>
    <w:rsid w:val="000409F6"/>
    <w:rsid w:val="00040A04"/>
    <w:rsid w:val="00040A1E"/>
    <w:rsid w:val="00040A22"/>
    <w:rsid w:val="00040AC7"/>
    <w:rsid w:val="00040C27"/>
    <w:rsid w:val="00040E1F"/>
    <w:rsid w:val="00040E2D"/>
    <w:rsid w:val="00040E31"/>
    <w:rsid w:val="00040F12"/>
    <w:rsid w:val="00040FD4"/>
    <w:rsid w:val="00041018"/>
    <w:rsid w:val="00041042"/>
    <w:rsid w:val="00041075"/>
    <w:rsid w:val="00041190"/>
    <w:rsid w:val="0004126A"/>
    <w:rsid w:val="000412B0"/>
    <w:rsid w:val="0004137F"/>
    <w:rsid w:val="000413C9"/>
    <w:rsid w:val="000414CD"/>
    <w:rsid w:val="0004163D"/>
    <w:rsid w:val="00041642"/>
    <w:rsid w:val="00041669"/>
    <w:rsid w:val="000416E4"/>
    <w:rsid w:val="0004175D"/>
    <w:rsid w:val="0004182F"/>
    <w:rsid w:val="00041863"/>
    <w:rsid w:val="000419B0"/>
    <w:rsid w:val="00041B3D"/>
    <w:rsid w:val="00041B8F"/>
    <w:rsid w:val="00041D34"/>
    <w:rsid w:val="00041DB4"/>
    <w:rsid w:val="00041DBB"/>
    <w:rsid w:val="00041E97"/>
    <w:rsid w:val="00041FC6"/>
    <w:rsid w:val="00042049"/>
    <w:rsid w:val="000420BF"/>
    <w:rsid w:val="000421AD"/>
    <w:rsid w:val="000421AF"/>
    <w:rsid w:val="000423FC"/>
    <w:rsid w:val="00042467"/>
    <w:rsid w:val="00042559"/>
    <w:rsid w:val="0004256B"/>
    <w:rsid w:val="0004262C"/>
    <w:rsid w:val="00042885"/>
    <w:rsid w:val="00042893"/>
    <w:rsid w:val="000428ED"/>
    <w:rsid w:val="00042914"/>
    <w:rsid w:val="000429AC"/>
    <w:rsid w:val="00042A02"/>
    <w:rsid w:val="00042ACD"/>
    <w:rsid w:val="00042AFD"/>
    <w:rsid w:val="00042B6A"/>
    <w:rsid w:val="00042B99"/>
    <w:rsid w:val="00042D1F"/>
    <w:rsid w:val="00042E1A"/>
    <w:rsid w:val="00042E31"/>
    <w:rsid w:val="00042EE8"/>
    <w:rsid w:val="00042FB3"/>
    <w:rsid w:val="00042FFE"/>
    <w:rsid w:val="00043263"/>
    <w:rsid w:val="00043291"/>
    <w:rsid w:val="000432A7"/>
    <w:rsid w:val="0004330A"/>
    <w:rsid w:val="0004339B"/>
    <w:rsid w:val="00043417"/>
    <w:rsid w:val="00043521"/>
    <w:rsid w:val="00043529"/>
    <w:rsid w:val="0004357B"/>
    <w:rsid w:val="000435AF"/>
    <w:rsid w:val="000437E0"/>
    <w:rsid w:val="0004384F"/>
    <w:rsid w:val="0004395E"/>
    <w:rsid w:val="00043962"/>
    <w:rsid w:val="000439C9"/>
    <w:rsid w:val="00043A04"/>
    <w:rsid w:val="00043A96"/>
    <w:rsid w:val="00043AE5"/>
    <w:rsid w:val="00043B36"/>
    <w:rsid w:val="00043D76"/>
    <w:rsid w:val="00043DDF"/>
    <w:rsid w:val="00043DF7"/>
    <w:rsid w:val="0004400F"/>
    <w:rsid w:val="0004406B"/>
    <w:rsid w:val="000440B6"/>
    <w:rsid w:val="000440EE"/>
    <w:rsid w:val="0004416A"/>
    <w:rsid w:val="000441A3"/>
    <w:rsid w:val="00044286"/>
    <w:rsid w:val="00044297"/>
    <w:rsid w:val="000442E7"/>
    <w:rsid w:val="000444F8"/>
    <w:rsid w:val="00044530"/>
    <w:rsid w:val="0004454C"/>
    <w:rsid w:val="00044727"/>
    <w:rsid w:val="00044742"/>
    <w:rsid w:val="0004482E"/>
    <w:rsid w:val="000448C5"/>
    <w:rsid w:val="000448CE"/>
    <w:rsid w:val="00044909"/>
    <w:rsid w:val="00044A6F"/>
    <w:rsid w:val="00044A8C"/>
    <w:rsid w:val="00044AD7"/>
    <w:rsid w:val="00044AEF"/>
    <w:rsid w:val="00044C98"/>
    <w:rsid w:val="00044CE1"/>
    <w:rsid w:val="00044CFF"/>
    <w:rsid w:val="00044E37"/>
    <w:rsid w:val="00044F0C"/>
    <w:rsid w:val="000450D0"/>
    <w:rsid w:val="000451B4"/>
    <w:rsid w:val="0004538D"/>
    <w:rsid w:val="000454D1"/>
    <w:rsid w:val="000454D8"/>
    <w:rsid w:val="00045578"/>
    <w:rsid w:val="0004562A"/>
    <w:rsid w:val="000456F9"/>
    <w:rsid w:val="0004591E"/>
    <w:rsid w:val="000459FD"/>
    <w:rsid w:val="00045A34"/>
    <w:rsid w:val="00045AD0"/>
    <w:rsid w:val="00045B63"/>
    <w:rsid w:val="00045B88"/>
    <w:rsid w:val="00045BAC"/>
    <w:rsid w:val="00045CCA"/>
    <w:rsid w:val="00045CD1"/>
    <w:rsid w:val="00045D47"/>
    <w:rsid w:val="00045D5B"/>
    <w:rsid w:val="00045E3F"/>
    <w:rsid w:val="00045EC1"/>
    <w:rsid w:val="00045ECD"/>
    <w:rsid w:val="00045F07"/>
    <w:rsid w:val="00045F43"/>
    <w:rsid w:val="00045F7D"/>
    <w:rsid w:val="000460C7"/>
    <w:rsid w:val="0004610D"/>
    <w:rsid w:val="00046197"/>
    <w:rsid w:val="00046231"/>
    <w:rsid w:val="0004625B"/>
    <w:rsid w:val="0004636C"/>
    <w:rsid w:val="000463D9"/>
    <w:rsid w:val="00046454"/>
    <w:rsid w:val="0004647D"/>
    <w:rsid w:val="000465CE"/>
    <w:rsid w:val="0004664D"/>
    <w:rsid w:val="000466B1"/>
    <w:rsid w:val="0004672E"/>
    <w:rsid w:val="0004678B"/>
    <w:rsid w:val="000467F9"/>
    <w:rsid w:val="000468EA"/>
    <w:rsid w:val="000468FF"/>
    <w:rsid w:val="00046923"/>
    <w:rsid w:val="00046942"/>
    <w:rsid w:val="0004695A"/>
    <w:rsid w:val="0004697F"/>
    <w:rsid w:val="00046993"/>
    <w:rsid w:val="000469B4"/>
    <w:rsid w:val="000469DC"/>
    <w:rsid w:val="00046A35"/>
    <w:rsid w:val="00046DF3"/>
    <w:rsid w:val="00046EB9"/>
    <w:rsid w:val="00046EC0"/>
    <w:rsid w:val="00046F27"/>
    <w:rsid w:val="00046F9E"/>
    <w:rsid w:val="00047004"/>
    <w:rsid w:val="000471B0"/>
    <w:rsid w:val="000471CE"/>
    <w:rsid w:val="0004720C"/>
    <w:rsid w:val="000472A8"/>
    <w:rsid w:val="000472E6"/>
    <w:rsid w:val="000474E3"/>
    <w:rsid w:val="00047550"/>
    <w:rsid w:val="000475A5"/>
    <w:rsid w:val="000475AE"/>
    <w:rsid w:val="0004762A"/>
    <w:rsid w:val="00047779"/>
    <w:rsid w:val="0004786C"/>
    <w:rsid w:val="000478A7"/>
    <w:rsid w:val="000478E1"/>
    <w:rsid w:val="0004796E"/>
    <w:rsid w:val="00047AED"/>
    <w:rsid w:val="00047B73"/>
    <w:rsid w:val="00047BB0"/>
    <w:rsid w:val="00047D55"/>
    <w:rsid w:val="00047ECD"/>
    <w:rsid w:val="00047FFA"/>
    <w:rsid w:val="00050097"/>
    <w:rsid w:val="000500B1"/>
    <w:rsid w:val="00050151"/>
    <w:rsid w:val="00050231"/>
    <w:rsid w:val="00050389"/>
    <w:rsid w:val="000504C7"/>
    <w:rsid w:val="00050569"/>
    <w:rsid w:val="000506E6"/>
    <w:rsid w:val="000507A0"/>
    <w:rsid w:val="000508A0"/>
    <w:rsid w:val="000509F3"/>
    <w:rsid w:val="00050AA9"/>
    <w:rsid w:val="00050B5E"/>
    <w:rsid w:val="00050CBD"/>
    <w:rsid w:val="00050D42"/>
    <w:rsid w:val="00050F3E"/>
    <w:rsid w:val="00050F96"/>
    <w:rsid w:val="00050FF6"/>
    <w:rsid w:val="0005103B"/>
    <w:rsid w:val="000510B7"/>
    <w:rsid w:val="000510BA"/>
    <w:rsid w:val="000511D4"/>
    <w:rsid w:val="000512EB"/>
    <w:rsid w:val="00051377"/>
    <w:rsid w:val="000513B5"/>
    <w:rsid w:val="00051419"/>
    <w:rsid w:val="0005149D"/>
    <w:rsid w:val="000514FC"/>
    <w:rsid w:val="0005153B"/>
    <w:rsid w:val="000515A1"/>
    <w:rsid w:val="000516C4"/>
    <w:rsid w:val="000517C0"/>
    <w:rsid w:val="000517D1"/>
    <w:rsid w:val="00051830"/>
    <w:rsid w:val="000518A5"/>
    <w:rsid w:val="00051AB2"/>
    <w:rsid w:val="00051AC0"/>
    <w:rsid w:val="00051ACE"/>
    <w:rsid w:val="00051BB5"/>
    <w:rsid w:val="00051BD9"/>
    <w:rsid w:val="00051CD3"/>
    <w:rsid w:val="00051D04"/>
    <w:rsid w:val="00051DBB"/>
    <w:rsid w:val="00051DFA"/>
    <w:rsid w:val="00051E68"/>
    <w:rsid w:val="00051F15"/>
    <w:rsid w:val="00051F33"/>
    <w:rsid w:val="0005200C"/>
    <w:rsid w:val="00052162"/>
    <w:rsid w:val="00052189"/>
    <w:rsid w:val="0005218E"/>
    <w:rsid w:val="000521CE"/>
    <w:rsid w:val="00052255"/>
    <w:rsid w:val="0005240C"/>
    <w:rsid w:val="00052423"/>
    <w:rsid w:val="00052453"/>
    <w:rsid w:val="00052563"/>
    <w:rsid w:val="000525CF"/>
    <w:rsid w:val="0005263F"/>
    <w:rsid w:val="000526E9"/>
    <w:rsid w:val="0005275F"/>
    <w:rsid w:val="00052830"/>
    <w:rsid w:val="000528FC"/>
    <w:rsid w:val="0005293B"/>
    <w:rsid w:val="00052994"/>
    <w:rsid w:val="00052ADD"/>
    <w:rsid w:val="00052AF7"/>
    <w:rsid w:val="00052B7A"/>
    <w:rsid w:val="00052DE7"/>
    <w:rsid w:val="00052ECD"/>
    <w:rsid w:val="00052F00"/>
    <w:rsid w:val="000530B7"/>
    <w:rsid w:val="00053104"/>
    <w:rsid w:val="000531C9"/>
    <w:rsid w:val="00053222"/>
    <w:rsid w:val="00053262"/>
    <w:rsid w:val="000532CC"/>
    <w:rsid w:val="00053335"/>
    <w:rsid w:val="0005333E"/>
    <w:rsid w:val="000533E5"/>
    <w:rsid w:val="000534A6"/>
    <w:rsid w:val="000534E4"/>
    <w:rsid w:val="00053528"/>
    <w:rsid w:val="00053534"/>
    <w:rsid w:val="000535C4"/>
    <w:rsid w:val="0005367C"/>
    <w:rsid w:val="000537ED"/>
    <w:rsid w:val="00053818"/>
    <w:rsid w:val="00053AAA"/>
    <w:rsid w:val="00053BA3"/>
    <w:rsid w:val="00053BF7"/>
    <w:rsid w:val="00053C0B"/>
    <w:rsid w:val="00053C99"/>
    <w:rsid w:val="00053CB4"/>
    <w:rsid w:val="00053D7E"/>
    <w:rsid w:val="00053E0A"/>
    <w:rsid w:val="00053F16"/>
    <w:rsid w:val="00053F49"/>
    <w:rsid w:val="00053FEC"/>
    <w:rsid w:val="00054091"/>
    <w:rsid w:val="00054150"/>
    <w:rsid w:val="00054397"/>
    <w:rsid w:val="00054586"/>
    <w:rsid w:val="00054607"/>
    <w:rsid w:val="0005466C"/>
    <w:rsid w:val="000546D5"/>
    <w:rsid w:val="000549CD"/>
    <w:rsid w:val="00054A2E"/>
    <w:rsid w:val="00054AF4"/>
    <w:rsid w:val="00054B90"/>
    <w:rsid w:val="00054C68"/>
    <w:rsid w:val="00054E04"/>
    <w:rsid w:val="00054E37"/>
    <w:rsid w:val="00054F52"/>
    <w:rsid w:val="00055137"/>
    <w:rsid w:val="00055225"/>
    <w:rsid w:val="00055273"/>
    <w:rsid w:val="00055282"/>
    <w:rsid w:val="0005542D"/>
    <w:rsid w:val="00055459"/>
    <w:rsid w:val="0005547C"/>
    <w:rsid w:val="000555BE"/>
    <w:rsid w:val="000556C5"/>
    <w:rsid w:val="000556CA"/>
    <w:rsid w:val="000556F0"/>
    <w:rsid w:val="0005570E"/>
    <w:rsid w:val="00055813"/>
    <w:rsid w:val="00055910"/>
    <w:rsid w:val="000559CB"/>
    <w:rsid w:val="00055B25"/>
    <w:rsid w:val="00055B3E"/>
    <w:rsid w:val="00055B4D"/>
    <w:rsid w:val="00055B64"/>
    <w:rsid w:val="00055C20"/>
    <w:rsid w:val="00055C5E"/>
    <w:rsid w:val="00055CA9"/>
    <w:rsid w:val="00055D28"/>
    <w:rsid w:val="00055F92"/>
    <w:rsid w:val="0005603B"/>
    <w:rsid w:val="0005612F"/>
    <w:rsid w:val="000561CF"/>
    <w:rsid w:val="0005628B"/>
    <w:rsid w:val="000562B2"/>
    <w:rsid w:val="000566E5"/>
    <w:rsid w:val="000567F1"/>
    <w:rsid w:val="00056824"/>
    <w:rsid w:val="00056858"/>
    <w:rsid w:val="00056994"/>
    <w:rsid w:val="00056A98"/>
    <w:rsid w:val="00056B5D"/>
    <w:rsid w:val="00056B9E"/>
    <w:rsid w:val="00056BED"/>
    <w:rsid w:val="00056C28"/>
    <w:rsid w:val="00056D0C"/>
    <w:rsid w:val="00056E7F"/>
    <w:rsid w:val="00056EB6"/>
    <w:rsid w:val="00056EDF"/>
    <w:rsid w:val="00056EFC"/>
    <w:rsid w:val="00057071"/>
    <w:rsid w:val="000571DF"/>
    <w:rsid w:val="0005721C"/>
    <w:rsid w:val="000572A5"/>
    <w:rsid w:val="0005749D"/>
    <w:rsid w:val="00057666"/>
    <w:rsid w:val="00057683"/>
    <w:rsid w:val="000576C9"/>
    <w:rsid w:val="000576FB"/>
    <w:rsid w:val="000577AB"/>
    <w:rsid w:val="00057801"/>
    <w:rsid w:val="00057825"/>
    <w:rsid w:val="00057991"/>
    <w:rsid w:val="00057A1F"/>
    <w:rsid w:val="00057AAE"/>
    <w:rsid w:val="00057C98"/>
    <w:rsid w:val="00057CC0"/>
    <w:rsid w:val="00057CEA"/>
    <w:rsid w:val="00057D80"/>
    <w:rsid w:val="00060089"/>
    <w:rsid w:val="0006023D"/>
    <w:rsid w:val="00060289"/>
    <w:rsid w:val="0006054E"/>
    <w:rsid w:val="000606A8"/>
    <w:rsid w:val="000606DB"/>
    <w:rsid w:val="0006072E"/>
    <w:rsid w:val="000608CB"/>
    <w:rsid w:val="0006091E"/>
    <w:rsid w:val="00060961"/>
    <w:rsid w:val="00060965"/>
    <w:rsid w:val="000609C4"/>
    <w:rsid w:val="000609E2"/>
    <w:rsid w:val="00060D68"/>
    <w:rsid w:val="00060EA7"/>
    <w:rsid w:val="00060F1D"/>
    <w:rsid w:val="0006102E"/>
    <w:rsid w:val="0006120E"/>
    <w:rsid w:val="0006128C"/>
    <w:rsid w:val="0006131C"/>
    <w:rsid w:val="0006154A"/>
    <w:rsid w:val="00061556"/>
    <w:rsid w:val="00061569"/>
    <w:rsid w:val="000617DB"/>
    <w:rsid w:val="00061879"/>
    <w:rsid w:val="000618A3"/>
    <w:rsid w:val="00061938"/>
    <w:rsid w:val="00061996"/>
    <w:rsid w:val="000619FA"/>
    <w:rsid w:val="00061A73"/>
    <w:rsid w:val="00061AE6"/>
    <w:rsid w:val="00061BEB"/>
    <w:rsid w:val="00061C06"/>
    <w:rsid w:val="00061D69"/>
    <w:rsid w:val="00061DA5"/>
    <w:rsid w:val="00061FA2"/>
    <w:rsid w:val="000620C6"/>
    <w:rsid w:val="000620CB"/>
    <w:rsid w:val="00062174"/>
    <w:rsid w:val="0006218F"/>
    <w:rsid w:val="000621A6"/>
    <w:rsid w:val="000621C5"/>
    <w:rsid w:val="00062212"/>
    <w:rsid w:val="0006242F"/>
    <w:rsid w:val="00062446"/>
    <w:rsid w:val="0006259F"/>
    <w:rsid w:val="0006277F"/>
    <w:rsid w:val="00062889"/>
    <w:rsid w:val="000629B6"/>
    <w:rsid w:val="000629D1"/>
    <w:rsid w:val="00062A25"/>
    <w:rsid w:val="00062A78"/>
    <w:rsid w:val="00062BC6"/>
    <w:rsid w:val="00062D21"/>
    <w:rsid w:val="00062D59"/>
    <w:rsid w:val="00062F07"/>
    <w:rsid w:val="0006306C"/>
    <w:rsid w:val="000630B8"/>
    <w:rsid w:val="000632A7"/>
    <w:rsid w:val="00063389"/>
    <w:rsid w:val="00063415"/>
    <w:rsid w:val="00063453"/>
    <w:rsid w:val="000634C0"/>
    <w:rsid w:val="00063557"/>
    <w:rsid w:val="0006371D"/>
    <w:rsid w:val="00063779"/>
    <w:rsid w:val="000637A6"/>
    <w:rsid w:val="000637DD"/>
    <w:rsid w:val="00063A47"/>
    <w:rsid w:val="00063A60"/>
    <w:rsid w:val="00063AF0"/>
    <w:rsid w:val="00063B19"/>
    <w:rsid w:val="00063B33"/>
    <w:rsid w:val="00063B42"/>
    <w:rsid w:val="00063D0F"/>
    <w:rsid w:val="00063D80"/>
    <w:rsid w:val="00063E98"/>
    <w:rsid w:val="00063F92"/>
    <w:rsid w:val="00064195"/>
    <w:rsid w:val="00064291"/>
    <w:rsid w:val="000644F1"/>
    <w:rsid w:val="00064514"/>
    <w:rsid w:val="0006454F"/>
    <w:rsid w:val="0006456F"/>
    <w:rsid w:val="000645D4"/>
    <w:rsid w:val="0006461D"/>
    <w:rsid w:val="00064641"/>
    <w:rsid w:val="00064706"/>
    <w:rsid w:val="00064709"/>
    <w:rsid w:val="0006484B"/>
    <w:rsid w:val="00064909"/>
    <w:rsid w:val="000649A8"/>
    <w:rsid w:val="00064AD5"/>
    <w:rsid w:val="00064AE8"/>
    <w:rsid w:val="00064B86"/>
    <w:rsid w:val="00064DD5"/>
    <w:rsid w:val="00064E4C"/>
    <w:rsid w:val="00064E94"/>
    <w:rsid w:val="00065171"/>
    <w:rsid w:val="00065363"/>
    <w:rsid w:val="0006541B"/>
    <w:rsid w:val="000654B0"/>
    <w:rsid w:val="000655C9"/>
    <w:rsid w:val="000655D7"/>
    <w:rsid w:val="0006562D"/>
    <w:rsid w:val="0006577C"/>
    <w:rsid w:val="00065889"/>
    <w:rsid w:val="0006588C"/>
    <w:rsid w:val="000658D9"/>
    <w:rsid w:val="000659A4"/>
    <w:rsid w:val="00065A7C"/>
    <w:rsid w:val="00065D26"/>
    <w:rsid w:val="00065DEE"/>
    <w:rsid w:val="00065EFD"/>
    <w:rsid w:val="00066111"/>
    <w:rsid w:val="00066145"/>
    <w:rsid w:val="000661D8"/>
    <w:rsid w:val="00066225"/>
    <w:rsid w:val="00066247"/>
    <w:rsid w:val="000662EB"/>
    <w:rsid w:val="0006630E"/>
    <w:rsid w:val="000663D9"/>
    <w:rsid w:val="000665EC"/>
    <w:rsid w:val="00066600"/>
    <w:rsid w:val="00066608"/>
    <w:rsid w:val="000666BF"/>
    <w:rsid w:val="0006675B"/>
    <w:rsid w:val="0006678F"/>
    <w:rsid w:val="000667A2"/>
    <w:rsid w:val="000667F4"/>
    <w:rsid w:val="000668A3"/>
    <w:rsid w:val="00066A5B"/>
    <w:rsid w:val="00066B6E"/>
    <w:rsid w:val="00066B86"/>
    <w:rsid w:val="00066BBA"/>
    <w:rsid w:val="00066BED"/>
    <w:rsid w:val="00066C0F"/>
    <w:rsid w:val="00066CBF"/>
    <w:rsid w:val="00066CFE"/>
    <w:rsid w:val="00066E1F"/>
    <w:rsid w:val="00066F76"/>
    <w:rsid w:val="00066FB2"/>
    <w:rsid w:val="0006700D"/>
    <w:rsid w:val="00067100"/>
    <w:rsid w:val="00067153"/>
    <w:rsid w:val="00067360"/>
    <w:rsid w:val="000674C3"/>
    <w:rsid w:val="00067527"/>
    <w:rsid w:val="00067579"/>
    <w:rsid w:val="0006759A"/>
    <w:rsid w:val="000675AB"/>
    <w:rsid w:val="0006769F"/>
    <w:rsid w:val="000676A2"/>
    <w:rsid w:val="0006777E"/>
    <w:rsid w:val="00067A9D"/>
    <w:rsid w:val="00067AFD"/>
    <w:rsid w:val="00067BAF"/>
    <w:rsid w:val="00067C6F"/>
    <w:rsid w:val="00067C75"/>
    <w:rsid w:val="00067E1A"/>
    <w:rsid w:val="00067ECC"/>
    <w:rsid w:val="00067EFC"/>
    <w:rsid w:val="00067FE5"/>
    <w:rsid w:val="000700D9"/>
    <w:rsid w:val="000700FC"/>
    <w:rsid w:val="0007016B"/>
    <w:rsid w:val="0007018F"/>
    <w:rsid w:val="00070234"/>
    <w:rsid w:val="00070264"/>
    <w:rsid w:val="000702CF"/>
    <w:rsid w:val="0007034E"/>
    <w:rsid w:val="00070484"/>
    <w:rsid w:val="000704A8"/>
    <w:rsid w:val="000704A9"/>
    <w:rsid w:val="000704D7"/>
    <w:rsid w:val="000704E8"/>
    <w:rsid w:val="000705B5"/>
    <w:rsid w:val="000705C7"/>
    <w:rsid w:val="000705D9"/>
    <w:rsid w:val="00070700"/>
    <w:rsid w:val="000707CA"/>
    <w:rsid w:val="0007082A"/>
    <w:rsid w:val="00070830"/>
    <w:rsid w:val="00070951"/>
    <w:rsid w:val="00070955"/>
    <w:rsid w:val="0007096C"/>
    <w:rsid w:val="00070979"/>
    <w:rsid w:val="00070B81"/>
    <w:rsid w:val="00070B95"/>
    <w:rsid w:val="00070C1D"/>
    <w:rsid w:val="00070C70"/>
    <w:rsid w:val="00070D01"/>
    <w:rsid w:val="00070DC5"/>
    <w:rsid w:val="00070DCC"/>
    <w:rsid w:val="00070F2B"/>
    <w:rsid w:val="00070F9D"/>
    <w:rsid w:val="00070FF2"/>
    <w:rsid w:val="00071022"/>
    <w:rsid w:val="00071280"/>
    <w:rsid w:val="00071364"/>
    <w:rsid w:val="0007143B"/>
    <w:rsid w:val="00071509"/>
    <w:rsid w:val="0007157F"/>
    <w:rsid w:val="000718F7"/>
    <w:rsid w:val="00071A3C"/>
    <w:rsid w:val="00071B23"/>
    <w:rsid w:val="00071B33"/>
    <w:rsid w:val="00071B6A"/>
    <w:rsid w:val="00071C2F"/>
    <w:rsid w:val="00071CD7"/>
    <w:rsid w:val="00071D20"/>
    <w:rsid w:val="00071D56"/>
    <w:rsid w:val="00071DAB"/>
    <w:rsid w:val="00071FE9"/>
    <w:rsid w:val="00072035"/>
    <w:rsid w:val="00072052"/>
    <w:rsid w:val="000720E8"/>
    <w:rsid w:val="00072181"/>
    <w:rsid w:val="0007222B"/>
    <w:rsid w:val="00072239"/>
    <w:rsid w:val="0007226C"/>
    <w:rsid w:val="00072283"/>
    <w:rsid w:val="000723EC"/>
    <w:rsid w:val="00072433"/>
    <w:rsid w:val="0007256A"/>
    <w:rsid w:val="0007256D"/>
    <w:rsid w:val="0007256F"/>
    <w:rsid w:val="000725A2"/>
    <w:rsid w:val="000727B0"/>
    <w:rsid w:val="00072832"/>
    <w:rsid w:val="00072945"/>
    <w:rsid w:val="0007298A"/>
    <w:rsid w:val="00072AD0"/>
    <w:rsid w:val="00072B31"/>
    <w:rsid w:val="00072B76"/>
    <w:rsid w:val="00072BF9"/>
    <w:rsid w:val="00072C01"/>
    <w:rsid w:val="00072C12"/>
    <w:rsid w:val="00072D6C"/>
    <w:rsid w:val="00072E6C"/>
    <w:rsid w:val="00072F1F"/>
    <w:rsid w:val="00073240"/>
    <w:rsid w:val="000732DD"/>
    <w:rsid w:val="0007334E"/>
    <w:rsid w:val="00073364"/>
    <w:rsid w:val="000733AF"/>
    <w:rsid w:val="000734FC"/>
    <w:rsid w:val="000736BC"/>
    <w:rsid w:val="0007386D"/>
    <w:rsid w:val="00073C5C"/>
    <w:rsid w:val="00073E54"/>
    <w:rsid w:val="00073F6F"/>
    <w:rsid w:val="00073FAB"/>
    <w:rsid w:val="000740CD"/>
    <w:rsid w:val="000741DD"/>
    <w:rsid w:val="0007429E"/>
    <w:rsid w:val="000742FA"/>
    <w:rsid w:val="0007432D"/>
    <w:rsid w:val="00074424"/>
    <w:rsid w:val="0007449B"/>
    <w:rsid w:val="00074517"/>
    <w:rsid w:val="00074589"/>
    <w:rsid w:val="000747D5"/>
    <w:rsid w:val="000748A4"/>
    <w:rsid w:val="000748AB"/>
    <w:rsid w:val="000748DA"/>
    <w:rsid w:val="00074937"/>
    <w:rsid w:val="000749F4"/>
    <w:rsid w:val="00074B3D"/>
    <w:rsid w:val="00074D1A"/>
    <w:rsid w:val="00074DAE"/>
    <w:rsid w:val="00074DF9"/>
    <w:rsid w:val="00074EB4"/>
    <w:rsid w:val="00074F34"/>
    <w:rsid w:val="00074F81"/>
    <w:rsid w:val="0007509A"/>
    <w:rsid w:val="000750B8"/>
    <w:rsid w:val="000751D3"/>
    <w:rsid w:val="00075269"/>
    <w:rsid w:val="000752A6"/>
    <w:rsid w:val="000752C0"/>
    <w:rsid w:val="000753D6"/>
    <w:rsid w:val="000753DD"/>
    <w:rsid w:val="000753EF"/>
    <w:rsid w:val="000754ED"/>
    <w:rsid w:val="00075576"/>
    <w:rsid w:val="0007566F"/>
    <w:rsid w:val="000757DB"/>
    <w:rsid w:val="0007596F"/>
    <w:rsid w:val="0007598D"/>
    <w:rsid w:val="000759AE"/>
    <w:rsid w:val="00075A1B"/>
    <w:rsid w:val="00075CE5"/>
    <w:rsid w:val="00075D7A"/>
    <w:rsid w:val="00075E4A"/>
    <w:rsid w:val="00075F59"/>
    <w:rsid w:val="00075F80"/>
    <w:rsid w:val="00075F85"/>
    <w:rsid w:val="000761C8"/>
    <w:rsid w:val="00076294"/>
    <w:rsid w:val="000763AE"/>
    <w:rsid w:val="00076569"/>
    <w:rsid w:val="000765CF"/>
    <w:rsid w:val="00076776"/>
    <w:rsid w:val="00076797"/>
    <w:rsid w:val="00076991"/>
    <w:rsid w:val="000769C1"/>
    <w:rsid w:val="00076B0F"/>
    <w:rsid w:val="00076B61"/>
    <w:rsid w:val="00076BE7"/>
    <w:rsid w:val="00076D03"/>
    <w:rsid w:val="00076D9D"/>
    <w:rsid w:val="00076E20"/>
    <w:rsid w:val="00076EB5"/>
    <w:rsid w:val="000770E3"/>
    <w:rsid w:val="000770F1"/>
    <w:rsid w:val="00077377"/>
    <w:rsid w:val="000775DE"/>
    <w:rsid w:val="0007776F"/>
    <w:rsid w:val="00077835"/>
    <w:rsid w:val="000778F3"/>
    <w:rsid w:val="000779C9"/>
    <w:rsid w:val="00077A12"/>
    <w:rsid w:val="00077B56"/>
    <w:rsid w:val="00077C47"/>
    <w:rsid w:val="0008003A"/>
    <w:rsid w:val="00080193"/>
    <w:rsid w:val="0008029A"/>
    <w:rsid w:val="0008033D"/>
    <w:rsid w:val="00080658"/>
    <w:rsid w:val="000806B9"/>
    <w:rsid w:val="00080742"/>
    <w:rsid w:val="000807F3"/>
    <w:rsid w:val="00080977"/>
    <w:rsid w:val="0008097C"/>
    <w:rsid w:val="00080A97"/>
    <w:rsid w:val="00080C1A"/>
    <w:rsid w:val="00080C1D"/>
    <w:rsid w:val="00080C34"/>
    <w:rsid w:val="00080C38"/>
    <w:rsid w:val="00080F56"/>
    <w:rsid w:val="00081097"/>
    <w:rsid w:val="00081179"/>
    <w:rsid w:val="0008127F"/>
    <w:rsid w:val="000813A9"/>
    <w:rsid w:val="000813AF"/>
    <w:rsid w:val="000813BC"/>
    <w:rsid w:val="000814C8"/>
    <w:rsid w:val="0008162A"/>
    <w:rsid w:val="0008168E"/>
    <w:rsid w:val="000816A7"/>
    <w:rsid w:val="0008183C"/>
    <w:rsid w:val="00081868"/>
    <w:rsid w:val="00081958"/>
    <w:rsid w:val="0008196A"/>
    <w:rsid w:val="00081A0C"/>
    <w:rsid w:val="00081AFD"/>
    <w:rsid w:val="00081BB6"/>
    <w:rsid w:val="00081C0B"/>
    <w:rsid w:val="00081D9E"/>
    <w:rsid w:val="00081E33"/>
    <w:rsid w:val="00081EBB"/>
    <w:rsid w:val="00082123"/>
    <w:rsid w:val="000821FC"/>
    <w:rsid w:val="0008239E"/>
    <w:rsid w:val="000823ED"/>
    <w:rsid w:val="0008241F"/>
    <w:rsid w:val="0008250E"/>
    <w:rsid w:val="0008268C"/>
    <w:rsid w:val="00082695"/>
    <w:rsid w:val="00082909"/>
    <w:rsid w:val="0008295D"/>
    <w:rsid w:val="000829F0"/>
    <w:rsid w:val="00082ADE"/>
    <w:rsid w:val="00082D42"/>
    <w:rsid w:val="00082E75"/>
    <w:rsid w:val="00082EEA"/>
    <w:rsid w:val="00082F05"/>
    <w:rsid w:val="00083036"/>
    <w:rsid w:val="00083145"/>
    <w:rsid w:val="000831D1"/>
    <w:rsid w:val="00083314"/>
    <w:rsid w:val="000833A8"/>
    <w:rsid w:val="000833B9"/>
    <w:rsid w:val="000833F8"/>
    <w:rsid w:val="0008349B"/>
    <w:rsid w:val="000835C4"/>
    <w:rsid w:val="00083669"/>
    <w:rsid w:val="00083765"/>
    <w:rsid w:val="000838BC"/>
    <w:rsid w:val="000838EB"/>
    <w:rsid w:val="00083944"/>
    <w:rsid w:val="00083A18"/>
    <w:rsid w:val="00083A38"/>
    <w:rsid w:val="00083AC4"/>
    <w:rsid w:val="00083B8A"/>
    <w:rsid w:val="00083C0C"/>
    <w:rsid w:val="00083D18"/>
    <w:rsid w:val="00083DD5"/>
    <w:rsid w:val="00083E16"/>
    <w:rsid w:val="00083E48"/>
    <w:rsid w:val="00083E6B"/>
    <w:rsid w:val="00083F1A"/>
    <w:rsid w:val="00083F32"/>
    <w:rsid w:val="00083FC0"/>
    <w:rsid w:val="00083FD9"/>
    <w:rsid w:val="000840E0"/>
    <w:rsid w:val="00084189"/>
    <w:rsid w:val="000841BA"/>
    <w:rsid w:val="00084272"/>
    <w:rsid w:val="00084298"/>
    <w:rsid w:val="000842D0"/>
    <w:rsid w:val="0008436D"/>
    <w:rsid w:val="00084427"/>
    <w:rsid w:val="0008444C"/>
    <w:rsid w:val="00084505"/>
    <w:rsid w:val="000845C5"/>
    <w:rsid w:val="000846AD"/>
    <w:rsid w:val="00084733"/>
    <w:rsid w:val="000847DB"/>
    <w:rsid w:val="000847DF"/>
    <w:rsid w:val="0008488C"/>
    <w:rsid w:val="00084A68"/>
    <w:rsid w:val="00084AD7"/>
    <w:rsid w:val="00084B56"/>
    <w:rsid w:val="00084BD7"/>
    <w:rsid w:val="00084C49"/>
    <w:rsid w:val="00084F0C"/>
    <w:rsid w:val="00084F3A"/>
    <w:rsid w:val="00084FF7"/>
    <w:rsid w:val="00085164"/>
    <w:rsid w:val="000851D9"/>
    <w:rsid w:val="0008524A"/>
    <w:rsid w:val="00085321"/>
    <w:rsid w:val="000853D1"/>
    <w:rsid w:val="00085443"/>
    <w:rsid w:val="0008558E"/>
    <w:rsid w:val="00085619"/>
    <w:rsid w:val="000856A8"/>
    <w:rsid w:val="00085726"/>
    <w:rsid w:val="0008589E"/>
    <w:rsid w:val="000858BB"/>
    <w:rsid w:val="0008599E"/>
    <w:rsid w:val="00085B1F"/>
    <w:rsid w:val="00085B52"/>
    <w:rsid w:val="00085BB7"/>
    <w:rsid w:val="00085C54"/>
    <w:rsid w:val="00085C59"/>
    <w:rsid w:val="00085C83"/>
    <w:rsid w:val="00085CC1"/>
    <w:rsid w:val="00085D96"/>
    <w:rsid w:val="00085DBE"/>
    <w:rsid w:val="00085F9A"/>
    <w:rsid w:val="0008609E"/>
    <w:rsid w:val="00086116"/>
    <w:rsid w:val="0008619C"/>
    <w:rsid w:val="00086272"/>
    <w:rsid w:val="000862E5"/>
    <w:rsid w:val="00086333"/>
    <w:rsid w:val="0008642A"/>
    <w:rsid w:val="0008644F"/>
    <w:rsid w:val="00086522"/>
    <w:rsid w:val="00086581"/>
    <w:rsid w:val="00086652"/>
    <w:rsid w:val="00086690"/>
    <w:rsid w:val="000868A9"/>
    <w:rsid w:val="00086943"/>
    <w:rsid w:val="0008699C"/>
    <w:rsid w:val="0008699F"/>
    <w:rsid w:val="00086A21"/>
    <w:rsid w:val="00086A79"/>
    <w:rsid w:val="00086AD8"/>
    <w:rsid w:val="00086C9E"/>
    <w:rsid w:val="00086E14"/>
    <w:rsid w:val="00087197"/>
    <w:rsid w:val="00087203"/>
    <w:rsid w:val="00087230"/>
    <w:rsid w:val="000873B5"/>
    <w:rsid w:val="000873BB"/>
    <w:rsid w:val="00087460"/>
    <w:rsid w:val="000875D0"/>
    <w:rsid w:val="0008760E"/>
    <w:rsid w:val="00087630"/>
    <w:rsid w:val="0008772B"/>
    <w:rsid w:val="0008773A"/>
    <w:rsid w:val="000877FB"/>
    <w:rsid w:val="00087904"/>
    <w:rsid w:val="000879A7"/>
    <w:rsid w:val="00087A13"/>
    <w:rsid w:val="00087BC9"/>
    <w:rsid w:val="00087BF8"/>
    <w:rsid w:val="00087C00"/>
    <w:rsid w:val="00087D09"/>
    <w:rsid w:val="00087E22"/>
    <w:rsid w:val="00087E40"/>
    <w:rsid w:val="00087E60"/>
    <w:rsid w:val="00087F8E"/>
    <w:rsid w:val="00090013"/>
    <w:rsid w:val="00090026"/>
    <w:rsid w:val="000900B8"/>
    <w:rsid w:val="0009014C"/>
    <w:rsid w:val="000901B5"/>
    <w:rsid w:val="000901CC"/>
    <w:rsid w:val="00090265"/>
    <w:rsid w:val="000902FE"/>
    <w:rsid w:val="00090474"/>
    <w:rsid w:val="000904F0"/>
    <w:rsid w:val="0009065E"/>
    <w:rsid w:val="000906F5"/>
    <w:rsid w:val="00090702"/>
    <w:rsid w:val="00090751"/>
    <w:rsid w:val="0009075A"/>
    <w:rsid w:val="00090781"/>
    <w:rsid w:val="00090897"/>
    <w:rsid w:val="000909A5"/>
    <w:rsid w:val="000909E0"/>
    <w:rsid w:val="00090A7D"/>
    <w:rsid w:val="00090AF4"/>
    <w:rsid w:val="00090B43"/>
    <w:rsid w:val="00090D33"/>
    <w:rsid w:val="00090D7E"/>
    <w:rsid w:val="00090DBD"/>
    <w:rsid w:val="00090DFE"/>
    <w:rsid w:val="000910B7"/>
    <w:rsid w:val="000910B9"/>
    <w:rsid w:val="00091291"/>
    <w:rsid w:val="000912BC"/>
    <w:rsid w:val="00091363"/>
    <w:rsid w:val="00091480"/>
    <w:rsid w:val="0009168B"/>
    <w:rsid w:val="000916CB"/>
    <w:rsid w:val="00091738"/>
    <w:rsid w:val="000917B5"/>
    <w:rsid w:val="0009181A"/>
    <w:rsid w:val="0009192D"/>
    <w:rsid w:val="000919B4"/>
    <w:rsid w:val="00091B2C"/>
    <w:rsid w:val="00091FF6"/>
    <w:rsid w:val="000921F0"/>
    <w:rsid w:val="000921F4"/>
    <w:rsid w:val="00092222"/>
    <w:rsid w:val="00092341"/>
    <w:rsid w:val="00092438"/>
    <w:rsid w:val="00092708"/>
    <w:rsid w:val="000927D1"/>
    <w:rsid w:val="00092811"/>
    <w:rsid w:val="000929C5"/>
    <w:rsid w:val="00092A21"/>
    <w:rsid w:val="00092C5E"/>
    <w:rsid w:val="00093024"/>
    <w:rsid w:val="00093148"/>
    <w:rsid w:val="00093162"/>
    <w:rsid w:val="00093426"/>
    <w:rsid w:val="000934AA"/>
    <w:rsid w:val="00093606"/>
    <w:rsid w:val="0009362E"/>
    <w:rsid w:val="00093694"/>
    <w:rsid w:val="000938A7"/>
    <w:rsid w:val="000938BA"/>
    <w:rsid w:val="000939F9"/>
    <w:rsid w:val="00093A50"/>
    <w:rsid w:val="00093B1E"/>
    <w:rsid w:val="00093C27"/>
    <w:rsid w:val="00093C5C"/>
    <w:rsid w:val="00093C85"/>
    <w:rsid w:val="00093D65"/>
    <w:rsid w:val="00093E47"/>
    <w:rsid w:val="00093F38"/>
    <w:rsid w:val="00093F3A"/>
    <w:rsid w:val="00094063"/>
    <w:rsid w:val="000940BD"/>
    <w:rsid w:val="00094187"/>
    <w:rsid w:val="00094276"/>
    <w:rsid w:val="000942FA"/>
    <w:rsid w:val="00094358"/>
    <w:rsid w:val="000943E5"/>
    <w:rsid w:val="0009442C"/>
    <w:rsid w:val="000944C6"/>
    <w:rsid w:val="00094517"/>
    <w:rsid w:val="000947F0"/>
    <w:rsid w:val="0009482E"/>
    <w:rsid w:val="0009487F"/>
    <w:rsid w:val="00094A80"/>
    <w:rsid w:val="00094B42"/>
    <w:rsid w:val="00094C67"/>
    <w:rsid w:val="00094D63"/>
    <w:rsid w:val="00094E4A"/>
    <w:rsid w:val="00094EA4"/>
    <w:rsid w:val="00094ED1"/>
    <w:rsid w:val="00094FD6"/>
    <w:rsid w:val="00094FE7"/>
    <w:rsid w:val="000951C3"/>
    <w:rsid w:val="00095229"/>
    <w:rsid w:val="000952CE"/>
    <w:rsid w:val="000952E8"/>
    <w:rsid w:val="00095384"/>
    <w:rsid w:val="00095392"/>
    <w:rsid w:val="000953D5"/>
    <w:rsid w:val="00095626"/>
    <w:rsid w:val="00095649"/>
    <w:rsid w:val="00095692"/>
    <w:rsid w:val="000959B0"/>
    <w:rsid w:val="00095A4B"/>
    <w:rsid w:val="00095BDE"/>
    <w:rsid w:val="00095CB9"/>
    <w:rsid w:val="00095DC6"/>
    <w:rsid w:val="00095E06"/>
    <w:rsid w:val="00095E15"/>
    <w:rsid w:val="00095F94"/>
    <w:rsid w:val="000960E3"/>
    <w:rsid w:val="00096172"/>
    <w:rsid w:val="000961D8"/>
    <w:rsid w:val="0009621E"/>
    <w:rsid w:val="00096245"/>
    <w:rsid w:val="00096258"/>
    <w:rsid w:val="000962B9"/>
    <w:rsid w:val="000962D5"/>
    <w:rsid w:val="00096370"/>
    <w:rsid w:val="00096390"/>
    <w:rsid w:val="0009651C"/>
    <w:rsid w:val="00096647"/>
    <w:rsid w:val="00096689"/>
    <w:rsid w:val="000966BD"/>
    <w:rsid w:val="000967DB"/>
    <w:rsid w:val="0009680A"/>
    <w:rsid w:val="00096839"/>
    <w:rsid w:val="0009685B"/>
    <w:rsid w:val="00096945"/>
    <w:rsid w:val="00096A38"/>
    <w:rsid w:val="00096C4C"/>
    <w:rsid w:val="00096EB4"/>
    <w:rsid w:val="00097075"/>
    <w:rsid w:val="0009721F"/>
    <w:rsid w:val="00097366"/>
    <w:rsid w:val="00097453"/>
    <w:rsid w:val="00097564"/>
    <w:rsid w:val="0009795C"/>
    <w:rsid w:val="00097A6E"/>
    <w:rsid w:val="00097C7B"/>
    <w:rsid w:val="00097C9F"/>
    <w:rsid w:val="00097D15"/>
    <w:rsid w:val="00097D69"/>
    <w:rsid w:val="00097E40"/>
    <w:rsid w:val="00097EFD"/>
    <w:rsid w:val="00097F13"/>
    <w:rsid w:val="00097F4D"/>
    <w:rsid w:val="000A00FC"/>
    <w:rsid w:val="000A0224"/>
    <w:rsid w:val="000A024F"/>
    <w:rsid w:val="000A0317"/>
    <w:rsid w:val="000A03E8"/>
    <w:rsid w:val="000A03F9"/>
    <w:rsid w:val="000A053C"/>
    <w:rsid w:val="000A07CF"/>
    <w:rsid w:val="000A07EC"/>
    <w:rsid w:val="000A0896"/>
    <w:rsid w:val="000A0979"/>
    <w:rsid w:val="000A09C5"/>
    <w:rsid w:val="000A0B15"/>
    <w:rsid w:val="000A0C1E"/>
    <w:rsid w:val="000A0DA0"/>
    <w:rsid w:val="000A0DE3"/>
    <w:rsid w:val="000A0E15"/>
    <w:rsid w:val="000A0F48"/>
    <w:rsid w:val="000A0F6B"/>
    <w:rsid w:val="000A0FC5"/>
    <w:rsid w:val="000A103D"/>
    <w:rsid w:val="000A11E3"/>
    <w:rsid w:val="000A1250"/>
    <w:rsid w:val="000A13F8"/>
    <w:rsid w:val="000A14EF"/>
    <w:rsid w:val="000A1503"/>
    <w:rsid w:val="000A1533"/>
    <w:rsid w:val="000A1601"/>
    <w:rsid w:val="000A160E"/>
    <w:rsid w:val="000A17ED"/>
    <w:rsid w:val="000A183C"/>
    <w:rsid w:val="000A18CE"/>
    <w:rsid w:val="000A196B"/>
    <w:rsid w:val="000A19D8"/>
    <w:rsid w:val="000A1A83"/>
    <w:rsid w:val="000A1AEB"/>
    <w:rsid w:val="000A1B81"/>
    <w:rsid w:val="000A1BAD"/>
    <w:rsid w:val="000A1C4D"/>
    <w:rsid w:val="000A1CA6"/>
    <w:rsid w:val="000A1EB1"/>
    <w:rsid w:val="000A2059"/>
    <w:rsid w:val="000A2089"/>
    <w:rsid w:val="000A2189"/>
    <w:rsid w:val="000A21A0"/>
    <w:rsid w:val="000A2284"/>
    <w:rsid w:val="000A2441"/>
    <w:rsid w:val="000A2483"/>
    <w:rsid w:val="000A2512"/>
    <w:rsid w:val="000A2557"/>
    <w:rsid w:val="000A2639"/>
    <w:rsid w:val="000A26BA"/>
    <w:rsid w:val="000A26F0"/>
    <w:rsid w:val="000A2930"/>
    <w:rsid w:val="000A294B"/>
    <w:rsid w:val="000A2CA8"/>
    <w:rsid w:val="000A2EBE"/>
    <w:rsid w:val="000A2EE8"/>
    <w:rsid w:val="000A2EF8"/>
    <w:rsid w:val="000A3085"/>
    <w:rsid w:val="000A30A6"/>
    <w:rsid w:val="000A30DB"/>
    <w:rsid w:val="000A30F7"/>
    <w:rsid w:val="000A3181"/>
    <w:rsid w:val="000A31B6"/>
    <w:rsid w:val="000A32A8"/>
    <w:rsid w:val="000A3355"/>
    <w:rsid w:val="000A33D8"/>
    <w:rsid w:val="000A3425"/>
    <w:rsid w:val="000A3428"/>
    <w:rsid w:val="000A35BA"/>
    <w:rsid w:val="000A367B"/>
    <w:rsid w:val="000A36D1"/>
    <w:rsid w:val="000A381A"/>
    <w:rsid w:val="000A3935"/>
    <w:rsid w:val="000A3AA2"/>
    <w:rsid w:val="000A3BEC"/>
    <w:rsid w:val="000A3C16"/>
    <w:rsid w:val="000A3CC1"/>
    <w:rsid w:val="000A3CFF"/>
    <w:rsid w:val="000A3DAC"/>
    <w:rsid w:val="000A3DB2"/>
    <w:rsid w:val="000A3E44"/>
    <w:rsid w:val="000A3FB3"/>
    <w:rsid w:val="000A3FFB"/>
    <w:rsid w:val="000A4003"/>
    <w:rsid w:val="000A4172"/>
    <w:rsid w:val="000A44A5"/>
    <w:rsid w:val="000A44BA"/>
    <w:rsid w:val="000A4510"/>
    <w:rsid w:val="000A452A"/>
    <w:rsid w:val="000A4665"/>
    <w:rsid w:val="000A4805"/>
    <w:rsid w:val="000A4A0C"/>
    <w:rsid w:val="000A4B4B"/>
    <w:rsid w:val="000A4C22"/>
    <w:rsid w:val="000A4C25"/>
    <w:rsid w:val="000A4DED"/>
    <w:rsid w:val="000A4EE4"/>
    <w:rsid w:val="000A4FB7"/>
    <w:rsid w:val="000A5131"/>
    <w:rsid w:val="000A521A"/>
    <w:rsid w:val="000A5398"/>
    <w:rsid w:val="000A550A"/>
    <w:rsid w:val="000A5599"/>
    <w:rsid w:val="000A55CB"/>
    <w:rsid w:val="000A5603"/>
    <w:rsid w:val="000A56F2"/>
    <w:rsid w:val="000A56FB"/>
    <w:rsid w:val="000A5A13"/>
    <w:rsid w:val="000A5A48"/>
    <w:rsid w:val="000A5A8B"/>
    <w:rsid w:val="000A5AD3"/>
    <w:rsid w:val="000A5C3A"/>
    <w:rsid w:val="000A5CF8"/>
    <w:rsid w:val="000A5D27"/>
    <w:rsid w:val="000A5D6C"/>
    <w:rsid w:val="000A5D73"/>
    <w:rsid w:val="000A5F09"/>
    <w:rsid w:val="000A5F54"/>
    <w:rsid w:val="000A5F61"/>
    <w:rsid w:val="000A609B"/>
    <w:rsid w:val="000A623B"/>
    <w:rsid w:val="000A6277"/>
    <w:rsid w:val="000A62F5"/>
    <w:rsid w:val="000A6453"/>
    <w:rsid w:val="000A64A4"/>
    <w:rsid w:val="000A64AA"/>
    <w:rsid w:val="000A64AF"/>
    <w:rsid w:val="000A64EB"/>
    <w:rsid w:val="000A661E"/>
    <w:rsid w:val="000A6629"/>
    <w:rsid w:val="000A6644"/>
    <w:rsid w:val="000A666F"/>
    <w:rsid w:val="000A6793"/>
    <w:rsid w:val="000A6803"/>
    <w:rsid w:val="000A6806"/>
    <w:rsid w:val="000A69E0"/>
    <w:rsid w:val="000A69F1"/>
    <w:rsid w:val="000A6ACB"/>
    <w:rsid w:val="000A6AD0"/>
    <w:rsid w:val="000A6DC6"/>
    <w:rsid w:val="000A6E8A"/>
    <w:rsid w:val="000A6ED5"/>
    <w:rsid w:val="000A6EF6"/>
    <w:rsid w:val="000A7159"/>
    <w:rsid w:val="000A74D1"/>
    <w:rsid w:val="000A75D3"/>
    <w:rsid w:val="000A760F"/>
    <w:rsid w:val="000A76BA"/>
    <w:rsid w:val="000A76F3"/>
    <w:rsid w:val="000A7743"/>
    <w:rsid w:val="000A77C9"/>
    <w:rsid w:val="000A79DB"/>
    <w:rsid w:val="000A7AC2"/>
    <w:rsid w:val="000A7BD6"/>
    <w:rsid w:val="000A7D29"/>
    <w:rsid w:val="000A7DFB"/>
    <w:rsid w:val="000A7E2D"/>
    <w:rsid w:val="000A7E86"/>
    <w:rsid w:val="000A7E8E"/>
    <w:rsid w:val="000A7EB7"/>
    <w:rsid w:val="000A7EC4"/>
    <w:rsid w:val="000A7EC8"/>
    <w:rsid w:val="000A7F05"/>
    <w:rsid w:val="000B001A"/>
    <w:rsid w:val="000B006F"/>
    <w:rsid w:val="000B00B7"/>
    <w:rsid w:val="000B00E4"/>
    <w:rsid w:val="000B0280"/>
    <w:rsid w:val="000B02A4"/>
    <w:rsid w:val="000B03B3"/>
    <w:rsid w:val="000B0414"/>
    <w:rsid w:val="000B0458"/>
    <w:rsid w:val="000B04C4"/>
    <w:rsid w:val="000B04E4"/>
    <w:rsid w:val="000B0566"/>
    <w:rsid w:val="000B0587"/>
    <w:rsid w:val="000B077C"/>
    <w:rsid w:val="000B07DB"/>
    <w:rsid w:val="000B0951"/>
    <w:rsid w:val="000B0AC0"/>
    <w:rsid w:val="000B0D5F"/>
    <w:rsid w:val="000B0E54"/>
    <w:rsid w:val="000B112B"/>
    <w:rsid w:val="000B116E"/>
    <w:rsid w:val="000B126F"/>
    <w:rsid w:val="000B1281"/>
    <w:rsid w:val="000B136C"/>
    <w:rsid w:val="000B13C2"/>
    <w:rsid w:val="000B1633"/>
    <w:rsid w:val="000B1763"/>
    <w:rsid w:val="000B1768"/>
    <w:rsid w:val="000B17C6"/>
    <w:rsid w:val="000B17F9"/>
    <w:rsid w:val="000B186C"/>
    <w:rsid w:val="000B1AB9"/>
    <w:rsid w:val="000B1BF1"/>
    <w:rsid w:val="000B1CA4"/>
    <w:rsid w:val="000B1E63"/>
    <w:rsid w:val="000B1F04"/>
    <w:rsid w:val="000B1F33"/>
    <w:rsid w:val="000B1FC0"/>
    <w:rsid w:val="000B20C8"/>
    <w:rsid w:val="000B21A0"/>
    <w:rsid w:val="000B21F8"/>
    <w:rsid w:val="000B22CD"/>
    <w:rsid w:val="000B230E"/>
    <w:rsid w:val="000B2323"/>
    <w:rsid w:val="000B240D"/>
    <w:rsid w:val="000B243A"/>
    <w:rsid w:val="000B2443"/>
    <w:rsid w:val="000B2449"/>
    <w:rsid w:val="000B246C"/>
    <w:rsid w:val="000B253E"/>
    <w:rsid w:val="000B2563"/>
    <w:rsid w:val="000B260D"/>
    <w:rsid w:val="000B2615"/>
    <w:rsid w:val="000B26E9"/>
    <w:rsid w:val="000B28D3"/>
    <w:rsid w:val="000B28E8"/>
    <w:rsid w:val="000B28FC"/>
    <w:rsid w:val="000B29E8"/>
    <w:rsid w:val="000B2A9F"/>
    <w:rsid w:val="000B2AFE"/>
    <w:rsid w:val="000B2B12"/>
    <w:rsid w:val="000B2BF4"/>
    <w:rsid w:val="000B2C17"/>
    <w:rsid w:val="000B2CFB"/>
    <w:rsid w:val="000B2CFD"/>
    <w:rsid w:val="000B2DBC"/>
    <w:rsid w:val="000B2E3C"/>
    <w:rsid w:val="000B2E3E"/>
    <w:rsid w:val="000B2E51"/>
    <w:rsid w:val="000B2EEF"/>
    <w:rsid w:val="000B3284"/>
    <w:rsid w:val="000B338C"/>
    <w:rsid w:val="000B3542"/>
    <w:rsid w:val="000B38CE"/>
    <w:rsid w:val="000B3950"/>
    <w:rsid w:val="000B3B3C"/>
    <w:rsid w:val="000B3DD7"/>
    <w:rsid w:val="000B3EC8"/>
    <w:rsid w:val="000B3EFC"/>
    <w:rsid w:val="000B4270"/>
    <w:rsid w:val="000B4373"/>
    <w:rsid w:val="000B43C1"/>
    <w:rsid w:val="000B44A3"/>
    <w:rsid w:val="000B4610"/>
    <w:rsid w:val="000B471E"/>
    <w:rsid w:val="000B4869"/>
    <w:rsid w:val="000B48ED"/>
    <w:rsid w:val="000B4A06"/>
    <w:rsid w:val="000B4A71"/>
    <w:rsid w:val="000B4AB9"/>
    <w:rsid w:val="000B4BB7"/>
    <w:rsid w:val="000B4C03"/>
    <w:rsid w:val="000B4C89"/>
    <w:rsid w:val="000B4E14"/>
    <w:rsid w:val="000B4F8B"/>
    <w:rsid w:val="000B4FC2"/>
    <w:rsid w:val="000B50BD"/>
    <w:rsid w:val="000B50BE"/>
    <w:rsid w:val="000B5438"/>
    <w:rsid w:val="000B56BF"/>
    <w:rsid w:val="000B57DE"/>
    <w:rsid w:val="000B5974"/>
    <w:rsid w:val="000B5A2E"/>
    <w:rsid w:val="000B5A32"/>
    <w:rsid w:val="000B5ABE"/>
    <w:rsid w:val="000B5B46"/>
    <w:rsid w:val="000B5B8B"/>
    <w:rsid w:val="000B5CD0"/>
    <w:rsid w:val="000B5D79"/>
    <w:rsid w:val="000B5E54"/>
    <w:rsid w:val="000B5F2D"/>
    <w:rsid w:val="000B609C"/>
    <w:rsid w:val="000B610D"/>
    <w:rsid w:val="000B6206"/>
    <w:rsid w:val="000B62CA"/>
    <w:rsid w:val="000B63F0"/>
    <w:rsid w:val="000B641D"/>
    <w:rsid w:val="000B646F"/>
    <w:rsid w:val="000B6541"/>
    <w:rsid w:val="000B6726"/>
    <w:rsid w:val="000B68A2"/>
    <w:rsid w:val="000B6A48"/>
    <w:rsid w:val="000B6A65"/>
    <w:rsid w:val="000B6BDD"/>
    <w:rsid w:val="000B6BE7"/>
    <w:rsid w:val="000B6C05"/>
    <w:rsid w:val="000B6C55"/>
    <w:rsid w:val="000B6C73"/>
    <w:rsid w:val="000B6DEC"/>
    <w:rsid w:val="000B6E7E"/>
    <w:rsid w:val="000B6E9B"/>
    <w:rsid w:val="000B6EBA"/>
    <w:rsid w:val="000B7030"/>
    <w:rsid w:val="000B7094"/>
    <w:rsid w:val="000B7113"/>
    <w:rsid w:val="000B72C0"/>
    <w:rsid w:val="000B764D"/>
    <w:rsid w:val="000B7668"/>
    <w:rsid w:val="000B769F"/>
    <w:rsid w:val="000B78CC"/>
    <w:rsid w:val="000B792A"/>
    <w:rsid w:val="000B7A86"/>
    <w:rsid w:val="000B7AF1"/>
    <w:rsid w:val="000B7C09"/>
    <w:rsid w:val="000B7DA4"/>
    <w:rsid w:val="000B7E3B"/>
    <w:rsid w:val="000B7E7E"/>
    <w:rsid w:val="000B7F1B"/>
    <w:rsid w:val="000C00A0"/>
    <w:rsid w:val="000C00BA"/>
    <w:rsid w:val="000C025E"/>
    <w:rsid w:val="000C0354"/>
    <w:rsid w:val="000C03D6"/>
    <w:rsid w:val="000C050D"/>
    <w:rsid w:val="000C05F3"/>
    <w:rsid w:val="000C063D"/>
    <w:rsid w:val="000C0668"/>
    <w:rsid w:val="000C06BD"/>
    <w:rsid w:val="000C0850"/>
    <w:rsid w:val="000C08A1"/>
    <w:rsid w:val="000C0A18"/>
    <w:rsid w:val="000C0B0F"/>
    <w:rsid w:val="000C0BB6"/>
    <w:rsid w:val="000C0BDA"/>
    <w:rsid w:val="000C0BE8"/>
    <w:rsid w:val="000C0CFC"/>
    <w:rsid w:val="000C0DE7"/>
    <w:rsid w:val="000C107B"/>
    <w:rsid w:val="000C120C"/>
    <w:rsid w:val="000C1241"/>
    <w:rsid w:val="000C1295"/>
    <w:rsid w:val="000C13A5"/>
    <w:rsid w:val="000C13C8"/>
    <w:rsid w:val="000C1523"/>
    <w:rsid w:val="000C1690"/>
    <w:rsid w:val="000C1714"/>
    <w:rsid w:val="000C1880"/>
    <w:rsid w:val="000C18DD"/>
    <w:rsid w:val="000C1A11"/>
    <w:rsid w:val="000C1DB3"/>
    <w:rsid w:val="000C1DD7"/>
    <w:rsid w:val="000C1E04"/>
    <w:rsid w:val="000C1E96"/>
    <w:rsid w:val="000C1EA5"/>
    <w:rsid w:val="000C20B0"/>
    <w:rsid w:val="000C20BD"/>
    <w:rsid w:val="000C20CD"/>
    <w:rsid w:val="000C215D"/>
    <w:rsid w:val="000C222C"/>
    <w:rsid w:val="000C232B"/>
    <w:rsid w:val="000C2378"/>
    <w:rsid w:val="000C25C2"/>
    <w:rsid w:val="000C25E2"/>
    <w:rsid w:val="000C261D"/>
    <w:rsid w:val="000C276D"/>
    <w:rsid w:val="000C28AD"/>
    <w:rsid w:val="000C28D1"/>
    <w:rsid w:val="000C2A91"/>
    <w:rsid w:val="000C2AB8"/>
    <w:rsid w:val="000C2AF3"/>
    <w:rsid w:val="000C2B24"/>
    <w:rsid w:val="000C2BFB"/>
    <w:rsid w:val="000C2C43"/>
    <w:rsid w:val="000C2C61"/>
    <w:rsid w:val="000C2D7D"/>
    <w:rsid w:val="000C2D9C"/>
    <w:rsid w:val="000C2E9F"/>
    <w:rsid w:val="000C3196"/>
    <w:rsid w:val="000C32AE"/>
    <w:rsid w:val="000C330C"/>
    <w:rsid w:val="000C33DE"/>
    <w:rsid w:val="000C3458"/>
    <w:rsid w:val="000C349E"/>
    <w:rsid w:val="000C34B6"/>
    <w:rsid w:val="000C366D"/>
    <w:rsid w:val="000C36E1"/>
    <w:rsid w:val="000C3751"/>
    <w:rsid w:val="000C3941"/>
    <w:rsid w:val="000C39C2"/>
    <w:rsid w:val="000C3B6A"/>
    <w:rsid w:val="000C3B82"/>
    <w:rsid w:val="000C3CD6"/>
    <w:rsid w:val="000C3DD9"/>
    <w:rsid w:val="000C3EBF"/>
    <w:rsid w:val="000C3F19"/>
    <w:rsid w:val="000C3F82"/>
    <w:rsid w:val="000C413B"/>
    <w:rsid w:val="000C431D"/>
    <w:rsid w:val="000C4401"/>
    <w:rsid w:val="000C4440"/>
    <w:rsid w:val="000C44F6"/>
    <w:rsid w:val="000C454C"/>
    <w:rsid w:val="000C45AE"/>
    <w:rsid w:val="000C4680"/>
    <w:rsid w:val="000C46CF"/>
    <w:rsid w:val="000C46DE"/>
    <w:rsid w:val="000C475B"/>
    <w:rsid w:val="000C47B2"/>
    <w:rsid w:val="000C486A"/>
    <w:rsid w:val="000C48B2"/>
    <w:rsid w:val="000C4920"/>
    <w:rsid w:val="000C4939"/>
    <w:rsid w:val="000C4965"/>
    <w:rsid w:val="000C4AC8"/>
    <w:rsid w:val="000C4C6A"/>
    <w:rsid w:val="000C4CAD"/>
    <w:rsid w:val="000C4F55"/>
    <w:rsid w:val="000C4FCF"/>
    <w:rsid w:val="000C5045"/>
    <w:rsid w:val="000C5258"/>
    <w:rsid w:val="000C5333"/>
    <w:rsid w:val="000C54F8"/>
    <w:rsid w:val="000C5593"/>
    <w:rsid w:val="000C57E6"/>
    <w:rsid w:val="000C5990"/>
    <w:rsid w:val="000C5AA6"/>
    <w:rsid w:val="000C5B5D"/>
    <w:rsid w:val="000C5C46"/>
    <w:rsid w:val="000C5DAB"/>
    <w:rsid w:val="000C5EA5"/>
    <w:rsid w:val="000C5F47"/>
    <w:rsid w:val="000C5F94"/>
    <w:rsid w:val="000C6063"/>
    <w:rsid w:val="000C6070"/>
    <w:rsid w:val="000C6284"/>
    <w:rsid w:val="000C63F1"/>
    <w:rsid w:val="000C656D"/>
    <w:rsid w:val="000C65D7"/>
    <w:rsid w:val="000C6760"/>
    <w:rsid w:val="000C67A6"/>
    <w:rsid w:val="000C67F8"/>
    <w:rsid w:val="000C6845"/>
    <w:rsid w:val="000C6924"/>
    <w:rsid w:val="000C694E"/>
    <w:rsid w:val="000C69DA"/>
    <w:rsid w:val="000C6B00"/>
    <w:rsid w:val="000C6C8E"/>
    <w:rsid w:val="000C6CC1"/>
    <w:rsid w:val="000C6D8C"/>
    <w:rsid w:val="000C6FA0"/>
    <w:rsid w:val="000C6FFA"/>
    <w:rsid w:val="000C701E"/>
    <w:rsid w:val="000C70C1"/>
    <w:rsid w:val="000C7104"/>
    <w:rsid w:val="000C7106"/>
    <w:rsid w:val="000C73B7"/>
    <w:rsid w:val="000C7443"/>
    <w:rsid w:val="000C775C"/>
    <w:rsid w:val="000C7849"/>
    <w:rsid w:val="000C7852"/>
    <w:rsid w:val="000C7899"/>
    <w:rsid w:val="000C79B5"/>
    <w:rsid w:val="000C79C8"/>
    <w:rsid w:val="000C7B6D"/>
    <w:rsid w:val="000C7CF4"/>
    <w:rsid w:val="000C7D8C"/>
    <w:rsid w:val="000C7F30"/>
    <w:rsid w:val="000C7F97"/>
    <w:rsid w:val="000D0021"/>
    <w:rsid w:val="000D0029"/>
    <w:rsid w:val="000D0083"/>
    <w:rsid w:val="000D0141"/>
    <w:rsid w:val="000D0191"/>
    <w:rsid w:val="000D01C5"/>
    <w:rsid w:val="000D0257"/>
    <w:rsid w:val="000D027A"/>
    <w:rsid w:val="000D03CC"/>
    <w:rsid w:val="000D03DE"/>
    <w:rsid w:val="000D03EE"/>
    <w:rsid w:val="000D0437"/>
    <w:rsid w:val="000D05A3"/>
    <w:rsid w:val="000D07BE"/>
    <w:rsid w:val="000D083E"/>
    <w:rsid w:val="000D08AB"/>
    <w:rsid w:val="000D08F7"/>
    <w:rsid w:val="000D0A12"/>
    <w:rsid w:val="000D0A44"/>
    <w:rsid w:val="000D0B44"/>
    <w:rsid w:val="000D0C2D"/>
    <w:rsid w:val="000D0EEA"/>
    <w:rsid w:val="000D0F68"/>
    <w:rsid w:val="000D0F8C"/>
    <w:rsid w:val="000D10DC"/>
    <w:rsid w:val="000D114D"/>
    <w:rsid w:val="000D11A0"/>
    <w:rsid w:val="000D11A6"/>
    <w:rsid w:val="000D136E"/>
    <w:rsid w:val="000D13FD"/>
    <w:rsid w:val="000D14B7"/>
    <w:rsid w:val="000D14DA"/>
    <w:rsid w:val="000D18A3"/>
    <w:rsid w:val="000D18FC"/>
    <w:rsid w:val="000D1A06"/>
    <w:rsid w:val="000D1A99"/>
    <w:rsid w:val="000D1BB7"/>
    <w:rsid w:val="000D1C16"/>
    <w:rsid w:val="000D1D4F"/>
    <w:rsid w:val="000D1D8F"/>
    <w:rsid w:val="000D1F58"/>
    <w:rsid w:val="000D202F"/>
    <w:rsid w:val="000D2072"/>
    <w:rsid w:val="000D213A"/>
    <w:rsid w:val="000D218D"/>
    <w:rsid w:val="000D22DF"/>
    <w:rsid w:val="000D2315"/>
    <w:rsid w:val="000D23F7"/>
    <w:rsid w:val="000D2407"/>
    <w:rsid w:val="000D24A5"/>
    <w:rsid w:val="000D24E5"/>
    <w:rsid w:val="000D265E"/>
    <w:rsid w:val="000D2697"/>
    <w:rsid w:val="000D271A"/>
    <w:rsid w:val="000D277D"/>
    <w:rsid w:val="000D27C4"/>
    <w:rsid w:val="000D27E3"/>
    <w:rsid w:val="000D295C"/>
    <w:rsid w:val="000D29A7"/>
    <w:rsid w:val="000D2AC0"/>
    <w:rsid w:val="000D2C11"/>
    <w:rsid w:val="000D2C72"/>
    <w:rsid w:val="000D2DE0"/>
    <w:rsid w:val="000D2E22"/>
    <w:rsid w:val="000D2E6F"/>
    <w:rsid w:val="000D2EF0"/>
    <w:rsid w:val="000D2F1D"/>
    <w:rsid w:val="000D2F83"/>
    <w:rsid w:val="000D3109"/>
    <w:rsid w:val="000D311D"/>
    <w:rsid w:val="000D312D"/>
    <w:rsid w:val="000D32F3"/>
    <w:rsid w:val="000D3401"/>
    <w:rsid w:val="000D34EC"/>
    <w:rsid w:val="000D3566"/>
    <w:rsid w:val="000D3585"/>
    <w:rsid w:val="000D3790"/>
    <w:rsid w:val="000D3A03"/>
    <w:rsid w:val="000D3A35"/>
    <w:rsid w:val="000D3AE8"/>
    <w:rsid w:val="000D3BDB"/>
    <w:rsid w:val="000D3D4B"/>
    <w:rsid w:val="000D3DC5"/>
    <w:rsid w:val="000D3DF0"/>
    <w:rsid w:val="000D3E33"/>
    <w:rsid w:val="000D40EC"/>
    <w:rsid w:val="000D434E"/>
    <w:rsid w:val="000D4490"/>
    <w:rsid w:val="000D4567"/>
    <w:rsid w:val="000D483C"/>
    <w:rsid w:val="000D487A"/>
    <w:rsid w:val="000D49BA"/>
    <w:rsid w:val="000D4A21"/>
    <w:rsid w:val="000D4A66"/>
    <w:rsid w:val="000D4AF1"/>
    <w:rsid w:val="000D4CEA"/>
    <w:rsid w:val="000D4CFE"/>
    <w:rsid w:val="000D4DA3"/>
    <w:rsid w:val="000D501B"/>
    <w:rsid w:val="000D5054"/>
    <w:rsid w:val="000D5198"/>
    <w:rsid w:val="000D51EF"/>
    <w:rsid w:val="000D5206"/>
    <w:rsid w:val="000D520E"/>
    <w:rsid w:val="000D5642"/>
    <w:rsid w:val="000D5662"/>
    <w:rsid w:val="000D5855"/>
    <w:rsid w:val="000D5929"/>
    <w:rsid w:val="000D59E9"/>
    <w:rsid w:val="000D5B0D"/>
    <w:rsid w:val="000D5F2B"/>
    <w:rsid w:val="000D639E"/>
    <w:rsid w:val="000D63EF"/>
    <w:rsid w:val="000D63F6"/>
    <w:rsid w:val="000D6446"/>
    <w:rsid w:val="000D6558"/>
    <w:rsid w:val="000D65A3"/>
    <w:rsid w:val="000D6625"/>
    <w:rsid w:val="000D6737"/>
    <w:rsid w:val="000D6796"/>
    <w:rsid w:val="000D6839"/>
    <w:rsid w:val="000D6966"/>
    <w:rsid w:val="000D698C"/>
    <w:rsid w:val="000D69F8"/>
    <w:rsid w:val="000D6A14"/>
    <w:rsid w:val="000D6A52"/>
    <w:rsid w:val="000D6A73"/>
    <w:rsid w:val="000D6B78"/>
    <w:rsid w:val="000D6C8C"/>
    <w:rsid w:val="000D6EA9"/>
    <w:rsid w:val="000D706F"/>
    <w:rsid w:val="000D71D0"/>
    <w:rsid w:val="000D7239"/>
    <w:rsid w:val="000D730E"/>
    <w:rsid w:val="000D7355"/>
    <w:rsid w:val="000D7376"/>
    <w:rsid w:val="000D74C5"/>
    <w:rsid w:val="000D74CC"/>
    <w:rsid w:val="000D74E0"/>
    <w:rsid w:val="000D750C"/>
    <w:rsid w:val="000D75C9"/>
    <w:rsid w:val="000D76ED"/>
    <w:rsid w:val="000D76F7"/>
    <w:rsid w:val="000D7869"/>
    <w:rsid w:val="000D7A45"/>
    <w:rsid w:val="000D7A4D"/>
    <w:rsid w:val="000D7C54"/>
    <w:rsid w:val="000D7DD7"/>
    <w:rsid w:val="000D7E42"/>
    <w:rsid w:val="000D7EFC"/>
    <w:rsid w:val="000E0031"/>
    <w:rsid w:val="000E01BD"/>
    <w:rsid w:val="000E0246"/>
    <w:rsid w:val="000E04D7"/>
    <w:rsid w:val="000E0804"/>
    <w:rsid w:val="000E086A"/>
    <w:rsid w:val="000E0890"/>
    <w:rsid w:val="000E08DE"/>
    <w:rsid w:val="000E09E3"/>
    <w:rsid w:val="000E0A46"/>
    <w:rsid w:val="000E0B6F"/>
    <w:rsid w:val="000E0D6E"/>
    <w:rsid w:val="000E0DBF"/>
    <w:rsid w:val="000E10BC"/>
    <w:rsid w:val="000E11C8"/>
    <w:rsid w:val="000E124D"/>
    <w:rsid w:val="000E1306"/>
    <w:rsid w:val="000E131B"/>
    <w:rsid w:val="000E1323"/>
    <w:rsid w:val="000E145A"/>
    <w:rsid w:val="000E153F"/>
    <w:rsid w:val="000E16FD"/>
    <w:rsid w:val="000E181F"/>
    <w:rsid w:val="000E184B"/>
    <w:rsid w:val="000E189F"/>
    <w:rsid w:val="000E1B8F"/>
    <w:rsid w:val="000E1B9C"/>
    <w:rsid w:val="000E1D16"/>
    <w:rsid w:val="000E1D69"/>
    <w:rsid w:val="000E1E45"/>
    <w:rsid w:val="000E1EF9"/>
    <w:rsid w:val="000E1EFF"/>
    <w:rsid w:val="000E1F6A"/>
    <w:rsid w:val="000E22B9"/>
    <w:rsid w:val="000E22E7"/>
    <w:rsid w:val="000E233D"/>
    <w:rsid w:val="000E2390"/>
    <w:rsid w:val="000E246B"/>
    <w:rsid w:val="000E2542"/>
    <w:rsid w:val="000E2641"/>
    <w:rsid w:val="000E271D"/>
    <w:rsid w:val="000E2764"/>
    <w:rsid w:val="000E2774"/>
    <w:rsid w:val="000E27F0"/>
    <w:rsid w:val="000E27FB"/>
    <w:rsid w:val="000E284D"/>
    <w:rsid w:val="000E28E5"/>
    <w:rsid w:val="000E2941"/>
    <w:rsid w:val="000E2AB2"/>
    <w:rsid w:val="000E2C94"/>
    <w:rsid w:val="000E2C9D"/>
    <w:rsid w:val="000E2CB8"/>
    <w:rsid w:val="000E2CD8"/>
    <w:rsid w:val="000E2CFB"/>
    <w:rsid w:val="000E2D17"/>
    <w:rsid w:val="000E2D2D"/>
    <w:rsid w:val="000E2D4B"/>
    <w:rsid w:val="000E2DB3"/>
    <w:rsid w:val="000E2E01"/>
    <w:rsid w:val="000E2E2D"/>
    <w:rsid w:val="000E3145"/>
    <w:rsid w:val="000E349C"/>
    <w:rsid w:val="000E3534"/>
    <w:rsid w:val="000E373F"/>
    <w:rsid w:val="000E376E"/>
    <w:rsid w:val="000E3873"/>
    <w:rsid w:val="000E38B3"/>
    <w:rsid w:val="000E3942"/>
    <w:rsid w:val="000E394F"/>
    <w:rsid w:val="000E39F9"/>
    <w:rsid w:val="000E3AAE"/>
    <w:rsid w:val="000E3B02"/>
    <w:rsid w:val="000E3B65"/>
    <w:rsid w:val="000E3C8F"/>
    <w:rsid w:val="000E3CAA"/>
    <w:rsid w:val="000E3CCA"/>
    <w:rsid w:val="000E3D35"/>
    <w:rsid w:val="000E3DC2"/>
    <w:rsid w:val="000E3E52"/>
    <w:rsid w:val="000E3F3E"/>
    <w:rsid w:val="000E3F85"/>
    <w:rsid w:val="000E4008"/>
    <w:rsid w:val="000E4066"/>
    <w:rsid w:val="000E408E"/>
    <w:rsid w:val="000E4234"/>
    <w:rsid w:val="000E4258"/>
    <w:rsid w:val="000E432E"/>
    <w:rsid w:val="000E43E7"/>
    <w:rsid w:val="000E4444"/>
    <w:rsid w:val="000E44CC"/>
    <w:rsid w:val="000E45E9"/>
    <w:rsid w:val="000E466A"/>
    <w:rsid w:val="000E46D0"/>
    <w:rsid w:val="000E48CB"/>
    <w:rsid w:val="000E493C"/>
    <w:rsid w:val="000E49AC"/>
    <w:rsid w:val="000E49D2"/>
    <w:rsid w:val="000E49E2"/>
    <w:rsid w:val="000E4AA4"/>
    <w:rsid w:val="000E4B36"/>
    <w:rsid w:val="000E4BA3"/>
    <w:rsid w:val="000E4D05"/>
    <w:rsid w:val="000E4DE0"/>
    <w:rsid w:val="000E4E4B"/>
    <w:rsid w:val="000E4E9D"/>
    <w:rsid w:val="000E4F25"/>
    <w:rsid w:val="000E4FD5"/>
    <w:rsid w:val="000E5040"/>
    <w:rsid w:val="000E505E"/>
    <w:rsid w:val="000E50B6"/>
    <w:rsid w:val="000E52B7"/>
    <w:rsid w:val="000E53C0"/>
    <w:rsid w:val="000E53EE"/>
    <w:rsid w:val="000E543D"/>
    <w:rsid w:val="000E545C"/>
    <w:rsid w:val="000E54BF"/>
    <w:rsid w:val="000E550E"/>
    <w:rsid w:val="000E5635"/>
    <w:rsid w:val="000E563B"/>
    <w:rsid w:val="000E56E0"/>
    <w:rsid w:val="000E5767"/>
    <w:rsid w:val="000E57B0"/>
    <w:rsid w:val="000E5894"/>
    <w:rsid w:val="000E59A0"/>
    <w:rsid w:val="000E5A8B"/>
    <w:rsid w:val="000E5AE3"/>
    <w:rsid w:val="000E5B65"/>
    <w:rsid w:val="000E5B9D"/>
    <w:rsid w:val="000E5BF1"/>
    <w:rsid w:val="000E5DA8"/>
    <w:rsid w:val="000E5E3E"/>
    <w:rsid w:val="000E5F9E"/>
    <w:rsid w:val="000E61A9"/>
    <w:rsid w:val="000E6244"/>
    <w:rsid w:val="000E630E"/>
    <w:rsid w:val="000E6329"/>
    <w:rsid w:val="000E648C"/>
    <w:rsid w:val="000E6503"/>
    <w:rsid w:val="000E65F6"/>
    <w:rsid w:val="000E694F"/>
    <w:rsid w:val="000E6956"/>
    <w:rsid w:val="000E696B"/>
    <w:rsid w:val="000E69E6"/>
    <w:rsid w:val="000E6A10"/>
    <w:rsid w:val="000E6A69"/>
    <w:rsid w:val="000E6BAB"/>
    <w:rsid w:val="000E6BF5"/>
    <w:rsid w:val="000E6D0C"/>
    <w:rsid w:val="000E6DE2"/>
    <w:rsid w:val="000E6DEB"/>
    <w:rsid w:val="000E6E32"/>
    <w:rsid w:val="000E6E55"/>
    <w:rsid w:val="000E6E84"/>
    <w:rsid w:val="000E6EA9"/>
    <w:rsid w:val="000E6EAC"/>
    <w:rsid w:val="000E6F02"/>
    <w:rsid w:val="000E6F2C"/>
    <w:rsid w:val="000E6FDA"/>
    <w:rsid w:val="000E7118"/>
    <w:rsid w:val="000E7281"/>
    <w:rsid w:val="000E7348"/>
    <w:rsid w:val="000E7378"/>
    <w:rsid w:val="000E7383"/>
    <w:rsid w:val="000E73FC"/>
    <w:rsid w:val="000E7437"/>
    <w:rsid w:val="000E7480"/>
    <w:rsid w:val="000E750E"/>
    <w:rsid w:val="000E755F"/>
    <w:rsid w:val="000E7691"/>
    <w:rsid w:val="000E777D"/>
    <w:rsid w:val="000E7883"/>
    <w:rsid w:val="000E7884"/>
    <w:rsid w:val="000E7946"/>
    <w:rsid w:val="000E7A56"/>
    <w:rsid w:val="000E7C87"/>
    <w:rsid w:val="000E7C92"/>
    <w:rsid w:val="000E7E18"/>
    <w:rsid w:val="000E7EBB"/>
    <w:rsid w:val="000F0036"/>
    <w:rsid w:val="000F05E4"/>
    <w:rsid w:val="000F0810"/>
    <w:rsid w:val="000F083B"/>
    <w:rsid w:val="000F0925"/>
    <w:rsid w:val="000F09B1"/>
    <w:rsid w:val="000F0A25"/>
    <w:rsid w:val="000F0A7C"/>
    <w:rsid w:val="000F0BFC"/>
    <w:rsid w:val="000F0C84"/>
    <w:rsid w:val="000F0E2C"/>
    <w:rsid w:val="000F0F31"/>
    <w:rsid w:val="000F0F64"/>
    <w:rsid w:val="000F0F89"/>
    <w:rsid w:val="000F1049"/>
    <w:rsid w:val="000F114F"/>
    <w:rsid w:val="000F1227"/>
    <w:rsid w:val="000F1240"/>
    <w:rsid w:val="000F13BA"/>
    <w:rsid w:val="000F1400"/>
    <w:rsid w:val="000F1442"/>
    <w:rsid w:val="000F151E"/>
    <w:rsid w:val="000F1555"/>
    <w:rsid w:val="000F1575"/>
    <w:rsid w:val="000F16B1"/>
    <w:rsid w:val="000F173B"/>
    <w:rsid w:val="000F1830"/>
    <w:rsid w:val="000F18BC"/>
    <w:rsid w:val="000F1A3F"/>
    <w:rsid w:val="000F1B9A"/>
    <w:rsid w:val="000F1D1C"/>
    <w:rsid w:val="000F1DB4"/>
    <w:rsid w:val="000F1DED"/>
    <w:rsid w:val="000F1E04"/>
    <w:rsid w:val="000F212F"/>
    <w:rsid w:val="000F2158"/>
    <w:rsid w:val="000F2224"/>
    <w:rsid w:val="000F22EE"/>
    <w:rsid w:val="000F2371"/>
    <w:rsid w:val="000F2440"/>
    <w:rsid w:val="000F24EA"/>
    <w:rsid w:val="000F251F"/>
    <w:rsid w:val="000F25E4"/>
    <w:rsid w:val="000F2676"/>
    <w:rsid w:val="000F2703"/>
    <w:rsid w:val="000F281C"/>
    <w:rsid w:val="000F28FD"/>
    <w:rsid w:val="000F293C"/>
    <w:rsid w:val="000F2A05"/>
    <w:rsid w:val="000F2B60"/>
    <w:rsid w:val="000F2BCF"/>
    <w:rsid w:val="000F2BD0"/>
    <w:rsid w:val="000F2BEE"/>
    <w:rsid w:val="000F2C03"/>
    <w:rsid w:val="000F2CDD"/>
    <w:rsid w:val="000F2CF4"/>
    <w:rsid w:val="000F2CFF"/>
    <w:rsid w:val="000F2D4D"/>
    <w:rsid w:val="000F2DE4"/>
    <w:rsid w:val="000F2E5F"/>
    <w:rsid w:val="000F2EAD"/>
    <w:rsid w:val="000F2EC1"/>
    <w:rsid w:val="000F2F61"/>
    <w:rsid w:val="000F3049"/>
    <w:rsid w:val="000F31C2"/>
    <w:rsid w:val="000F3260"/>
    <w:rsid w:val="000F3299"/>
    <w:rsid w:val="000F34D3"/>
    <w:rsid w:val="000F3586"/>
    <w:rsid w:val="000F3599"/>
    <w:rsid w:val="000F384A"/>
    <w:rsid w:val="000F3858"/>
    <w:rsid w:val="000F397B"/>
    <w:rsid w:val="000F3A12"/>
    <w:rsid w:val="000F3A1D"/>
    <w:rsid w:val="000F3A95"/>
    <w:rsid w:val="000F3ACA"/>
    <w:rsid w:val="000F3B9B"/>
    <w:rsid w:val="000F3D39"/>
    <w:rsid w:val="000F3D6E"/>
    <w:rsid w:val="000F3DBA"/>
    <w:rsid w:val="000F3DE1"/>
    <w:rsid w:val="000F3E2E"/>
    <w:rsid w:val="000F3E65"/>
    <w:rsid w:val="000F3E6E"/>
    <w:rsid w:val="000F3E77"/>
    <w:rsid w:val="000F3E88"/>
    <w:rsid w:val="000F412E"/>
    <w:rsid w:val="000F4154"/>
    <w:rsid w:val="000F41EE"/>
    <w:rsid w:val="000F42E7"/>
    <w:rsid w:val="000F434B"/>
    <w:rsid w:val="000F445F"/>
    <w:rsid w:val="000F44B4"/>
    <w:rsid w:val="000F44FB"/>
    <w:rsid w:val="000F46E8"/>
    <w:rsid w:val="000F47CC"/>
    <w:rsid w:val="000F4961"/>
    <w:rsid w:val="000F4A84"/>
    <w:rsid w:val="000F4BF9"/>
    <w:rsid w:val="000F4C4D"/>
    <w:rsid w:val="000F4D6B"/>
    <w:rsid w:val="000F4EE7"/>
    <w:rsid w:val="000F4F3D"/>
    <w:rsid w:val="000F5144"/>
    <w:rsid w:val="000F52DD"/>
    <w:rsid w:val="000F53BF"/>
    <w:rsid w:val="000F5467"/>
    <w:rsid w:val="000F5515"/>
    <w:rsid w:val="000F5529"/>
    <w:rsid w:val="000F553F"/>
    <w:rsid w:val="000F579F"/>
    <w:rsid w:val="000F59B1"/>
    <w:rsid w:val="000F5A00"/>
    <w:rsid w:val="000F5A31"/>
    <w:rsid w:val="000F5A71"/>
    <w:rsid w:val="000F5A80"/>
    <w:rsid w:val="000F5B39"/>
    <w:rsid w:val="000F5B59"/>
    <w:rsid w:val="000F5C22"/>
    <w:rsid w:val="000F5C72"/>
    <w:rsid w:val="000F5D63"/>
    <w:rsid w:val="000F5DEB"/>
    <w:rsid w:val="000F5DEF"/>
    <w:rsid w:val="000F5F99"/>
    <w:rsid w:val="000F5FCA"/>
    <w:rsid w:val="000F608C"/>
    <w:rsid w:val="000F6197"/>
    <w:rsid w:val="000F62B9"/>
    <w:rsid w:val="000F62E4"/>
    <w:rsid w:val="000F6421"/>
    <w:rsid w:val="000F650C"/>
    <w:rsid w:val="000F657B"/>
    <w:rsid w:val="000F6599"/>
    <w:rsid w:val="000F66F8"/>
    <w:rsid w:val="000F678D"/>
    <w:rsid w:val="000F68B2"/>
    <w:rsid w:val="000F68DA"/>
    <w:rsid w:val="000F6953"/>
    <w:rsid w:val="000F69D5"/>
    <w:rsid w:val="000F6A4B"/>
    <w:rsid w:val="000F6D90"/>
    <w:rsid w:val="000F6F50"/>
    <w:rsid w:val="000F71AB"/>
    <w:rsid w:val="000F722C"/>
    <w:rsid w:val="000F7289"/>
    <w:rsid w:val="000F73A6"/>
    <w:rsid w:val="000F74F2"/>
    <w:rsid w:val="000F76CA"/>
    <w:rsid w:val="000F78E0"/>
    <w:rsid w:val="000F79E5"/>
    <w:rsid w:val="000F79F6"/>
    <w:rsid w:val="000F7A3A"/>
    <w:rsid w:val="000F7B6A"/>
    <w:rsid w:val="000F7D1F"/>
    <w:rsid w:val="000F7D59"/>
    <w:rsid w:val="000F7DA7"/>
    <w:rsid w:val="000F7F72"/>
    <w:rsid w:val="000F7F76"/>
    <w:rsid w:val="000F7F8A"/>
    <w:rsid w:val="00100030"/>
    <w:rsid w:val="00100119"/>
    <w:rsid w:val="001001AA"/>
    <w:rsid w:val="00100501"/>
    <w:rsid w:val="0010050A"/>
    <w:rsid w:val="00100618"/>
    <w:rsid w:val="001006F6"/>
    <w:rsid w:val="00100734"/>
    <w:rsid w:val="001007E3"/>
    <w:rsid w:val="0010084C"/>
    <w:rsid w:val="00100870"/>
    <w:rsid w:val="00100873"/>
    <w:rsid w:val="001008D8"/>
    <w:rsid w:val="00100948"/>
    <w:rsid w:val="00100A07"/>
    <w:rsid w:val="00100A9A"/>
    <w:rsid w:val="00100B0D"/>
    <w:rsid w:val="00100B5A"/>
    <w:rsid w:val="00100D46"/>
    <w:rsid w:val="00100DAC"/>
    <w:rsid w:val="0010103C"/>
    <w:rsid w:val="0010103D"/>
    <w:rsid w:val="0010113D"/>
    <w:rsid w:val="00101184"/>
    <w:rsid w:val="001011CC"/>
    <w:rsid w:val="00101211"/>
    <w:rsid w:val="00101281"/>
    <w:rsid w:val="00101378"/>
    <w:rsid w:val="00101414"/>
    <w:rsid w:val="0010141C"/>
    <w:rsid w:val="0010142C"/>
    <w:rsid w:val="0010148F"/>
    <w:rsid w:val="001014F0"/>
    <w:rsid w:val="001015CA"/>
    <w:rsid w:val="001016B6"/>
    <w:rsid w:val="001017F2"/>
    <w:rsid w:val="001018AB"/>
    <w:rsid w:val="001019B0"/>
    <w:rsid w:val="00101AE0"/>
    <w:rsid w:val="00101D43"/>
    <w:rsid w:val="00101DE2"/>
    <w:rsid w:val="00101DE9"/>
    <w:rsid w:val="00101E44"/>
    <w:rsid w:val="00101E6C"/>
    <w:rsid w:val="00101F41"/>
    <w:rsid w:val="00101F6C"/>
    <w:rsid w:val="001020DF"/>
    <w:rsid w:val="001021A9"/>
    <w:rsid w:val="001021C8"/>
    <w:rsid w:val="00102296"/>
    <w:rsid w:val="0010229B"/>
    <w:rsid w:val="0010229F"/>
    <w:rsid w:val="00102342"/>
    <w:rsid w:val="001023D7"/>
    <w:rsid w:val="001023F6"/>
    <w:rsid w:val="00102432"/>
    <w:rsid w:val="00102522"/>
    <w:rsid w:val="00102586"/>
    <w:rsid w:val="001025DB"/>
    <w:rsid w:val="0010269E"/>
    <w:rsid w:val="001026D0"/>
    <w:rsid w:val="001026D7"/>
    <w:rsid w:val="00102700"/>
    <w:rsid w:val="0010274B"/>
    <w:rsid w:val="001027CC"/>
    <w:rsid w:val="001027CD"/>
    <w:rsid w:val="001029A8"/>
    <w:rsid w:val="00102A68"/>
    <w:rsid w:val="00102A70"/>
    <w:rsid w:val="00102A79"/>
    <w:rsid w:val="00102B92"/>
    <w:rsid w:val="00102BA3"/>
    <w:rsid w:val="00102BBE"/>
    <w:rsid w:val="00102C17"/>
    <w:rsid w:val="00102C8F"/>
    <w:rsid w:val="00102D47"/>
    <w:rsid w:val="00102D62"/>
    <w:rsid w:val="00102EC6"/>
    <w:rsid w:val="00102EEF"/>
    <w:rsid w:val="00103073"/>
    <w:rsid w:val="00103074"/>
    <w:rsid w:val="00103137"/>
    <w:rsid w:val="0010318F"/>
    <w:rsid w:val="00103191"/>
    <w:rsid w:val="00103197"/>
    <w:rsid w:val="00103240"/>
    <w:rsid w:val="00103497"/>
    <w:rsid w:val="0010352B"/>
    <w:rsid w:val="0010366B"/>
    <w:rsid w:val="001037C2"/>
    <w:rsid w:val="001037ED"/>
    <w:rsid w:val="001037F5"/>
    <w:rsid w:val="00103D0A"/>
    <w:rsid w:val="00103D39"/>
    <w:rsid w:val="00103E1E"/>
    <w:rsid w:val="00103E22"/>
    <w:rsid w:val="00103E2F"/>
    <w:rsid w:val="00103F0F"/>
    <w:rsid w:val="0010407E"/>
    <w:rsid w:val="0010411D"/>
    <w:rsid w:val="00104167"/>
    <w:rsid w:val="001041BC"/>
    <w:rsid w:val="001041E4"/>
    <w:rsid w:val="001043F0"/>
    <w:rsid w:val="001044D4"/>
    <w:rsid w:val="00104521"/>
    <w:rsid w:val="001045EF"/>
    <w:rsid w:val="0010461E"/>
    <w:rsid w:val="0010462B"/>
    <w:rsid w:val="00104697"/>
    <w:rsid w:val="001047E9"/>
    <w:rsid w:val="00104878"/>
    <w:rsid w:val="00104897"/>
    <w:rsid w:val="00104A1E"/>
    <w:rsid w:val="00104B2A"/>
    <w:rsid w:val="00104BAF"/>
    <w:rsid w:val="00104C00"/>
    <w:rsid w:val="00104C6B"/>
    <w:rsid w:val="00104C83"/>
    <w:rsid w:val="00104CE1"/>
    <w:rsid w:val="00104DC7"/>
    <w:rsid w:val="00104EAB"/>
    <w:rsid w:val="00104F07"/>
    <w:rsid w:val="00105114"/>
    <w:rsid w:val="00105163"/>
    <w:rsid w:val="001051A3"/>
    <w:rsid w:val="001052D2"/>
    <w:rsid w:val="001052E3"/>
    <w:rsid w:val="00105335"/>
    <w:rsid w:val="00105364"/>
    <w:rsid w:val="00105383"/>
    <w:rsid w:val="00105444"/>
    <w:rsid w:val="0010555E"/>
    <w:rsid w:val="00105626"/>
    <w:rsid w:val="00105643"/>
    <w:rsid w:val="001056B7"/>
    <w:rsid w:val="001056D5"/>
    <w:rsid w:val="00105885"/>
    <w:rsid w:val="00105894"/>
    <w:rsid w:val="00105941"/>
    <w:rsid w:val="00105AFF"/>
    <w:rsid w:val="00105B67"/>
    <w:rsid w:val="00105DD5"/>
    <w:rsid w:val="00105EFD"/>
    <w:rsid w:val="00105F62"/>
    <w:rsid w:val="00105FA0"/>
    <w:rsid w:val="00105FC9"/>
    <w:rsid w:val="0010606E"/>
    <w:rsid w:val="001060D8"/>
    <w:rsid w:val="0010614E"/>
    <w:rsid w:val="001062B8"/>
    <w:rsid w:val="0010632C"/>
    <w:rsid w:val="001064D9"/>
    <w:rsid w:val="00106572"/>
    <w:rsid w:val="0010657F"/>
    <w:rsid w:val="001066FE"/>
    <w:rsid w:val="0010670E"/>
    <w:rsid w:val="001067BA"/>
    <w:rsid w:val="0010686D"/>
    <w:rsid w:val="001069B8"/>
    <w:rsid w:val="00106C0D"/>
    <w:rsid w:val="00106D18"/>
    <w:rsid w:val="00106DB0"/>
    <w:rsid w:val="00106F48"/>
    <w:rsid w:val="00107357"/>
    <w:rsid w:val="0010749D"/>
    <w:rsid w:val="001074B5"/>
    <w:rsid w:val="00107522"/>
    <w:rsid w:val="00107526"/>
    <w:rsid w:val="0010762C"/>
    <w:rsid w:val="001076E0"/>
    <w:rsid w:val="0010783D"/>
    <w:rsid w:val="001078FE"/>
    <w:rsid w:val="00107A05"/>
    <w:rsid w:val="00107AB4"/>
    <w:rsid w:val="00107C55"/>
    <w:rsid w:val="00107C56"/>
    <w:rsid w:val="00107CBB"/>
    <w:rsid w:val="00107D17"/>
    <w:rsid w:val="00107E10"/>
    <w:rsid w:val="00107E58"/>
    <w:rsid w:val="00107F3E"/>
    <w:rsid w:val="00107F6F"/>
    <w:rsid w:val="00107FA4"/>
    <w:rsid w:val="00110046"/>
    <w:rsid w:val="001100DB"/>
    <w:rsid w:val="001102A8"/>
    <w:rsid w:val="00110338"/>
    <w:rsid w:val="00110432"/>
    <w:rsid w:val="00110653"/>
    <w:rsid w:val="00110664"/>
    <w:rsid w:val="0011067C"/>
    <w:rsid w:val="001106C7"/>
    <w:rsid w:val="001106CD"/>
    <w:rsid w:val="00110795"/>
    <w:rsid w:val="001107A4"/>
    <w:rsid w:val="00110811"/>
    <w:rsid w:val="001108AE"/>
    <w:rsid w:val="0011093A"/>
    <w:rsid w:val="00110A74"/>
    <w:rsid w:val="00110B54"/>
    <w:rsid w:val="00110C32"/>
    <w:rsid w:val="00110C92"/>
    <w:rsid w:val="00110F8D"/>
    <w:rsid w:val="00110FCF"/>
    <w:rsid w:val="00111017"/>
    <w:rsid w:val="00111269"/>
    <w:rsid w:val="0011129E"/>
    <w:rsid w:val="00111327"/>
    <w:rsid w:val="00111332"/>
    <w:rsid w:val="00111360"/>
    <w:rsid w:val="0011141D"/>
    <w:rsid w:val="001114D1"/>
    <w:rsid w:val="00111649"/>
    <w:rsid w:val="001116A9"/>
    <w:rsid w:val="001116E6"/>
    <w:rsid w:val="0011191D"/>
    <w:rsid w:val="00111AE3"/>
    <w:rsid w:val="00111B1A"/>
    <w:rsid w:val="00111B5D"/>
    <w:rsid w:val="00111D52"/>
    <w:rsid w:val="00111D8F"/>
    <w:rsid w:val="00111E79"/>
    <w:rsid w:val="00111FDC"/>
    <w:rsid w:val="00112147"/>
    <w:rsid w:val="001121CB"/>
    <w:rsid w:val="00112274"/>
    <w:rsid w:val="00112340"/>
    <w:rsid w:val="00112414"/>
    <w:rsid w:val="00112474"/>
    <w:rsid w:val="001125FC"/>
    <w:rsid w:val="0011260F"/>
    <w:rsid w:val="001128A7"/>
    <w:rsid w:val="001128B0"/>
    <w:rsid w:val="001128E7"/>
    <w:rsid w:val="00112963"/>
    <w:rsid w:val="001129CF"/>
    <w:rsid w:val="00112B4B"/>
    <w:rsid w:val="00112BB6"/>
    <w:rsid w:val="00112BD6"/>
    <w:rsid w:val="00112C37"/>
    <w:rsid w:val="00112C5A"/>
    <w:rsid w:val="00112D7C"/>
    <w:rsid w:val="00112EEA"/>
    <w:rsid w:val="00113190"/>
    <w:rsid w:val="001131A1"/>
    <w:rsid w:val="00113356"/>
    <w:rsid w:val="001133A3"/>
    <w:rsid w:val="001134BF"/>
    <w:rsid w:val="001134E2"/>
    <w:rsid w:val="0011353E"/>
    <w:rsid w:val="00113720"/>
    <w:rsid w:val="001139D1"/>
    <w:rsid w:val="00113AFC"/>
    <w:rsid w:val="00113B0A"/>
    <w:rsid w:val="00113B4C"/>
    <w:rsid w:val="00113B50"/>
    <w:rsid w:val="00113B8F"/>
    <w:rsid w:val="00113C5B"/>
    <w:rsid w:val="00113C7E"/>
    <w:rsid w:val="00113DB1"/>
    <w:rsid w:val="00113E38"/>
    <w:rsid w:val="001140AF"/>
    <w:rsid w:val="00114130"/>
    <w:rsid w:val="0011418D"/>
    <w:rsid w:val="001141B6"/>
    <w:rsid w:val="001142E5"/>
    <w:rsid w:val="0011439F"/>
    <w:rsid w:val="001143A8"/>
    <w:rsid w:val="001143F0"/>
    <w:rsid w:val="00114445"/>
    <w:rsid w:val="00114474"/>
    <w:rsid w:val="001144E3"/>
    <w:rsid w:val="0011459E"/>
    <w:rsid w:val="001145A9"/>
    <w:rsid w:val="00114641"/>
    <w:rsid w:val="00114971"/>
    <w:rsid w:val="0011499B"/>
    <w:rsid w:val="001149B2"/>
    <w:rsid w:val="00114ABC"/>
    <w:rsid w:val="00114AE3"/>
    <w:rsid w:val="00114B15"/>
    <w:rsid w:val="00114B4D"/>
    <w:rsid w:val="00114B77"/>
    <w:rsid w:val="00114C49"/>
    <w:rsid w:val="00114CCB"/>
    <w:rsid w:val="00114CFD"/>
    <w:rsid w:val="00114D42"/>
    <w:rsid w:val="00115009"/>
    <w:rsid w:val="001150A7"/>
    <w:rsid w:val="00115587"/>
    <w:rsid w:val="00115734"/>
    <w:rsid w:val="00115772"/>
    <w:rsid w:val="00115ADC"/>
    <w:rsid w:val="00115B33"/>
    <w:rsid w:val="00115BD0"/>
    <w:rsid w:val="00115C9A"/>
    <w:rsid w:val="00115CCA"/>
    <w:rsid w:val="00115D02"/>
    <w:rsid w:val="00115F5E"/>
    <w:rsid w:val="00115FB6"/>
    <w:rsid w:val="0011609B"/>
    <w:rsid w:val="001162E2"/>
    <w:rsid w:val="001162EC"/>
    <w:rsid w:val="0011639D"/>
    <w:rsid w:val="001163EF"/>
    <w:rsid w:val="0011646F"/>
    <w:rsid w:val="001164B3"/>
    <w:rsid w:val="001164C3"/>
    <w:rsid w:val="001164CA"/>
    <w:rsid w:val="001165B4"/>
    <w:rsid w:val="001165D7"/>
    <w:rsid w:val="00116651"/>
    <w:rsid w:val="00116665"/>
    <w:rsid w:val="001167CC"/>
    <w:rsid w:val="001167F9"/>
    <w:rsid w:val="00116981"/>
    <w:rsid w:val="00116A26"/>
    <w:rsid w:val="00116B10"/>
    <w:rsid w:val="00116BC1"/>
    <w:rsid w:val="00116C1D"/>
    <w:rsid w:val="00116C37"/>
    <w:rsid w:val="00116CA8"/>
    <w:rsid w:val="00116CC4"/>
    <w:rsid w:val="00116D36"/>
    <w:rsid w:val="00116D49"/>
    <w:rsid w:val="00116D8B"/>
    <w:rsid w:val="0011711F"/>
    <w:rsid w:val="0011722A"/>
    <w:rsid w:val="00117376"/>
    <w:rsid w:val="001174C8"/>
    <w:rsid w:val="00117635"/>
    <w:rsid w:val="00117646"/>
    <w:rsid w:val="00117675"/>
    <w:rsid w:val="00117695"/>
    <w:rsid w:val="00117727"/>
    <w:rsid w:val="0011779D"/>
    <w:rsid w:val="001178B1"/>
    <w:rsid w:val="00117923"/>
    <w:rsid w:val="0011797C"/>
    <w:rsid w:val="001179B5"/>
    <w:rsid w:val="00117A17"/>
    <w:rsid w:val="00117A5C"/>
    <w:rsid w:val="00117AFC"/>
    <w:rsid w:val="00117B1B"/>
    <w:rsid w:val="00117B9E"/>
    <w:rsid w:val="00117BAA"/>
    <w:rsid w:val="00117C13"/>
    <w:rsid w:val="00117D4A"/>
    <w:rsid w:val="00117D68"/>
    <w:rsid w:val="00117DC1"/>
    <w:rsid w:val="00117E3A"/>
    <w:rsid w:val="00117F22"/>
    <w:rsid w:val="00120010"/>
    <w:rsid w:val="00120037"/>
    <w:rsid w:val="001200D6"/>
    <w:rsid w:val="00120179"/>
    <w:rsid w:val="001201C1"/>
    <w:rsid w:val="00120202"/>
    <w:rsid w:val="00120288"/>
    <w:rsid w:val="0012044F"/>
    <w:rsid w:val="00120591"/>
    <w:rsid w:val="00120615"/>
    <w:rsid w:val="00120661"/>
    <w:rsid w:val="00120749"/>
    <w:rsid w:val="0012079B"/>
    <w:rsid w:val="00120932"/>
    <w:rsid w:val="00120A86"/>
    <w:rsid w:val="00120ACD"/>
    <w:rsid w:val="00120AD8"/>
    <w:rsid w:val="00120B46"/>
    <w:rsid w:val="00120BB3"/>
    <w:rsid w:val="00120C40"/>
    <w:rsid w:val="00120E58"/>
    <w:rsid w:val="00120FB4"/>
    <w:rsid w:val="00121027"/>
    <w:rsid w:val="00121044"/>
    <w:rsid w:val="0012105A"/>
    <w:rsid w:val="001213B5"/>
    <w:rsid w:val="001213E0"/>
    <w:rsid w:val="00121452"/>
    <w:rsid w:val="00121492"/>
    <w:rsid w:val="00121545"/>
    <w:rsid w:val="00121634"/>
    <w:rsid w:val="00121900"/>
    <w:rsid w:val="0012196B"/>
    <w:rsid w:val="00121A10"/>
    <w:rsid w:val="00121A69"/>
    <w:rsid w:val="00121A77"/>
    <w:rsid w:val="00121AB2"/>
    <w:rsid w:val="00121C17"/>
    <w:rsid w:val="00121C31"/>
    <w:rsid w:val="00121EB2"/>
    <w:rsid w:val="00121F82"/>
    <w:rsid w:val="00122036"/>
    <w:rsid w:val="001220CC"/>
    <w:rsid w:val="001221E5"/>
    <w:rsid w:val="0012221C"/>
    <w:rsid w:val="00122317"/>
    <w:rsid w:val="0012231F"/>
    <w:rsid w:val="0012246F"/>
    <w:rsid w:val="00122701"/>
    <w:rsid w:val="00122952"/>
    <w:rsid w:val="00122B13"/>
    <w:rsid w:val="00122B45"/>
    <w:rsid w:val="00122C19"/>
    <w:rsid w:val="00122C30"/>
    <w:rsid w:val="00122D1A"/>
    <w:rsid w:val="00122E73"/>
    <w:rsid w:val="00122EC1"/>
    <w:rsid w:val="001231FB"/>
    <w:rsid w:val="0012328A"/>
    <w:rsid w:val="00123301"/>
    <w:rsid w:val="00123411"/>
    <w:rsid w:val="001234C0"/>
    <w:rsid w:val="00123542"/>
    <w:rsid w:val="00123812"/>
    <w:rsid w:val="00123991"/>
    <w:rsid w:val="00123A7D"/>
    <w:rsid w:val="00123A92"/>
    <w:rsid w:val="00123AA1"/>
    <w:rsid w:val="00123AD3"/>
    <w:rsid w:val="00123ADB"/>
    <w:rsid w:val="00123B8E"/>
    <w:rsid w:val="00123BFA"/>
    <w:rsid w:val="00123BFC"/>
    <w:rsid w:val="00123D45"/>
    <w:rsid w:val="00123E7F"/>
    <w:rsid w:val="00123E95"/>
    <w:rsid w:val="00123F0B"/>
    <w:rsid w:val="00123F79"/>
    <w:rsid w:val="001240B9"/>
    <w:rsid w:val="00124155"/>
    <w:rsid w:val="00124170"/>
    <w:rsid w:val="0012418F"/>
    <w:rsid w:val="00124309"/>
    <w:rsid w:val="001243AF"/>
    <w:rsid w:val="001244B5"/>
    <w:rsid w:val="001244BE"/>
    <w:rsid w:val="00124551"/>
    <w:rsid w:val="00124591"/>
    <w:rsid w:val="001245E4"/>
    <w:rsid w:val="0012463C"/>
    <w:rsid w:val="0012466F"/>
    <w:rsid w:val="001246B0"/>
    <w:rsid w:val="001246E2"/>
    <w:rsid w:val="00124942"/>
    <w:rsid w:val="00124970"/>
    <w:rsid w:val="001249FC"/>
    <w:rsid w:val="00124A2D"/>
    <w:rsid w:val="00124B34"/>
    <w:rsid w:val="00124C36"/>
    <w:rsid w:val="00124C45"/>
    <w:rsid w:val="00124D7E"/>
    <w:rsid w:val="00124E15"/>
    <w:rsid w:val="00124E1E"/>
    <w:rsid w:val="0012500D"/>
    <w:rsid w:val="001250E3"/>
    <w:rsid w:val="00125217"/>
    <w:rsid w:val="00125361"/>
    <w:rsid w:val="00125412"/>
    <w:rsid w:val="00125471"/>
    <w:rsid w:val="001254B6"/>
    <w:rsid w:val="00125520"/>
    <w:rsid w:val="0012568C"/>
    <w:rsid w:val="00125849"/>
    <w:rsid w:val="00125A4A"/>
    <w:rsid w:val="00125A61"/>
    <w:rsid w:val="00125AFE"/>
    <w:rsid w:val="00125C02"/>
    <w:rsid w:val="00125C91"/>
    <w:rsid w:val="00125D8B"/>
    <w:rsid w:val="00125DB6"/>
    <w:rsid w:val="00125E5A"/>
    <w:rsid w:val="0012610C"/>
    <w:rsid w:val="0012615C"/>
    <w:rsid w:val="00126170"/>
    <w:rsid w:val="0012621C"/>
    <w:rsid w:val="00126253"/>
    <w:rsid w:val="001262D1"/>
    <w:rsid w:val="001263D9"/>
    <w:rsid w:val="001265C2"/>
    <w:rsid w:val="001265CF"/>
    <w:rsid w:val="001265E1"/>
    <w:rsid w:val="00126611"/>
    <w:rsid w:val="0012670E"/>
    <w:rsid w:val="00126725"/>
    <w:rsid w:val="001267BB"/>
    <w:rsid w:val="00126854"/>
    <w:rsid w:val="001268C2"/>
    <w:rsid w:val="00126916"/>
    <w:rsid w:val="00126993"/>
    <w:rsid w:val="00126AD9"/>
    <w:rsid w:val="00126B64"/>
    <w:rsid w:val="00126BC5"/>
    <w:rsid w:val="00126CE3"/>
    <w:rsid w:val="00126D17"/>
    <w:rsid w:val="00126D4F"/>
    <w:rsid w:val="00126D59"/>
    <w:rsid w:val="00126E19"/>
    <w:rsid w:val="00126F11"/>
    <w:rsid w:val="00126FE2"/>
    <w:rsid w:val="00126FEA"/>
    <w:rsid w:val="001271AE"/>
    <w:rsid w:val="00127253"/>
    <w:rsid w:val="00127285"/>
    <w:rsid w:val="00127349"/>
    <w:rsid w:val="0012734B"/>
    <w:rsid w:val="0012753B"/>
    <w:rsid w:val="00127567"/>
    <w:rsid w:val="0012789F"/>
    <w:rsid w:val="001278A7"/>
    <w:rsid w:val="00127924"/>
    <w:rsid w:val="00127B57"/>
    <w:rsid w:val="00127BA1"/>
    <w:rsid w:val="00127D11"/>
    <w:rsid w:val="00127E96"/>
    <w:rsid w:val="00127EC2"/>
    <w:rsid w:val="0013002D"/>
    <w:rsid w:val="0013003B"/>
    <w:rsid w:val="00130191"/>
    <w:rsid w:val="001301B9"/>
    <w:rsid w:val="001302C1"/>
    <w:rsid w:val="001302F5"/>
    <w:rsid w:val="00130330"/>
    <w:rsid w:val="0013038B"/>
    <w:rsid w:val="001303F2"/>
    <w:rsid w:val="0013045C"/>
    <w:rsid w:val="0013048C"/>
    <w:rsid w:val="0013048F"/>
    <w:rsid w:val="001306C8"/>
    <w:rsid w:val="00130822"/>
    <w:rsid w:val="001308BB"/>
    <w:rsid w:val="0013092A"/>
    <w:rsid w:val="001309EC"/>
    <w:rsid w:val="00130B62"/>
    <w:rsid w:val="00130BB0"/>
    <w:rsid w:val="00130BC6"/>
    <w:rsid w:val="00130C45"/>
    <w:rsid w:val="00130D51"/>
    <w:rsid w:val="00130EAA"/>
    <w:rsid w:val="00130EEF"/>
    <w:rsid w:val="00130FB3"/>
    <w:rsid w:val="00131026"/>
    <w:rsid w:val="00131061"/>
    <w:rsid w:val="00131167"/>
    <w:rsid w:val="001311EE"/>
    <w:rsid w:val="001311FB"/>
    <w:rsid w:val="00131234"/>
    <w:rsid w:val="0013135D"/>
    <w:rsid w:val="00131383"/>
    <w:rsid w:val="001313FB"/>
    <w:rsid w:val="00131556"/>
    <w:rsid w:val="0013158F"/>
    <w:rsid w:val="001315FE"/>
    <w:rsid w:val="00131657"/>
    <w:rsid w:val="00131691"/>
    <w:rsid w:val="001316D4"/>
    <w:rsid w:val="00131875"/>
    <w:rsid w:val="00131884"/>
    <w:rsid w:val="0013189B"/>
    <w:rsid w:val="001319D9"/>
    <w:rsid w:val="00131A4C"/>
    <w:rsid w:val="00131CAF"/>
    <w:rsid w:val="00131FB0"/>
    <w:rsid w:val="00132070"/>
    <w:rsid w:val="001320D9"/>
    <w:rsid w:val="00132104"/>
    <w:rsid w:val="001321A1"/>
    <w:rsid w:val="001322CF"/>
    <w:rsid w:val="001325FE"/>
    <w:rsid w:val="00132604"/>
    <w:rsid w:val="00132669"/>
    <w:rsid w:val="0013272B"/>
    <w:rsid w:val="00132823"/>
    <w:rsid w:val="00132839"/>
    <w:rsid w:val="00132882"/>
    <w:rsid w:val="001328E1"/>
    <w:rsid w:val="0013295A"/>
    <w:rsid w:val="0013297B"/>
    <w:rsid w:val="0013297C"/>
    <w:rsid w:val="00132992"/>
    <w:rsid w:val="00132C92"/>
    <w:rsid w:val="00132CE2"/>
    <w:rsid w:val="00132D53"/>
    <w:rsid w:val="00132DAB"/>
    <w:rsid w:val="00132DF5"/>
    <w:rsid w:val="00132E11"/>
    <w:rsid w:val="00132F06"/>
    <w:rsid w:val="00132F6E"/>
    <w:rsid w:val="00133003"/>
    <w:rsid w:val="0013304B"/>
    <w:rsid w:val="00133077"/>
    <w:rsid w:val="00133161"/>
    <w:rsid w:val="00133241"/>
    <w:rsid w:val="00133269"/>
    <w:rsid w:val="0013329A"/>
    <w:rsid w:val="001334BC"/>
    <w:rsid w:val="001334F7"/>
    <w:rsid w:val="00133514"/>
    <w:rsid w:val="00133758"/>
    <w:rsid w:val="001338C6"/>
    <w:rsid w:val="00133CD9"/>
    <w:rsid w:val="00133DF9"/>
    <w:rsid w:val="00133E1B"/>
    <w:rsid w:val="00133E73"/>
    <w:rsid w:val="00133E7D"/>
    <w:rsid w:val="00133F83"/>
    <w:rsid w:val="00133FA3"/>
    <w:rsid w:val="00134120"/>
    <w:rsid w:val="00134155"/>
    <w:rsid w:val="0013418D"/>
    <w:rsid w:val="001341AF"/>
    <w:rsid w:val="00134200"/>
    <w:rsid w:val="0013423B"/>
    <w:rsid w:val="0013425F"/>
    <w:rsid w:val="0013433C"/>
    <w:rsid w:val="001343FB"/>
    <w:rsid w:val="0013441F"/>
    <w:rsid w:val="001344AC"/>
    <w:rsid w:val="00134585"/>
    <w:rsid w:val="001345B9"/>
    <w:rsid w:val="00134655"/>
    <w:rsid w:val="0013478E"/>
    <w:rsid w:val="0013480D"/>
    <w:rsid w:val="001348DD"/>
    <w:rsid w:val="00134B45"/>
    <w:rsid w:val="00134B5C"/>
    <w:rsid w:val="00134CFD"/>
    <w:rsid w:val="00134E5A"/>
    <w:rsid w:val="00134E62"/>
    <w:rsid w:val="00134E6C"/>
    <w:rsid w:val="00134EF4"/>
    <w:rsid w:val="00134EF6"/>
    <w:rsid w:val="00135005"/>
    <w:rsid w:val="00135453"/>
    <w:rsid w:val="001354BD"/>
    <w:rsid w:val="0013553A"/>
    <w:rsid w:val="00135571"/>
    <w:rsid w:val="001356EC"/>
    <w:rsid w:val="0013570B"/>
    <w:rsid w:val="0013581E"/>
    <w:rsid w:val="001358C4"/>
    <w:rsid w:val="001359C0"/>
    <w:rsid w:val="001359C7"/>
    <w:rsid w:val="001359E0"/>
    <w:rsid w:val="00135A25"/>
    <w:rsid w:val="00135A75"/>
    <w:rsid w:val="00135B4C"/>
    <w:rsid w:val="00135C21"/>
    <w:rsid w:val="00135C5C"/>
    <w:rsid w:val="00135CD7"/>
    <w:rsid w:val="00135CDA"/>
    <w:rsid w:val="00135D40"/>
    <w:rsid w:val="00135D70"/>
    <w:rsid w:val="00135D85"/>
    <w:rsid w:val="00135E76"/>
    <w:rsid w:val="00135F80"/>
    <w:rsid w:val="001360CA"/>
    <w:rsid w:val="001360D5"/>
    <w:rsid w:val="001361D9"/>
    <w:rsid w:val="00136230"/>
    <w:rsid w:val="00136294"/>
    <w:rsid w:val="001362BE"/>
    <w:rsid w:val="001365DC"/>
    <w:rsid w:val="00136979"/>
    <w:rsid w:val="001369C1"/>
    <w:rsid w:val="001369D3"/>
    <w:rsid w:val="001369E3"/>
    <w:rsid w:val="001369F2"/>
    <w:rsid w:val="00136B61"/>
    <w:rsid w:val="00136CCF"/>
    <w:rsid w:val="00136D36"/>
    <w:rsid w:val="00136D76"/>
    <w:rsid w:val="00136E2F"/>
    <w:rsid w:val="00136E9A"/>
    <w:rsid w:val="00136FC9"/>
    <w:rsid w:val="00137089"/>
    <w:rsid w:val="0013719E"/>
    <w:rsid w:val="00137353"/>
    <w:rsid w:val="001373EA"/>
    <w:rsid w:val="001373FD"/>
    <w:rsid w:val="00137401"/>
    <w:rsid w:val="00137564"/>
    <w:rsid w:val="00137565"/>
    <w:rsid w:val="0013756D"/>
    <w:rsid w:val="00137652"/>
    <w:rsid w:val="0013769B"/>
    <w:rsid w:val="001376D1"/>
    <w:rsid w:val="0013773C"/>
    <w:rsid w:val="0013787B"/>
    <w:rsid w:val="0013788A"/>
    <w:rsid w:val="001378B0"/>
    <w:rsid w:val="00137957"/>
    <w:rsid w:val="001379B7"/>
    <w:rsid w:val="00137A29"/>
    <w:rsid w:val="00137A71"/>
    <w:rsid w:val="00137C01"/>
    <w:rsid w:val="00137C4F"/>
    <w:rsid w:val="00137C52"/>
    <w:rsid w:val="00137D9F"/>
    <w:rsid w:val="00137DFB"/>
    <w:rsid w:val="00137E4D"/>
    <w:rsid w:val="00137EDE"/>
    <w:rsid w:val="00137F51"/>
    <w:rsid w:val="00140059"/>
    <w:rsid w:val="00140201"/>
    <w:rsid w:val="001403C8"/>
    <w:rsid w:val="00140467"/>
    <w:rsid w:val="00140712"/>
    <w:rsid w:val="001407F5"/>
    <w:rsid w:val="00140819"/>
    <w:rsid w:val="001408DB"/>
    <w:rsid w:val="00140A0B"/>
    <w:rsid w:val="00140C18"/>
    <w:rsid w:val="00140C44"/>
    <w:rsid w:val="00140C6C"/>
    <w:rsid w:val="00140CD2"/>
    <w:rsid w:val="00140D15"/>
    <w:rsid w:val="00140DEC"/>
    <w:rsid w:val="00140E2B"/>
    <w:rsid w:val="00141001"/>
    <w:rsid w:val="00141258"/>
    <w:rsid w:val="00141316"/>
    <w:rsid w:val="00141369"/>
    <w:rsid w:val="00141461"/>
    <w:rsid w:val="001415BC"/>
    <w:rsid w:val="001415D3"/>
    <w:rsid w:val="0014172D"/>
    <w:rsid w:val="0014178E"/>
    <w:rsid w:val="001417A4"/>
    <w:rsid w:val="001417EE"/>
    <w:rsid w:val="001417F7"/>
    <w:rsid w:val="00141877"/>
    <w:rsid w:val="0014189A"/>
    <w:rsid w:val="001418D1"/>
    <w:rsid w:val="00141AFB"/>
    <w:rsid w:val="00141C3E"/>
    <w:rsid w:val="00141D26"/>
    <w:rsid w:val="00141E9C"/>
    <w:rsid w:val="00141F52"/>
    <w:rsid w:val="00142131"/>
    <w:rsid w:val="00142202"/>
    <w:rsid w:val="00142367"/>
    <w:rsid w:val="001425BD"/>
    <w:rsid w:val="00142684"/>
    <w:rsid w:val="001426CB"/>
    <w:rsid w:val="001427C0"/>
    <w:rsid w:val="001427FF"/>
    <w:rsid w:val="00142923"/>
    <w:rsid w:val="0014292A"/>
    <w:rsid w:val="00142AC4"/>
    <w:rsid w:val="00142B5E"/>
    <w:rsid w:val="00142BDE"/>
    <w:rsid w:val="00142CB5"/>
    <w:rsid w:val="00142D29"/>
    <w:rsid w:val="00142F8A"/>
    <w:rsid w:val="00142FE0"/>
    <w:rsid w:val="001430ED"/>
    <w:rsid w:val="0014337C"/>
    <w:rsid w:val="0014339B"/>
    <w:rsid w:val="0014347D"/>
    <w:rsid w:val="00143665"/>
    <w:rsid w:val="001436A5"/>
    <w:rsid w:val="00143736"/>
    <w:rsid w:val="001437B5"/>
    <w:rsid w:val="00143AA6"/>
    <w:rsid w:val="00143B62"/>
    <w:rsid w:val="00143E8B"/>
    <w:rsid w:val="00143F46"/>
    <w:rsid w:val="0014408E"/>
    <w:rsid w:val="0014415C"/>
    <w:rsid w:val="001441A5"/>
    <w:rsid w:val="001441DF"/>
    <w:rsid w:val="0014421A"/>
    <w:rsid w:val="00144317"/>
    <w:rsid w:val="0014445E"/>
    <w:rsid w:val="001444BE"/>
    <w:rsid w:val="001444C1"/>
    <w:rsid w:val="00144567"/>
    <w:rsid w:val="0014457F"/>
    <w:rsid w:val="001445B2"/>
    <w:rsid w:val="0014484D"/>
    <w:rsid w:val="00144888"/>
    <w:rsid w:val="001448E3"/>
    <w:rsid w:val="00144940"/>
    <w:rsid w:val="00144961"/>
    <w:rsid w:val="00144AC4"/>
    <w:rsid w:val="00144B70"/>
    <w:rsid w:val="00144BAA"/>
    <w:rsid w:val="00144D46"/>
    <w:rsid w:val="00144F18"/>
    <w:rsid w:val="00144F25"/>
    <w:rsid w:val="00145020"/>
    <w:rsid w:val="0014504F"/>
    <w:rsid w:val="001450FA"/>
    <w:rsid w:val="00145206"/>
    <w:rsid w:val="00145237"/>
    <w:rsid w:val="00145328"/>
    <w:rsid w:val="001453C6"/>
    <w:rsid w:val="0014542C"/>
    <w:rsid w:val="001454DC"/>
    <w:rsid w:val="00145512"/>
    <w:rsid w:val="0014578C"/>
    <w:rsid w:val="001457BC"/>
    <w:rsid w:val="0014584B"/>
    <w:rsid w:val="00145857"/>
    <w:rsid w:val="0014586C"/>
    <w:rsid w:val="001458E9"/>
    <w:rsid w:val="00145AF1"/>
    <w:rsid w:val="00145B6E"/>
    <w:rsid w:val="00145C33"/>
    <w:rsid w:val="00145C74"/>
    <w:rsid w:val="00145EE2"/>
    <w:rsid w:val="00146025"/>
    <w:rsid w:val="00146162"/>
    <w:rsid w:val="001461C2"/>
    <w:rsid w:val="001461C7"/>
    <w:rsid w:val="0014635B"/>
    <w:rsid w:val="001463CC"/>
    <w:rsid w:val="00146717"/>
    <w:rsid w:val="001467C6"/>
    <w:rsid w:val="001467FF"/>
    <w:rsid w:val="0014685F"/>
    <w:rsid w:val="001468FF"/>
    <w:rsid w:val="00146907"/>
    <w:rsid w:val="00146A1C"/>
    <w:rsid w:val="00146A23"/>
    <w:rsid w:val="00146A4B"/>
    <w:rsid w:val="00146B27"/>
    <w:rsid w:val="00146BE0"/>
    <w:rsid w:val="00146C49"/>
    <w:rsid w:val="00146CB9"/>
    <w:rsid w:val="00146CCD"/>
    <w:rsid w:val="00146CE7"/>
    <w:rsid w:val="00146D93"/>
    <w:rsid w:val="00146E61"/>
    <w:rsid w:val="00146F1C"/>
    <w:rsid w:val="001471EC"/>
    <w:rsid w:val="0014722E"/>
    <w:rsid w:val="001474D0"/>
    <w:rsid w:val="001475D8"/>
    <w:rsid w:val="001475E8"/>
    <w:rsid w:val="00147703"/>
    <w:rsid w:val="00147716"/>
    <w:rsid w:val="00147740"/>
    <w:rsid w:val="00147804"/>
    <w:rsid w:val="0014787F"/>
    <w:rsid w:val="0014798B"/>
    <w:rsid w:val="001479A6"/>
    <w:rsid w:val="00147AB3"/>
    <w:rsid w:val="00147B5E"/>
    <w:rsid w:val="00147D1B"/>
    <w:rsid w:val="00147ED2"/>
    <w:rsid w:val="00147F2C"/>
    <w:rsid w:val="001500E4"/>
    <w:rsid w:val="001500EC"/>
    <w:rsid w:val="00150177"/>
    <w:rsid w:val="0015028E"/>
    <w:rsid w:val="0015036E"/>
    <w:rsid w:val="00150438"/>
    <w:rsid w:val="00150628"/>
    <w:rsid w:val="00150635"/>
    <w:rsid w:val="0015068A"/>
    <w:rsid w:val="00150747"/>
    <w:rsid w:val="0015077C"/>
    <w:rsid w:val="001507F1"/>
    <w:rsid w:val="0015086F"/>
    <w:rsid w:val="00150898"/>
    <w:rsid w:val="001508E1"/>
    <w:rsid w:val="0015092F"/>
    <w:rsid w:val="00150935"/>
    <w:rsid w:val="00150938"/>
    <w:rsid w:val="00150AAE"/>
    <w:rsid w:val="00150AED"/>
    <w:rsid w:val="00150BC1"/>
    <w:rsid w:val="00150C38"/>
    <w:rsid w:val="001513E9"/>
    <w:rsid w:val="001514AA"/>
    <w:rsid w:val="001514FC"/>
    <w:rsid w:val="00151592"/>
    <w:rsid w:val="001515EA"/>
    <w:rsid w:val="00151602"/>
    <w:rsid w:val="00151748"/>
    <w:rsid w:val="001517B2"/>
    <w:rsid w:val="0015181A"/>
    <w:rsid w:val="00151A0D"/>
    <w:rsid w:val="00151A71"/>
    <w:rsid w:val="00151A9F"/>
    <w:rsid w:val="00151B2F"/>
    <w:rsid w:val="00151B55"/>
    <w:rsid w:val="00151E70"/>
    <w:rsid w:val="00151EA6"/>
    <w:rsid w:val="00151F9E"/>
    <w:rsid w:val="00151FAD"/>
    <w:rsid w:val="00151FD9"/>
    <w:rsid w:val="00152000"/>
    <w:rsid w:val="0015211D"/>
    <w:rsid w:val="00152194"/>
    <w:rsid w:val="001522C2"/>
    <w:rsid w:val="001522CC"/>
    <w:rsid w:val="001522EB"/>
    <w:rsid w:val="00152364"/>
    <w:rsid w:val="0015239F"/>
    <w:rsid w:val="001523D4"/>
    <w:rsid w:val="001523EC"/>
    <w:rsid w:val="001524A0"/>
    <w:rsid w:val="0015278F"/>
    <w:rsid w:val="001527FA"/>
    <w:rsid w:val="001528AF"/>
    <w:rsid w:val="00152B4F"/>
    <w:rsid w:val="00152D4B"/>
    <w:rsid w:val="00152D51"/>
    <w:rsid w:val="00152DCB"/>
    <w:rsid w:val="00152FEE"/>
    <w:rsid w:val="00152FF0"/>
    <w:rsid w:val="001531BA"/>
    <w:rsid w:val="001531BB"/>
    <w:rsid w:val="001531C3"/>
    <w:rsid w:val="00153342"/>
    <w:rsid w:val="00153497"/>
    <w:rsid w:val="00153538"/>
    <w:rsid w:val="00153625"/>
    <w:rsid w:val="00153856"/>
    <w:rsid w:val="001539C8"/>
    <w:rsid w:val="00153A93"/>
    <w:rsid w:val="00153BE2"/>
    <w:rsid w:val="00153C1E"/>
    <w:rsid w:val="00153F71"/>
    <w:rsid w:val="00153FBE"/>
    <w:rsid w:val="00153FF4"/>
    <w:rsid w:val="00154040"/>
    <w:rsid w:val="00154081"/>
    <w:rsid w:val="001543D2"/>
    <w:rsid w:val="0015442C"/>
    <w:rsid w:val="001544D0"/>
    <w:rsid w:val="001545C2"/>
    <w:rsid w:val="0015462D"/>
    <w:rsid w:val="00154631"/>
    <w:rsid w:val="0015475D"/>
    <w:rsid w:val="00154851"/>
    <w:rsid w:val="00154A4F"/>
    <w:rsid w:val="00154A9A"/>
    <w:rsid w:val="00154BFC"/>
    <w:rsid w:val="00154C61"/>
    <w:rsid w:val="00154C7C"/>
    <w:rsid w:val="00154CD9"/>
    <w:rsid w:val="00154D5E"/>
    <w:rsid w:val="00154F1F"/>
    <w:rsid w:val="00154F36"/>
    <w:rsid w:val="00155042"/>
    <w:rsid w:val="00155135"/>
    <w:rsid w:val="001551C6"/>
    <w:rsid w:val="00155205"/>
    <w:rsid w:val="0015553C"/>
    <w:rsid w:val="001555B5"/>
    <w:rsid w:val="001556FB"/>
    <w:rsid w:val="00155722"/>
    <w:rsid w:val="00155776"/>
    <w:rsid w:val="001557E5"/>
    <w:rsid w:val="00155893"/>
    <w:rsid w:val="00155896"/>
    <w:rsid w:val="001558AC"/>
    <w:rsid w:val="0015591C"/>
    <w:rsid w:val="0015599E"/>
    <w:rsid w:val="00155AFF"/>
    <w:rsid w:val="00155C6C"/>
    <w:rsid w:val="00155D64"/>
    <w:rsid w:val="00155DB7"/>
    <w:rsid w:val="00155EB9"/>
    <w:rsid w:val="00155EEB"/>
    <w:rsid w:val="00155F12"/>
    <w:rsid w:val="00155F30"/>
    <w:rsid w:val="00155F84"/>
    <w:rsid w:val="00155FA9"/>
    <w:rsid w:val="0015606F"/>
    <w:rsid w:val="00156138"/>
    <w:rsid w:val="001562D9"/>
    <w:rsid w:val="0015632B"/>
    <w:rsid w:val="0015639C"/>
    <w:rsid w:val="00156599"/>
    <w:rsid w:val="001566A1"/>
    <w:rsid w:val="00156710"/>
    <w:rsid w:val="001567AD"/>
    <w:rsid w:val="00156817"/>
    <w:rsid w:val="00156844"/>
    <w:rsid w:val="0015690D"/>
    <w:rsid w:val="001569C5"/>
    <w:rsid w:val="00156A7A"/>
    <w:rsid w:val="00156AD6"/>
    <w:rsid w:val="00156BA8"/>
    <w:rsid w:val="00156D0F"/>
    <w:rsid w:val="00156DC9"/>
    <w:rsid w:val="00156DCE"/>
    <w:rsid w:val="00156E16"/>
    <w:rsid w:val="0015709D"/>
    <w:rsid w:val="001571D9"/>
    <w:rsid w:val="00157712"/>
    <w:rsid w:val="001577C0"/>
    <w:rsid w:val="001578B8"/>
    <w:rsid w:val="001578F7"/>
    <w:rsid w:val="00157913"/>
    <w:rsid w:val="0015797F"/>
    <w:rsid w:val="0015798B"/>
    <w:rsid w:val="001579AD"/>
    <w:rsid w:val="001579D0"/>
    <w:rsid w:val="00157ABA"/>
    <w:rsid w:val="00157BD7"/>
    <w:rsid w:val="00157C33"/>
    <w:rsid w:val="00157D09"/>
    <w:rsid w:val="00157F86"/>
    <w:rsid w:val="00160055"/>
    <w:rsid w:val="001601BE"/>
    <w:rsid w:val="001601C9"/>
    <w:rsid w:val="00160231"/>
    <w:rsid w:val="0016023E"/>
    <w:rsid w:val="001603B2"/>
    <w:rsid w:val="001603BD"/>
    <w:rsid w:val="00160426"/>
    <w:rsid w:val="0016046A"/>
    <w:rsid w:val="00160516"/>
    <w:rsid w:val="001605DA"/>
    <w:rsid w:val="00160754"/>
    <w:rsid w:val="001607BA"/>
    <w:rsid w:val="001607D6"/>
    <w:rsid w:val="001607FD"/>
    <w:rsid w:val="00160986"/>
    <w:rsid w:val="0016098D"/>
    <w:rsid w:val="00160A24"/>
    <w:rsid w:val="00160AC3"/>
    <w:rsid w:val="00160B23"/>
    <w:rsid w:val="00160BFA"/>
    <w:rsid w:val="00160D6E"/>
    <w:rsid w:val="00160E94"/>
    <w:rsid w:val="00160F3D"/>
    <w:rsid w:val="001610E2"/>
    <w:rsid w:val="001611DE"/>
    <w:rsid w:val="00161246"/>
    <w:rsid w:val="0016164A"/>
    <w:rsid w:val="0016167A"/>
    <w:rsid w:val="00161814"/>
    <w:rsid w:val="0016188A"/>
    <w:rsid w:val="00161A96"/>
    <w:rsid w:val="00161BFF"/>
    <w:rsid w:val="00161DFB"/>
    <w:rsid w:val="00161E4B"/>
    <w:rsid w:val="00161EDF"/>
    <w:rsid w:val="00161F52"/>
    <w:rsid w:val="00161FAF"/>
    <w:rsid w:val="0016210A"/>
    <w:rsid w:val="00162142"/>
    <w:rsid w:val="001621FE"/>
    <w:rsid w:val="001622E6"/>
    <w:rsid w:val="00162302"/>
    <w:rsid w:val="0016236E"/>
    <w:rsid w:val="001623F1"/>
    <w:rsid w:val="0016247C"/>
    <w:rsid w:val="001625EB"/>
    <w:rsid w:val="001625FE"/>
    <w:rsid w:val="0016263C"/>
    <w:rsid w:val="00162660"/>
    <w:rsid w:val="001626A4"/>
    <w:rsid w:val="001626B2"/>
    <w:rsid w:val="001628AD"/>
    <w:rsid w:val="001628C9"/>
    <w:rsid w:val="00162B42"/>
    <w:rsid w:val="00162CAD"/>
    <w:rsid w:val="00162D71"/>
    <w:rsid w:val="00162E55"/>
    <w:rsid w:val="00162EE1"/>
    <w:rsid w:val="00162F66"/>
    <w:rsid w:val="0016311C"/>
    <w:rsid w:val="00163120"/>
    <w:rsid w:val="001631E0"/>
    <w:rsid w:val="00163236"/>
    <w:rsid w:val="001632C9"/>
    <w:rsid w:val="0016331B"/>
    <w:rsid w:val="00163327"/>
    <w:rsid w:val="00163421"/>
    <w:rsid w:val="00163423"/>
    <w:rsid w:val="00163445"/>
    <w:rsid w:val="0016349A"/>
    <w:rsid w:val="0016350C"/>
    <w:rsid w:val="0016351B"/>
    <w:rsid w:val="001635CF"/>
    <w:rsid w:val="00163680"/>
    <w:rsid w:val="00163690"/>
    <w:rsid w:val="00163728"/>
    <w:rsid w:val="00163741"/>
    <w:rsid w:val="00163881"/>
    <w:rsid w:val="00163981"/>
    <w:rsid w:val="00163995"/>
    <w:rsid w:val="00163997"/>
    <w:rsid w:val="001639A3"/>
    <w:rsid w:val="00163C41"/>
    <w:rsid w:val="00163C4B"/>
    <w:rsid w:val="00163C68"/>
    <w:rsid w:val="00163C85"/>
    <w:rsid w:val="00163EF5"/>
    <w:rsid w:val="001640E6"/>
    <w:rsid w:val="001642E8"/>
    <w:rsid w:val="0016435A"/>
    <w:rsid w:val="001643E1"/>
    <w:rsid w:val="0016445E"/>
    <w:rsid w:val="00164466"/>
    <w:rsid w:val="00164590"/>
    <w:rsid w:val="001645A4"/>
    <w:rsid w:val="00164628"/>
    <w:rsid w:val="00164706"/>
    <w:rsid w:val="001648DA"/>
    <w:rsid w:val="0016493C"/>
    <w:rsid w:val="0016494F"/>
    <w:rsid w:val="001649D2"/>
    <w:rsid w:val="00164C75"/>
    <w:rsid w:val="00164D3D"/>
    <w:rsid w:val="00164D5D"/>
    <w:rsid w:val="00164D7E"/>
    <w:rsid w:val="00164FE8"/>
    <w:rsid w:val="00165193"/>
    <w:rsid w:val="00165263"/>
    <w:rsid w:val="001652AE"/>
    <w:rsid w:val="001652FD"/>
    <w:rsid w:val="001653F9"/>
    <w:rsid w:val="00165438"/>
    <w:rsid w:val="00165486"/>
    <w:rsid w:val="00165562"/>
    <w:rsid w:val="001656B9"/>
    <w:rsid w:val="0016583D"/>
    <w:rsid w:val="0016586F"/>
    <w:rsid w:val="00165901"/>
    <w:rsid w:val="001659E4"/>
    <w:rsid w:val="00165A68"/>
    <w:rsid w:val="00165BAB"/>
    <w:rsid w:val="00165BB1"/>
    <w:rsid w:val="00165DAF"/>
    <w:rsid w:val="00165E4C"/>
    <w:rsid w:val="00165EC5"/>
    <w:rsid w:val="00165FD1"/>
    <w:rsid w:val="001660E6"/>
    <w:rsid w:val="00166214"/>
    <w:rsid w:val="00166295"/>
    <w:rsid w:val="00166360"/>
    <w:rsid w:val="0016637E"/>
    <w:rsid w:val="001663CD"/>
    <w:rsid w:val="00166474"/>
    <w:rsid w:val="001664E9"/>
    <w:rsid w:val="001664F5"/>
    <w:rsid w:val="00166571"/>
    <w:rsid w:val="00166618"/>
    <w:rsid w:val="0016665E"/>
    <w:rsid w:val="001666A6"/>
    <w:rsid w:val="00166714"/>
    <w:rsid w:val="00166739"/>
    <w:rsid w:val="001668BD"/>
    <w:rsid w:val="001668D1"/>
    <w:rsid w:val="00166927"/>
    <w:rsid w:val="00166933"/>
    <w:rsid w:val="001669A8"/>
    <w:rsid w:val="001669D3"/>
    <w:rsid w:val="001669E3"/>
    <w:rsid w:val="001669EE"/>
    <w:rsid w:val="00166A94"/>
    <w:rsid w:val="00166AA5"/>
    <w:rsid w:val="00166B48"/>
    <w:rsid w:val="00166C3B"/>
    <w:rsid w:val="00166C70"/>
    <w:rsid w:val="00166CC3"/>
    <w:rsid w:val="00166E42"/>
    <w:rsid w:val="00166EB8"/>
    <w:rsid w:val="00166EC1"/>
    <w:rsid w:val="00166F7C"/>
    <w:rsid w:val="00167096"/>
    <w:rsid w:val="00167097"/>
    <w:rsid w:val="0016720C"/>
    <w:rsid w:val="00167291"/>
    <w:rsid w:val="00167368"/>
    <w:rsid w:val="00167679"/>
    <w:rsid w:val="00167781"/>
    <w:rsid w:val="001677B8"/>
    <w:rsid w:val="00167955"/>
    <w:rsid w:val="00167A7C"/>
    <w:rsid w:val="00167B09"/>
    <w:rsid w:val="00167B18"/>
    <w:rsid w:val="00167B1E"/>
    <w:rsid w:val="00167D4C"/>
    <w:rsid w:val="00167F58"/>
    <w:rsid w:val="00170014"/>
    <w:rsid w:val="0017005B"/>
    <w:rsid w:val="0017020E"/>
    <w:rsid w:val="00170294"/>
    <w:rsid w:val="001704D8"/>
    <w:rsid w:val="001705E5"/>
    <w:rsid w:val="001708B9"/>
    <w:rsid w:val="0017091E"/>
    <w:rsid w:val="00170932"/>
    <w:rsid w:val="0017098E"/>
    <w:rsid w:val="00170995"/>
    <w:rsid w:val="001709F2"/>
    <w:rsid w:val="00170A4C"/>
    <w:rsid w:val="00170A5F"/>
    <w:rsid w:val="00170B37"/>
    <w:rsid w:val="00170CA6"/>
    <w:rsid w:val="00170DEE"/>
    <w:rsid w:val="00170ECB"/>
    <w:rsid w:val="0017108E"/>
    <w:rsid w:val="00171206"/>
    <w:rsid w:val="001713F5"/>
    <w:rsid w:val="0017148D"/>
    <w:rsid w:val="00171496"/>
    <w:rsid w:val="00171542"/>
    <w:rsid w:val="00171554"/>
    <w:rsid w:val="001715A3"/>
    <w:rsid w:val="001715D9"/>
    <w:rsid w:val="00171621"/>
    <w:rsid w:val="001717EC"/>
    <w:rsid w:val="001718FE"/>
    <w:rsid w:val="00171994"/>
    <w:rsid w:val="001719DC"/>
    <w:rsid w:val="001719FD"/>
    <w:rsid w:val="00171AB0"/>
    <w:rsid w:val="00171AF3"/>
    <w:rsid w:val="00171B7B"/>
    <w:rsid w:val="00171CAA"/>
    <w:rsid w:val="00171CF1"/>
    <w:rsid w:val="00171E20"/>
    <w:rsid w:val="00171EFB"/>
    <w:rsid w:val="00172033"/>
    <w:rsid w:val="00172039"/>
    <w:rsid w:val="001721A2"/>
    <w:rsid w:val="0017230D"/>
    <w:rsid w:val="0017233F"/>
    <w:rsid w:val="001724F7"/>
    <w:rsid w:val="0017252A"/>
    <w:rsid w:val="0017280D"/>
    <w:rsid w:val="001728A8"/>
    <w:rsid w:val="0017290E"/>
    <w:rsid w:val="00172940"/>
    <w:rsid w:val="0017296C"/>
    <w:rsid w:val="00172B26"/>
    <w:rsid w:val="00172C0A"/>
    <w:rsid w:val="00172C80"/>
    <w:rsid w:val="00172CAA"/>
    <w:rsid w:val="00172CC5"/>
    <w:rsid w:val="00172DDD"/>
    <w:rsid w:val="00172E62"/>
    <w:rsid w:val="00172EC0"/>
    <w:rsid w:val="00172EC4"/>
    <w:rsid w:val="00172FB7"/>
    <w:rsid w:val="00172FD4"/>
    <w:rsid w:val="00172FE7"/>
    <w:rsid w:val="0017302B"/>
    <w:rsid w:val="0017308B"/>
    <w:rsid w:val="001730B0"/>
    <w:rsid w:val="0017352B"/>
    <w:rsid w:val="00173543"/>
    <w:rsid w:val="001735F0"/>
    <w:rsid w:val="0017361A"/>
    <w:rsid w:val="00173646"/>
    <w:rsid w:val="001736E2"/>
    <w:rsid w:val="00173991"/>
    <w:rsid w:val="001739D1"/>
    <w:rsid w:val="00173B95"/>
    <w:rsid w:val="00173CBF"/>
    <w:rsid w:val="00173CF6"/>
    <w:rsid w:val="001740CC"/>
    <w:rsid w:val="00174129"/>
    <w:rsid w:val="00174438"/>
    <w:rsid w:val="0017444F"/>
    <w:rsid w:val="00174547"/>
    <w:rsid w:val="00174591"/>
    <w:rsid w:val="0017469D"/>
    <w:rsid w:val="00174706"/>
    <w:rsid w:val="00174A59"/>
    <w:rsid w:val="00174BC3"/>
    <w:rsid w:val="00174C30"/>
    <w:rsid w:val="00174C3F"/>
    <w:rsid w:val="00174D21"/>
    <w:rsid w:val="00174F41"/>
    <w:rsid w:val="00175006"/>
    <w:rsid w:val="0017511E"/>
    <w:rsid w:val="001751A6"/>
    <w:rsid w:val="00175308"/>
    <w:rsid w:val="001753F8"/>
    <w:rsid w:val="0017546E"/>
    <w:rsid w:val="001757B0"/>
    <w:rsid w:val="001757CE"/>
    <w:rsid w:val="001758A1"/>
    <w:rsid w:val="00175923"/>
    <w:rsid w:val="00175964"/>
    <w:rsid w:val="00175A16"/>
    <w:rsid w:val="00175A36"/>
    <w:rsid w:val="00175CBD"/>
    <w:rsid w:val="00175DB9"/>
    <w:rsid w:val="00175EF4"/>
    <w:rsid w:val="00175F43"/>
    <w:rsid w:val="001761BC"/>
    <w:rsid w:val="0017620E"/>
    <w:rsid w:val="0017626F"/>
    <w:rsid w:val="0017630A"/>
    <w:rsid w:val="0017658D"/>
    <w:rsid w:val="00176811"/>
    <w:rsid w:val="0017682F"/>
    <w:rsid w:val="00176842"/>
    <w:rsid w:val="001768E5"/>
    <w:rsid w:val="00176AB0"/>
    <w:rsid w:val="00176B7F"/>
    <w:rsid w:val="00176BBE"/>
    <w:rsid w:val="00176C00"/>
    <w:rsid w:val="00176CD7"/>
    <w:rsid w:val="00176D64"/>
    <w:rsid w:val="00176DD8"/>
    <w:rsid w:val="00176E91"/>
    <w:rsid w:val="00176EA2"/>
    <w:rsid w:val="00176EB8"/>
    <w:rsid w:val="00176F37"/>
    <w:rsid w:val="00176F63"/>
    <w:rsid w:val="00176FAD"/>
    <w:rsid w:val="00176FC1"/>
    <w:rsid w:val="00177186"/>
    <w:rsid w:val="001771D0"/>
    <w:rsid w:val="00177298"/>
    <w:rsid w:val="0017730E"/>
    <w:rsid w:val="00177529"/>
    <w:rsid w:val="00177568"/>
    <w:rsid w:val="0017756E"/>
    <w:rsid w:val="0017759E"/>
    <w:rsid w:val="00177682"/>
    <w:rsid w:val="0017777B"/>
    <w:rsid w:val="00177917"/>
    <w:rsid w:val="00177953"/>
    <w:rsid w:val="0017798D"/>
    <w:rsid w:val="001779D9"/>
    <w:rsid w:val="001779F6"/>
    <w:rsid w:val="00177A62"/>
    <w:rsid w:val="00177B88"/>
    <w:rsid w:val="00177CDE"/>
    <w:rsid w:val="00177FCB"/>
    <w:rsid w:val="00177FE0"/>
    <w:rsid w:val="0018000C"/>
    <w:rsid w:val="00180074"/>
    <w:rsid w:val="0018007B"/>
    <w:rsid w:val="0018011D"/>
    <w:rsid w:val="00180198"/>
    <w:rsid w:val="001801E2"/>
    <w:rsid w:val="00180515"/>
    <w:rsid w:val="0018058E"/>
    <w:rsid w:val="00180746"/>
    <w:rsid w:val="0018088C"/>
    <w:rsid w:val="00180AE3"/>
    <w:rsid w:val="00180AEA"/>
    <w:rsid w:val="00180B6E"/>
    <w:rsid w:val="00180BA1"/>
    <w:rsid w:val="00180BB5"/>
    <w:rsid w:val="00180BDA"/>
    <w:rsid w:val="00180CF1"/>
    <w:rsid w:val="00180E82"/>
    <w:rsid w:val="00180EB7"/>
    <w:rsid w:val="00180FB8"/>
    <w:rsid w:val="0018108F"/>
    <w:rsid w:val="001811F8"/>
    <w:rsid w:val="0018124E"/>
    <w:rsid w:val="001812A9"/>
    <w:rsid w:val="0018155A"/>
    <w:rsid w:val="0018155D"/>
    <w:rsid w:val="001815B9"/>
    <w:rsid w:val="00181620"/>
    <w:rsid w:val="00181647"/>
    <w:rsid w:val="001819E3"/>
    <w:rsid w:val="00181A22"/>
    <w:rsid w:val="00181A32"/>
    <w:rsid w:val="00181A41"/>
    <w:rsid w:val="00181A84"/>
    <w:rsid w:val="00181C47"/>
    <w:rsid w:val="00181D4C"/>
    <w:rsid w:val="00181E12"/>
    <w:rsid w:val="00181F1B"/>
    <w:rsid w:val="001820CA"/>
    <w:rsid w:val="00182107"/>
    <w:rsid w:val="0018215D"/>
    <w:rsid w:val="001823A3"/>
    <w:rsid w:val="00182445"/>
    <w:rsid w:val="00182501"/>
    <w:rsid w:val="00182521"/>
    <w:rsid w:val="00182836"/>
    <w:rsid w:val="00182859"/>
    <w:rsid w:val="0018295C"/>
    <w:rsid w:val="001829AF"/>
    <w:rsid w:val="00182A11"/>
    <w:rsid w:val="00182C11"/>
    <w:rsid w:val="00182C2C"/>
    <w:rsid w:val="00182EF9"/>
    <w:rsid w:val="00182F24"/>
    <w:rsid w:val="00182F6E"/>
    <w:rsid w:val="00182FB4"/>
    <w:rsid w:val="001830A1"/>
    <w:rsid w:val="001830B3"/>
    <w:rsid w:val="001831A1"/>
    <w:rsid w:val="00183250"/>
    <w:rsid w:val="00183489"/>
    <w:rsid w:val="00183777"/>
    <w:rsid w:val="00183787"/>
    <w:rsid w:val="001837F8"/>
    <w:rsid w:val="00183871"/>
    <w:rsid w:val="00183B89"/>
    <w:rsid w:val="00183BEA"/>
    <w:rsid w:val="00183C5B"/>
    <w:rsid w:val="00183C6E"/>
    <w:rsid w:val="00183D15"/>
    <w:rsid w:val="00183D9A"/>
    <w:rsid w:val="00183DF8"/>
    <w:rsid w:val="00183EEB"/>
    <w:rsid w:val="00183F9E"/>
    <w:rsid w:val="00184077"/>
    <w:rsid w:val="001840BF"/>
    <w:rsid w:val="00184257"/>
    <w:rsid w:val="00184271"/>
    <w:rsid w:val="00184315"/>
    <w:rsid w:val="001845B9"/>
    <w:rsid w:val="001845D5"/>
    <w:rsid w:val="00184636"/>
    <w:rsid w:val="00184691"/>
    <w:rsid w:val="001847DB"/>
    <w:rsid w:val="001848BD"/>
    <w:rsid w:val="001848BF"/>
    <w:rsid w:val="001849BA"/>
    <w:rsid w:val="00184A36"/>
    <w:rsid w:val="00184AF3"/>
    <w:rsid w:val="00184B1E"/>
    <w:rsid w:val="00184B85"/>
    <w:rsid w:val="00184C70"/>
    <w:rsid w:val="00184C90"/>
    <w:rsid w:val="00184CD4"/>
    <w:rsid w:val="00184D9D"/>
    <w:rsid w:val="00184E3B"/>
    <w:rsid w:val="00184EA0"/>
    <w:rsid w:val="00184ED6"/>
    <w:rsid w:val="00184EF1"/>
    <w:rsid w:val="00184F2C"/>
    <w:rsid w:val="00185055"/>
    <w:rsid w:val="0018506B"/>
    <w:rsid w:val="00185153"/>
    <w:rsid w:val="00185246"/>
    <w:rsid w:val="0018530F"/>
    <w:rsid w:val="00185594"/>
    <w:rsid w:val="001855D4"/>
    <w:rsid w:val="00185654"/>
    <w:rsid w:val="0018566C"/>
    <w:rsid w:val="00185847"/>
    <w:rsid w:val="00185AAE"/>
    <w:rsid w:val="00185B59"/>
    <w:rsid w:val="00185B89"/>
    <w:rsid w:val="00185BCA"/>
    <w:rsid w:val="00185C1F"/>
    <w:rsid w:val="00185D02"/>
    <w:rsid w:val="00185DBA"/>
    <w:rsid w:val="00185DDC"/>
    <w:rsid w:val="00185E6E"/>
    <w:rsid w:val="00185F5B"/>
    <w:rsid w:val="00185FAC"/>
    <w:rsid w:val="00185FED"/>
    <w:rsid w:val="00186099"/>
    <w:rsid w:val="00186114"/>
    <w:rsid w:val="00186116"/>
    <w:rsid w:val="001862C4"/>
    <w:rsid w:val="0018631A"/>
    <w:rsid w:val="001863A3"/>
    <w:rsid w:val="001863ED"/>
    <w:rsid w:val="00186454"/>
    <w:rsid w:val="0018646F"/>
    <w:rsid w:val="00186544"/>
    <w:rsid w:val="0018661A"/>
    <w:rsid w:val="00186685"/>
    <w:rsid w:val="00186785"/>
    <w:rsid w:val="00186945"/>
    <w:rsid w:val="001869EA"/>
    <w:rsid w:val="00186A59"/>
    <w:rsid w:val="00186BA6"/>
    <w:rsid w:val="00186C85"/>
    <w:rsid w:val="00186D5F"/>
    <w:rsid w:val="00186DA6"/>
    <w:rsid w:val="00186E99"/>
    <w:rsid w:val="00186F0A"/>
    <w:rsid w:val="00186FC8"/>
    <w:rsid w:val="00186FEF"/>
    <w:rsid w:val="001870F6"/>
    <w:rsid w:val="00187202"/>
    <w:rsid w:val="0018727F"/>
    <w:rsid w:val="00187333"/>
    <w:rsid w:val="00187334"/>
    <w:rsid w:val="00187402"/>
    <w:rsid w:val="00187417"/>
    <w:rsid w:val="00187573"/>
    <w:rsid w:val="00187655"/>
    <w:rsid w:val="00187776"/>
    <w:rsid w:val="00187791"/>
    <w:rsid w:val="00187A24"/>
    <w:rsid w:val="00187AD7"/>
    <w:rsid w:val="00187B5E"/>
    <w:rsid w:val="00187B7A"/>
    <w:rsid w:val="00187E88"/>
    <w:rsid w:val="00187EBF"/>
    <w:rsid w:val="00187F77"/>
    <w:rsid w:val="001900AD"/>
    <w:rsid w:val="001901AD"/>
    <w:rsid w:val="001901FC"/>
    <w:rsid w:val="001902EA"/>
    <w:rsid w:val="0019038E"/>
    <w:rsid w:val="001903E7"/>
    <w:rsid w:val="00190432"/>
    <w:rsid w:val="001904E8"/>
    <w:rsid w:val="0019055A"/>
    <w:rsid w:val="0019058D"/>
    <w:rsid w:val="0019065D"/>
    <w:rsid w:val="00190674"/>
    <w:rsid w:val="001908D7"/>
    <w:rsid w:val="00190AC8"/>
    <w:rsid w:val="00190ADA"/>
    <w:rsid w:val="00190C4D"/>
    <w:rsid w:val="00190CA6"/>
    <w:rsid w:val="00190D69"/>
    <w:rsid w:val="00190D6B"/>
    <w:rsid w:val="00190DD7"/>
    <w:rsid w:val="00190F8C"/>
    <w:rsid w:val="00190FD9"/>
    <w:rsid w:val="00190FF4"/>
    <w:rsid w:val="0019101E"/>
    <w:rsid w:val="0019117A"/>
    <w:rsid w:val="00191213"/>
    <w:rsid w:val="001912EC"/>
    <w:rsid w:val="001913D8"/>
    <w:rsid w:val="001913F7"/>
    <w:rsid w:val="00191478"/>
    <w:rsid w:val="001914D4"/>
    <w:rsid w:val="00191573"/>
    <w:rsid w:val="00191599"/>
    <w:rsid w:val="001915B4"/>
    <w:rsid w:val="0019165D"/>
    <w:rsid w:val="0019167C"/>
    <w:rsid w:val="001916AC"/>
    <w:rsid w:val="00191885"/>
    <w:rsid w:val="0019189F"/>
    <w:rsid w:val="001919B3"/>
    <w:rsid w:val="00191B41"/>
    <w:rsid w:val="00191BB5"/>
    <w:rsid w:val="00191BE4"/>
    <w:rsid w:val="00191CD9"/>
    <w:rsid w:val="00191F18"/>
    <w:rsid w:val="00192056"/>
    <w:rsid w:val="001921D9"/>
    <w:rsid w:val="001922BE"/>
    <w:rsid w:val="0019236C"/>
    <w:rsid w:val="0019243E"/>
    <w:rsid w:val="00192459"/>
    <w:rsid w:val="0019249B"/>
    <w:rsid w:val="001924B0"/>
    <w:rsid w:val="00192641"/>
    <w:rsid w:val="00192789"/>
    <w:rsid w:val="001928C8"/>
    <w:rsid w:val="001928D1"/>
    <w:rsid w:val="00192969"/>
    <w:rsid w:val="00192991"/>
    <w:rsid w:val="0019299C"/>
    <w:rsid w:val="001929A2"/>
    <w:rsid w:val="00192A7C"/>
    <w:rsid w:val="00192AF0"/>
    <w:rsid w:val="00192D5E"/>
    <w:rsid w:val="00192D7C"/>
    <w:rsid w:val="00192DCC"/>
    <w:rsid w:val="00192EE2"/>
    <w:rsid w:val="00192EEE"/>
    <w:rsid w:val="00192F0A"/>
    <w:rsid w:val="001930F5"/>
    <w:rsid w:val="0019318F"/>
    <w:rsid w:val="00193328"/>
    <w:rsid w:val="00193388"/>
    <w:rsid w:val="001933CE"/>
    <w:rsid w:val="001934D0"/>
    <w:rsid w:val="00193559"/>
    <w:rsid w:val="00193598"/>
    <w:rsid w:val="00193752"/>
    <w:rsid w:val="001937A3"/>
    <w:rsid w:val="001938A4"/>
    <w:rsid w:val="0019392E"/>
    <w:rsid w:val="001939B6"/>
    <w:rsid w:val="00193ACB"/>
    <w:rsid w:val="00193B5A"/>
    <w:rsid w:val="00193BC3"/>
    <w:rsid w:val="00193C5B"/>
    <w:rsid w:val="00193C70"/>
    <w:rsid w:val="00193CBE"/>
    <w:rsid w:val="00193E61"/>
    <w:rsid w:val="00193E84"/>
    <w:rsid w:val="00193EB9"/>
    <w:rsid w:val="00193F53"/>
    <w:rsid w:val="00193F67"/>
    <w:rsid w:val="00193FD4"/>
    <w:rsid w:val="0019411B"/>
    <w:rsid w:val="00194125"/>
    <w:rsid w:val="00194194"/>
    <w:rsid w:val="001941B2"/>
    <w:rsid w:val="001941F9"/>
    <w:rsid w:val="001941FA"/>
    <w:rsid w:val="0019425F"/>
    <w:rsid w:val="001942F9"/>
    <w:rsid w:val="0019432A"/>
    <w:rsid w:val="00194361"/>
    <w:rsid w:val="0019437F"/>
    <w:rsid w:val="001943B1"/>
    <w:rsid w:val="00194461"/>
    <w:rsid w:val="001944BE"/>
    <w:rsid w:val="00194746"/>
    <w:rsid w:val="001947E3"/>
    <w:rsid w:val="00194804"/>
    <w:rsid w:val="001948BC"/>
    <w:rsid w:val="00194900"/>
    <w:rsid w:val="00194941"/>
    <w:rsid w:val="001949F4"/>
    <w:rsid w:val="00194AAD"/>
    <w:rsid w:val="00194BB0"/>
    <w:rsid w:val="00194C3A"/>
    <w:rsid w:val="00194E79"/>
    <w:rsid w:val="00194EE3"/>
    <w:rsid w:val="00195065"/>
    <w:rsid w:val="0019506B"/>
    <w:rsid w:val="00195144"/>
    <w:rsid w:val="00195164"/>
    <w:rsid w:val="001951A1"/>
    <w:rsid w:val="001951B0"/>
    <w:rsid w:val="001951BE"/>
    <w:rsid w:val="00195206"/>
    <w:rsid w:val="001952C3"/>
    <w:rsid w:val="00195301"/>
    <w:rsid w:val="0019558D"/>
    <w:rsid w:val="00195604"/>
    <w:rsid w:val="00195620"/>
    <w:rsid w:val="00195885"/>
    <w:rsid w:val="001959FF"/>
    <w:rsid w:val="00195A5A"/>
    <w:rsid w:val="00195AB2"/>
    <w:rsid w:val="00195B99"/>
    <w:rsid w:val="00195FE4"/>
    <w:rsid w:val="0019605B"/>
    <w:rsid w:val="00196287"/>
    <w:rsid w:val="00196364"/>
    <w:rsid w:val="00196566"/>
    <w:rsid w:val="001965D6"/>
    <w:rsid w:val="0019669F"/>
    <w:rsid w:val="001968D9"/>
    <w:rsid w:val="001969BC"/>
    <w:rsid w:val="001969DC"/>
    <w:rsid w:val="00196A0E"/>
    <w:rsid w:val="00196B4D"/>
    <w:rsid w:val="00196C2C"/>
    <w:rsid w:val="00196C91"/>
    <w:rsid w:val="00196D17"/>
    <w:rsid w:val="00196D4F"/>
    <w:rsid w:val="00196DAA"/>
    <w:rsid w:val="00196EE1"/>
    <w:rsid w:val="00196F1F"/>
    <w:rsid w:val="00196F92"/>
    <w:rsid w:val="00196FCC"/>
    <w:rsid w:val="001970D5"/>
    <w:rsid w:val="001971A7"/>
    <w:rsid w:val="00197213"/>
    <w:rsid w:val="00197286"/>
    <w:rsid w:val="00197366"/>
    <w:rsid w:val="00197455"/>
    <w:rsid w:val="001974AE"/>
    <w:rsid w:val="00197568"/>
    <w:rsid w:val="001975EF"/>
    <w:rsid w:val="0019765A"/>
    <w:rsid w:val="001976F9"/>
    <w:rsid w:val="001976FB"/>
    <w:rsid w:val="00197757"/>
    <w:rsid w:val="00197772"/>
    <w:rsid w:val="0019778E"/>
    <w:rsid w:val="0019789B"/>
    <w:rsid w:val="001978E9"/>
    <w:rsid w:val="00197904"/>
    <w:rsid w:val="00197A4C"/>
    <w:rsid w:val="00197ABD"/>
    <w:rsid w:val="00197AE0"/>
    <w:rsid w:val="00197BF2"/>
    <w:rsid w:val="00197C03"/>
    <w:rsid w:val="00197CD4"/>
    <w:rsid w:val="00197CFB"/>
    <w:rsid w:val="00197D2F"/>
    <w:rsid w:val="00197D70"/>
    <w:rsid w:val="00197E09"/>
    <w:rsid w:val="00197F02"/>
    <w:rsid w:val="00197F3B"/>
    <w:rsid w:val="00197F3D"/>
    <w:rsid w:val="001A0002"/>
    <w:rsid w:val="001A0007"/>
    <w:rsid w:val="001A001D"/>
    <w:rsid w:val="001A0051"/>
    <w:rsid w:val="001A008B"/>
    <w:rsid w:val="001A0158"/>
    <w:rsid w:val="001A0263"/>
    <w:rsid w:val="001A028E"/>
    <w:rsid w:val="001A039F"/>
    <w:rsid w:val="001A03DB"/>
    <w:rsid w:val="001A04A6"/>
    <w:rsid w:val="001A054A"/>
    <w:rsid w:val="001A067A"/>
    <w:rsid w:val="001A06AA"/>
    <w:rsid w:val="001A0701"/>
    <w:rsid w:val="001A07E5"/>
    <w:rsid w:val="001A0821"/>
    <w:rsid w:val="001A096B"/>
    <w:rsid w:val="001A0BC4"/>
    <w:rsid w:val="001A0C4A"/>
    <w:rsid w:val="001A0D8A"/>
    <w:rsid w:val="001A0DAC"/>
    <w:rsid w:val="001A0DE9"/>
    <w:rsid w:val="001A0E4A"/>
    <w:rsid w:val="001A0E78"/>
    <w:rsid w:val="001A114F"/>
    <w:rsid w:val="001A11F3"/>
    <w:rsid w:val="001A12A0"/>
    <w:rsid w:val="001A132E"/>
    <w:rsid w:val="001A1424"/>
    <w:rsid w:val="001A15B7"/>
    <w:rsid w:val="001A1848"/>
    <w:rsid w:val="001A18E7"/>
    <w:rsid w:val="001A193A"/>
    <w:rsid w:val="001A19B9"/>
    <w:rsid w:val="001A1AA1"/>
    <w:rsid w:val="001A1AF2"/>
    <w:rsid w:val="001A1B8F"/>
    <w:rsid w:val="001A1D31"/>
    <w:rsid w:val="001A1E70"/>
    <w:rsid w:val="001A1F35"/>
    <w:rsid w:val="001A221B"/>
    <w:rsid w:val="001A2387"/>
    <w:rsid w:val="001A2449"/>
    <w:rsid w:val="001A26E7"/>
    <w:rsid w:val="001A27C8"/>
    <w:rsid w:val="001A2C1E"/>
    <w:rsid w:val="001A2C9E"/>
    <w:rsid w:val="001A2CA3"/>
    <w:rsid w:val="001A2DBB"/>
    <w:rsid w:val="001A2EB9"/>
    <w:rsid w:val="001A2F6E"/>
    <w:rsid w:val="001A2FFD"/>
    <w:rsid w:val="001A3052"/>
    <w:rsid w:val="001A309C"/>
    <w:rsid w:val="001A315B"/>
    <w:rsid w:val="001A31C5"/>
    <w:rsid w:val="001A31D9"/>
    <w:rsid w:val="001A3251"/>
    <w:rsid w:val="001A32AE"/>
    <w:rsid w:val="001A32FF"/>
    <w:rsid w:val="001A3494"/>
    <w:rsid w:val="001A3535"/>
    <w:rsid w:val="001A3562"/>
    <w:rsid w:val="001A35A4"/>
    <w:rsid w:val="001A360F"/>
    <w:rsid w:val="001A3778"/>
    <w:rsid w:val="001A37CA"/>
    <w:rsid w:val="001A382D"/>
    <w:rsid w:val="001A3857"/>
    <w:rsid w:val="001A388B"/>
    <w:rsid w:val="001A389E"/>
    <w:rsid w:val="001A38DF"/>
    <w:rsid w:val="001A3A7A"/>
    <w:rsid w:val="001A3AA3"/>
    <w:rsid w:val="001A3AD7"/>
    <w:rsid w:val="001A3B0C"/>
    <w:rsid w:val="001A3B1F"/>
    <w:rsid w:val="001A3B3A"/>
    <w:rsid w:val="001A3C33"/>
    <w:rsid w:val="001A3C3B"/>
    <w:rsid w:val="001A3D15"/>
    <w:rsid w:val="001A3D62"/>
    <w:rsid w:val="001A41A2"/>
    <w:rsid w:val="001A41A9"/>
    <w:rsid w:val="001A4284"/>
    <w:rsid w:val="001A428F"/>
    <w:rsid w:val="001A438A"/>
    <w:rsid w:val="001A444E"/>
    <w:rsid w:val="001A45CF"/>
    <w:rsid w:val="001A462C"/>
    <w:rsid w:val="001A49EF"/>
    <w:rsid w:val="001A49F2"/>
    <w:rsid w:val="001A4AA5"/>
    <w:rsid w:val="001A4C49"/>
    <w:rsid w:val="001A4C62"/>
    <w:rsid w:val="001A4C77"/>
    <w:rsid w:val="001A4D2E"/>
    <w:rsid w:val="001A4D9E"/>
    <w:rsid w:val="001A501C"/>
    <w:rsid w:val="001A5023"/>
    <w:rsid w:val="001A51AA"/>
    <w:rsid w:val="001A51E2"/>
    <w:rsid w:val="001A51EA"/>
    <w:rsid w:val="001A52A3"/>
    <w:rsid w:val="001A52A5"/>
    <w:rsid w:val="001A5317"/>
    <w:rsid w:val="001A532E"/>
    <w:rsid w:val="001A53D6"/>
    <w:rsid w:val="001A5458"/>
    <w:rsid w:val="001A550B"/>
    <w:rsid w:val="001A5655"/>
    <w:rsid w:val="001A56B6"/>
    <w:rsid w:val="001A572F"/>
    <w:rsid w:val="001A57A5"/>
    <w:rsid w:val="001A5AC9"/>
    <w:rsid w:val="001A5B4D"/>
    <w:rsid w:val="001A5B78"/>
    <w:rsid w:val="001A5E17"/>
    <w:rsid w:val="001A5E43"/>
    <w:rsid w:val="001A5E59"/>
    <w:rsid w:val="001A5EC8"/>
    <w:rsid w:val="001A5ECD"/>
    <w:rsid w:val="001A5FC5"/>
    <w:rsid w:val="001A606C"/>
    <w:rsid w:val="001A6081"/>
    <w:rsid w:val="001A60A5"/>
    <w:rsid w:val="001A631D"/>
    <w:rsid w:val="001A63AD"/>
    <w:rsid w:val="001A6410"/>
    <w:rsid w:val="001A67B3"/>
    <w:rsid w:val="001A69A3"/>
    <w:rsid w:val="001A6A05"/>
    <w:rsid w:val="001A6BE7"/>
    <w:rsid w:val="001A6BF1"/>
    <w:rsid w:val="001A6CEA"/>
    <w:rsid w:val="001A6CF9"/>
    <w:rsid w:val="001A6E7B"/>
    <w:rsid w:val="001A703B"/>
    <w:rsid w:val="001A70E3"/>
    <w:rsid w:val="001A7166"/>
    <w:rsid w:val="001A72AA"/>
    <w:rsid w:val="001A72DA"/>
    <w:rsid w:val="001A7360"/>
    <w:rsid w:val="001A73C8"/>
    <w:rsid w:val="001A7405"/>
    <w:rsid w:val="001A746A"/>
    <w:rsid w:val="001A74A6"/>
    <w:rsid w:val="001A74CC"/>
    <w:rsid w:val="001A74D3"/>
    <w:rsid w:val="001A74EF"/>
    <w:rsid w:val="001A7554"/>
    <w:rsid w:val="001A759E"/>
    <w:rsid w:val="001A76ED"/>
    <w:rsid w:val="001A76F6"/>
    <w:rsid w:val="001A78B6"/>
    <w:rsid w:val="001A7A42"/>
    <w:rsid w:val="001A7A74"/>
    <w:rsid w:val="001A7B98"/>
    <w:rsid w:val="001A7C39"/>
    <w:rsid w:val="001A7CBE"/>
    <w:rsid w:val="001A7EB6"/>
    <w:rsid w:val="001B0041"/>
    <w:rsid w:val="001B00E4"/>
    <w:rsid w:val="001B02FA"/>
    <w:rsid w:val="001B04C8"/>
    <w:rsid w:val="001B04FC"/>
    <w:rsid w:val="001B0724"/>
    <w:rsid w:val="001B07F4"/>
    <w:rsid w:val="001B0813"/>
    <w:rsid w:val="001B0894"/>
    <w:rsid w:val="001B08D7"/>
    <w:rsid w:val="001B0A21"/>
    <w:rsid w:val="001B0A57"/>
    <w:rsid w:val="001B0A9D"/>
    <w:rsid w:val="001B0AED"/>
    <w:rsid w:val="001B0B07"/>
    <w:rsid w:val="001B0C06"/>
    <w:rsid w:val="001B0CF5"/>
    <w:rsid w:val="001B0D4E"/>
    <w:rsid w:val="001B0E16"/>
    <w:rsid w:val="001B0F94"/>
    <w:rsid w:val="001B108D"/>
    <w:rsid w:val="001B11CE"/>
    <w:rsid w:val="001B1228"/>
    <w:rsid w:val="001B1234"/>
    <w:rsid w:val="001B1392"/>
    <w:rsid w:val="001B1442"/>
    <w:rsid w:val="001B15B2"/>
    <w:rsid w:val="001B16A6"/>
    <w:rsid w:val="001B175B"/>
    <w:rsid w:val="001B1900"/>
    <w:rsid w:val="001B193E"/>
    <w:rsid w:val="001B1A75"/>
    <w:rsid w:val="001B1BEE"/>
    <w:rsid w:val="001B1C85"/>
    <w:rsid w:val="001B21B7"/>
    <w:rsid w:val="001B2311"/>
    <w:rsid w:val="001B242D"/>
    <w:rsid w:val="001B2597"/>
    <w:rsid w:val="001B268C"/>
    <w:rsid w:val="001B2713"/>
    <w:rsid w:val="001B273A"/>
    <w:rsid w:val="001B27BF"/>
    <w:rsid w:val="001B27DF"/>
    <w:rsid w:val="001B28AF"/>
    <w:rsid w:val="001B2ADF"/>
    <w:rsid w:val="001B2B30"/>
    <w:rsid w:val="001B2D14"/>
    <w:rsid w:val="001B2D18"/>
    <w:rsid w:val="001B2D89"/>
    <w:rsid w:val="001B2DD3"/>
    <w:rsid w:val="001B2E29"/>
    <w:rsid w:val="001B2F01"/>
    <w:rsid w:val="001B2F49"/>
    <w:rsid w:val="001B2FC4"/>
    <w:rsid w:val="001B3008"/>
    <w:rsid w:val="001B30B7"/>
    <w:rsid w:val="001B315B"/>
    <w:rsid w:val="001B31C7"/>
    <w:rsid w:val="001B3305"/>
    <w:rsid w:val="001B33CE"/>
    <w:rsid w:val="001B3716"/>
    <w:rsid w:val="001B3805"/>
    <w:rsid w:val="001B382F"/>
    <w:rsid w:val="001B39A5"/>
    <w:rsid w:val="001B3AF9"/>
    <w:rsid w:val="001B3CD0"/>
    <w:rsid w:val="001B3D3A"/>
    <w:rsid w:val="001B3DE9"/>
    <w:rsid w:val="001B4083"/>
    <w:rsid w:val="001B4198"/>
    <w:rsid w:val="001B4240"/>
    <w:rsid w:val="001B4290"/>
    <w:rsid w:val="001B4292"/>
    <w:rsid w:val="001B4371"/>
    <w:rsid w:val="001B43D6"/>
    <w:rsid w:val="001B44B0"/>
    <w:rsid w:val="001B4781"/>
    <w:rsid w:val="001B4851"/>
    <w:rsid w:val="001B485E"/>
    <w:rsid w:val="001B48E7"/>
    <w:rsid w:val="001B49BE"/>
    <w:rsid w:val="001B4A83"/>
    <w:rsid w:val="001B4AEC"/>
    <w:rsid w:val="001B4B49"/>
    <w:rsid w:val="001B4BA7"/>
    <w:rsid w:val="001B4BFB"/>
    <w:rsid w:val="001B4C3E"/>
    <w:rsid w:val="001B4CDA"/>
    <w:rsid w:val="001B4D9F"/>
    <w:rsid w:val="001B4DF8"/>
    <w:rsid w:val="001B4EFE"/>
    <w:rsid w:val="001B5035"/>
    <w:rsid w:val="001B50F0"/>
    <w:rsid w:val="001B53F1"/>
    <w:rsid w:val="001B5420"/>
    <w:rsid w:val="001B546D"/>
    <w:rsid w:val="001B54BF"/>
    <w:rsid w:val="001B54F5"/>
    <w:rsid w:val="001B57BD"/>
    <w:rsid w:val="001B5884"/>
    <w:rsid w:val="001B58A0"/>
    <w:rsid w:val="001B5AFF"/>
    <w:rsid w:val="001B5B33"/>
    <w:rsid w:val="001B5C19"/>
    <w:rsid w:val="001B5C9F"/>
    <w:rsid w:val="001B5D77"/>
    <w:rsid w:val="001B5DAF"/>
    <w:rsid w:val="001B5E27"/>
    <w:rsid w:val="001B5E72"/>
    <w:rsid w:val="001B5E80"/>
    <w:rsid w:val="001B5F17"/>
    <w:rsid w:val="001B5FC1"/>
    <w:rsid w:val="001B5FD4"/>
    <w:rsid w:val="001B6352"/>
    <w:rsid w:val="001B639D"/>
    <w:rsid w:val="001B63C9"/>
    <w:rsid w:val="001B652A"/>
    <w:rsid w:val="001B6578"/>
    <w:rsid w:val="001B65E5"/>
    <w:rsid w:val="001B66C0"/>
    <w:rsid w:val="001B68DF"/>
    <w:rsid w:val="001B69D7"/>
    <w:rsid w:val="001B6AC3"/>
    <w:rsid w:val="001B6C07"/>
    <w:rsid w:val="001B6C33"/>
    <w:rsid w:val="001B6CD0"/>
    <w:rsid w:val="001B6D67"/>
    <w:rsid w:val="001B6D6A"/>
    <w:rsid w:val="001B6EA6"/>
    <w:rsid w:val="001B6EFA"/>
    <w:rsid w:val="001B7600"/>
    <w:rsid w:val="001B7814"/>
    <w:rsid w:val="001B785E"/>
    <w:rsid w:val="001B7919"/>
    <w:rsid w:val="001B7A40"/>
    <w:rsid w:val="001B7AF4"/>
    <w:rsid w:val="001B7B73"/>
    <w:rsid w:val="001B7C60"/>
    <w:rsid w:val="001B7C9B"/>
    <w:rsid w:val="001B7CB0"/>
    <w:rsid w:val="001B7D17"/>
    <w:rsid w:val="001B7E03"/>
    <w:rsid w:val="001B7E63"/>
    <w:rsid w:val="001B7E7E"/>
    <w:rsid w:val="001B7E8E"/>
    <w:rsid w:val="001C00BE"/>
    <w:rsid w:val="001C00ED"/>
    <w:rsid w:val="001C015B"/>
    <w:rsid w:val="001C0199"/>
    <w:rsid w:val="001C01A8"/>
    <w:rsid w:val="001C02E8"/>
    <w:rsid w:val="001C02F8"/>
    <w:rsid w:val="001C031A"/>
    <w:rsid w:val="001C051D"/>
    <w:rsid w:val="001C0549"/>
    <w:rsid w:val="001C0583"/>
    <w:rsid w:val="001C05C0"/>
    <w:rsid w:val="001C05FD"/>
    <w:rsid w:val="001C0602"/>
    <w:rsid w:val="001C0656"/>
    <w:rsid w:val="001C070C"/>
    <w:rsid w:val="001C07DD"/>
    <w:rsid w:val="001C07F6"/>
    <w:rsid w:val="001C084B"/>
    <w:rsid w:val="001C094A"/>
    <w:rsid w:val="001C0985"/>
    <w:rsid w:val="001C09CB"/>
    <w:rsid w:val="001C0A1D"/>
    <w:rsid w:val="001C0A2E"/>
    <w:rsid w:val="001C0A6E"/>
    <w:rsid w:val="001C0B18"/>
    <w:rsid w:val="001C0C0C"/>
    <w:rsid w:val="001C0CAB"/>
    <w:rsid w:val="001C0D0D"/>
    <w:rsid w:val="001C0DE2"/>
    <w:rsid w:val="001C0E58"/>
    <w:rsid w:val="001C0FBB"/>
    <w:rsid w:val="001C1074"/>
    <w:rsid w:val="001C10F1"/>
    <w:rsid w:val="001C115A"/>
    <w:rsid w:val="001C12BE"/>
    <w:rsid w:val="001C136C"/>
    <w:rsid w:val="001C140F"/>
    <w:rsid w:val="001C1425"/>
    <w:rsid w:val="001C1442"/>
    <w:rsid w:val="001C150D"/>
    <w:rsid w:val="001C163F"/>
    <w:rsid w:val="001C1654"/>
    <w:rsid w:val="001C17CF"/>
    <w:rsid w:val="001C17E9"/>
    <w:rsid w:val="001C1844"/>
    <w:rsid w:val="001C185F"/>
    <w:rsid w:val="001C186D"/>
    <w:rsid w:val="001C18E7"/>
    <w:rsid w:val="001C18FE"/>
    <w:rsid w:val="001C1A71"/>
    <w:rsid w:val="001C1A75"/>
    <w:rsid w:val="001C1AAD"/>
    <w:rsid w:val="001C1AF8"/>
    <w:rsid w:val="001C1B2B"/>
    <w:rsid w:val="001C1B3A"/>
    <w:rsid w:val="001C1B51"/>
    <w:rsid w:val="001C1B6A"/>
    <w:rsid w:val="001C1B82"/>
    <w:rsid w:val="001C1BA0"/>
    <w:rsid w:val="001C1C55"/>
    <w:rsid w:val="001C1F43"/>
    <w:rsid w:val="001C214E"/>
    <w:rsid w:val="001C21D3"/>
    <w:rsid w:val="001C21E9"/>
    <w:rsid w:val="001C22C0"/>
    <w:rsid w:val="001C2302"/>
    <w:rsid w:val="001C238B"/>
    <w:rsid w:val="001C23BD"/>
    <w:rsid w:val="001C249E"/>
    <w:rsid w:val="001C2596"/>
    <w:rsid w:val="001C2664"/>
    <w:rsid w:val="001C26E7"/>
    <w:rsid w:val="001C2778"/>
    <w:rsid w:val="001C27B5"/>
    <w:rsid w:val="001C291D"/>
    <w:rsid w:val="001C2996"/>
    <w:rsid w:val="001C2A45"/>
    <w:rsid w:val="001C2B6B"/>
    <w:rsid w:val="001C2BFD"/>
    <w:rsid w:val="001C2C37"/>
    <w:rsid w:val="001C2D22"/>
    <w:rsid w:val="001C2EB0"/>
    <w:rsid w:val="001C2F01"/>
    <w:rsid w:val="001C2F2D"/>
    <w:rsid w:val="001C2FAA"/>
    <w:rsid w:val="001C2FAB"/>
    <w:rsid w:val="001C2FD2"/>
    <w:rsid w:val="001C31BB"/>
    <w:rsid w:val="001C31CB"/>
    <w:rsid w:val="001C3227"/>
    <w:rsid w:val="001C32F0"/>
    <w:rsid w:val="001C3308"/>
    <w:rsid w:val="001C3315"/>
    <w:rsid w:val="001C346A"/>
    <w:rsid w:val="001C3570"/>
    <w:rsid w:val="001C37DE"/>
    <w:rsid w:val="001C3807"/>
    <w:rsid w:val="001C3945"/>
    <w:rsid w:val="001C3960"/>
    <w:rsid w:val="001C39D3"/>
    <w:rsid w:val="001C3B1D"/>
    <w:rsid w:val="001C3BAD"/>
    <w:rsid w:val="001C3CD6"/>
    <w:rsid w:val="001C3EE0"/>
    <w:rsid w:val="001C3F85"/>
    <w:rsid w:val="001C41FF"/>
    <w:rsid w:val="001C4286"/>
    <w:rsid w:val="001C42FF"/>
    <w:rsid w:val="001C43AE"/>
    <w:rsid w:val="001C4442"/>
    <w:rsid w:val="001C462E"/>
    <w:rsid w:val="001C4719"/>
    <w:rsid w:val="001C4968"/>
    <w:rsid w:val="001C4ABC"/>
    <w:rsid w:val="001C4B4E"/>
    <w:rsid w:val="001C4DCA"/>
    <w:rsid w:val="001C4E35"/>
    <w:rsid w:val="001C4E8B"/>
    <w:rsid w:val="001C4F66"/>
    <w:rsid w:val="001C50C3"/>
    <w:rsid w:val="001C50F0"/>
    <w:rsid w:val="001C5360"/>
    <w:rsid w:val="001C55A6"/>
    <w:rsid w:val="001C55B6"/>
    <w:rsid w:val="001C55C6"/>
    <w:rsid w:val="001C57A0"/>
    <w:rsid w:val="001C5A39"/>
    <w:rsid w:val="001C5A63"/>
    <w:rsid w:val="001C5B16"/>
    <w:rsid w:val="001C5B7C"/>
    <w:rsid w:val="001C5BFA"/>
    <w:rsid w:val="001C5D25"/>
    <w:rsid w:val="001C5DDC"/>
    <w:rsid w:val="001C5E21"/>
    <w:rsid w:val="001C5F40"/>
    <w:rsid w:val="001C5F64"/>
    <w:rsid w:val="001C5F80"/>
    <w:rsid w:val="001C5FB4"/>
    <w:rsid w:val="001C62C8"/>
    <w:rsid w:val="001C63A3"/>
    <w:rsid w:val="001C64D6"/>
    <w:rsid w:val="001C6577"/>
    <w:rsid w:val="001C65A8"/>
    <w:rsid w:val="001C65F0"/>
    <w:rsid w:val="001C675D"/>
    <w:rsid w:val="001C6806"/>
    <w:rsid w:val="001C6982"/>
    <w:rsid w:val="001C699E"/>
    <w:rsid w:val="001C6A40"/>
    <w:rsid w:val="001C6BF9"/>
    <w:rsid w:val="001C6C3F"/>
    <w:rsid w:val="001C6CF0"/>
    <w:rsid w:val="001C6D3F"/>
    <w:rsid w:val="001C6D6B"/>
    <w:rsid w:val="001C6DC5"/>
    <w:rsid w:val="001C6E13"/>
    <w:rsid w:val="001C6F7F"/>
    <w:rsid w:val="001C70BC"/>
    <w:rsid w:val="001C7243"/>
    <w:rsid w:val="001C7477"/>
    <w:rsid w:val="001C75B6"/>
    <w:rsid w:val="001C75DB"/>
    <w:rsid w:val="001C764D"/>
    <w:rsid w:val="001C7655"/>
    <w:rsid w:val="001C7695"/>
    <w:rsid w:val="001C773D"/>
    <w:rsid w:val="001C7783"/>
    <w:rsid w:val="001C77DE"/>
    <w:rsid w:val="001C78EB"/>
    <w:rsid w:val="001C7919"/>
    <w:rsid w:val="001C7974"/>
    <w:rsid w:val="001C7AEB"/>
    <w:rsid w:val="001C7C4C"/>
    <w:rsid w:val="001C7C5F"/>
    <w:rsid w:val="001C7CB9"/>
    <w:rsid w:val="001C7D0D"/>
    <w:rsid w:val="001C7DAA"/>
    <w:rsid w:val="001C7E9D"/>
    <w:rsid w:val="001C7F2E"/>
    <w:rsid w:val="001C7FF6"/>
    <w:rsid w:val="001D0073"/>
    <w:rsid w:val="001D0113"/>
    <w:rsid w:val="001D019E"/>
    <w:rsid w:val="001D01BD"/>
    <w:rsid w:val="001D0221"/>
    <w:rsid w:val="001D0263"/>
    <w:rsid w:val="001D03A7"/>
    <w:rsid w:val="001D03BE"/>
    <w:rsid w:val="001D052E"/>
    <w:rsid w:val="001D0641"/>
    <w:rsid w:val="001D065A"/>
    <w:rsid w:val="001D068E"/>
    <w:rsid w:val="001D06EE"/>
    <w:rsid w:val="001D07BC"/>
    <w:rsid w:val="001D0929"/>
    <w:rsid w:val="001D0A14"/>
    <w:rsid w:val="001D0B5E"/>
    <w:rsid w:val="001D0B97"/>
    <w:rsid w:val="001D0C10"/>
    <w:rsid w:val="001D0E4E"/>
    <w:rsid w:val="001D0EBB"/>
    <w:rsid w:val="001D0F3B"/>
    <w:rsid w:val="001D11A0"/>
    <w:rsid w:val="001D1237"/>
    <w:rsid w:val="001D138F"/>
    <w:rsid w:val="001D142C"/>
    <w:rsid w:val="001D1443"/>
    <w:rsid w:val="001D1480"/>
    <w:rsid w:val="001D14BC"/>
    <w:rsid w:val="001D16CD"/>
    <w:rsid w:val="001D1859"/>
    <w:rsid w:val="001D187B"/>
    <w:rsid w:val="001D19AD"/>
    <w:rsid w:val="001D1A2C"/>
    <w:rsid w:val="001D1B88"/>
    <w:rsid w:val="001D1BD1"/>
    <w:rsid w:val="001D1CB3"/>
    <w:rsid w:val="001D1CE6"/>
    <w:rsid w:val="001D1DA7"/>
    <w:rsid w:val="001D1F55"/>
    <w:rsid w:val="001D1F63"/>
    <w:rsid w:val="001D1FA0"/>
    <w:rsid w:val="001D1FF5"/>
    <w:rsid w:val="001D2051"/>
    <w:rsid w:val="001D206E"/>
    <w:rsid w:val="001D2092"/>
    <w:rsid w:val="001D20F5"/>
    <w:rsid w:val="001D238E"/>
    <w:rsid w:val="001D23DD"/>
    <w:rsid w:val="001D2517"/>
    <w:rsid w:val="001D2601"/>
    <w:rsid w:val="001D26A9"/>
    <w:rsid w:val="001D26E5"/>
    <w:rsid w:val="001D2983"/>
    <w:rsid w:val="001D29D7"/>
    <w:rsid w:val="001D2A2E"/>
    <w:rsid w:val="001D2A55"/>
    <w:rsid w:val="001D2B84"/>
    <w:rsid w:val="001D2BB6"/>
    <w:rsid w:val="001D2CDD"/>
    <w:rsid w:val="001D2E89"/>
    <w:rsid w:val="001D3032"/>
    <w:rsid w:val="001D3144"/>
    <w:rsid w:val="001D32EE"/>
    <w:rsid w:val="001D3371"/>
    <w:rsid w:val="001D340E"/>
    <w:rsid w:val="001D358E"/>
    <w:rsid w:val="001D35FA"/>
    <w:rsid w:val="001D39E5"/>
    <w:rsid w:val="001D3B9B"/>
    <w:rsid w:val="001D3BCE"/>
    <w:rsid w:val="001D3C00"/>
    <w:rsid w:val="001D3C44"/>
    <w:rsid w:val="001D3CFA"/>
    <w:rsid w:val="001D3D32"/>
    <w:rsid w:val="001D3E1A"/>
    <w:rsid w:val="001D3E8B"/>
    <w:rsid w:val="001D3FD6"/>
    <w:rsid w:val="001D4182"/>
    <w:rsid w:val="001D42B8"/>
    <w:rsid w:val="001D42FA"/>
    <w:rsid w:val="001D4354"/>
    <w:rsid w:val="001D439A"/>
    <w:rsid w:val="001D4439"/>
    <w:rsid w:val="001D44F5"/>
    <w:rsid w:val="001D46F7"/>
    <w:rsid w:val="001D4899"/>
    <w:rsid w:val="001D48D4"/>
    <w:rsid w:val="001D49FC"/>
    <w:rsid w:val="001D4AE4"/>
    <w:rsid w:val="001D4B09"/>
    <w:rsid w:val="001D4B6F"/>
    <w:rsid w:val="001D4BA6"/>
    <w:rsid w:val="001D4C4D"/>
    <w:rsid w:val="001D4D46"/>
    <w:rsid w:val="001D505C"/>
    <w:rsid w:val="001D508E"/>
    <w:rsid w:val="001D50B5"/>
    <w:rsid w:val="001D5144"/>
    <w:rsid w:val="001D5199"/>
    <w:rsid w:val="001D519A"/>
    <w:rsid w:val="001D528F"/>
    <w:rsid w:val="001D52D6"/>
    <w:rsid w:val="001D52FF"/>
    <w:rsid w:val="001D530D"/>
    <w:rsid w:val="001D532D"/>
    <w:rsid w:val="001D5396"/>
    <w:rsid w:val="001D5491"/>
    <w:rsid w:val="001D5574"/>
    <w:rsid w:val="001D5588"/>
    <w:rsid w:val="001D559B"/>
    <w:rsid w:val="001D5787"/>
    <w:rsid w:val="001D57B6"/>
    <w:rsid w:val="001D57CE"/>
    <w:rsid w:val="001D57D9"/>
    <w:rsid w:val="001D5955"/>
    <w:rsid w:val="001D595A"/>
    <w:rsid w:val="001D5C39"/>
    <w:rsid w:val="001D5C3C"/>
    <w:rsid w:val="001D5CDC"/>
    <w:rsid w:val="001D60D0"/>
    <w:rsid w:val="001D6181"/>
    <w:rsid w:val="001D6234"/>
    <w:rsid w:val="001D62BB"/>
    <w:rsid w:val="001D62FF"/>
    <w:rsid w:val="001D6366"/>
    <w:rsid w:val="001D639F"/>
    <w:rsid w:val="001D648A"/>
    <w:rsid w:val="001D651C"/>
    <w:rsid w:val="001D6585"/>
    <w:rsid w:val="001D65E1"/>
    <w:rsid w:val="001D668C"/>
    <w:rsid w:val="001D673B"/>
    <w:rsid w:val="001D67CD"/>
    <w:rsid w:val="001D693C"/>
    <w:rsid w:val="001D6A06"/>
    <w:rsid w:val="001D6B09"/>
    <w:rsid w:val="001D6B52"/>
    <w:rsid w:val="001D6C31"/>
    <w:rsid w:val="001D6D24"/>
    <w:rsid w:val="001D6D36"/>
    <w:rsid w:val="001D6D93"/>
    <w:rsid w:val="001D706A"/>
    <w:rsid w:val="001D70D1"/>
    <w:rsid w:val="001D70EF"/>
    <w:rsid w:val="001D70FD"/>
    <w:rsid w:val="001D722F"/>
    <w:rsid w:val="001D7289"/>
    <w:rsid w:val="001D7372"/>
    <w:rsid w:val="001D7384"/>
    <w:rsid w:val="001D73A4"/>
    <w:rsid w:val="001D7460"/>
    <w:rsid w:val="001D7465"/>
    <w:rsid w:val="001D74BB"/>
    <w:rsid w:val="001D74D1"/>
    <w:rsid w:val="001D7506"/>
    <w:rsid w:val="001D75E8"/>
    <w:rsid w:val="001D777F"/>
    <w:rsid w:val="001D77E8"/>
    <w:rsid w:val="001D7814"/>
    <w:rsid w:val="001D7914"/>
    <w:rsid w:val="001D7AF1"/>
    <w:rsid w:val="001D7BCF"/>
    <w:rsid w:val="001D7BFA"/>
    <w:rsid w:val="001D7D42"/>
    <w:rsid w:val="001D7D52"/>
    <w:rsid w:val="001D7E28"/>
    <w:rsid w:val="001D7E4D"/>
    <w:rsid w:val="001D7FC5"/>
    <w:rsid w:val="001D7FF8"/>
    <w:rsid w:val="001E0072"/>
    <w:rsid w:val="001E00B1"/>
    <w:rsid w:val="001E00EC"/>
    <w:rsid w:val="001E016B"/>
    <w:rsid w:val="001E0269"/>
    <w:rsid w:val="001E0398"/>
    <w:rsid w:val="001E03D9"/>
    <w:rsid w:val="001E03FD"/>
    <w:rsid w:val="001E044C"/>
    <w:rsid w:val="001E04BB"/>
    <w:rsid w:val="001E0584"/>
    <w:rsid w:val="001E0600"/>
    <w:rsid w:val="001E0671"/>
    <w:rsid w:val="001E0766"/>
    <w:rsid w:val="001E079E"/>
    <w:rsid w:val="001E07B2"/>
    <w:rsid w:val="001E08BF"/>
    <w:rsid w:val="001E0923"/>
    <w:rsid w:val="001E09A2"/>
    <w:rsid w:val="001E0AEE"/>
    <w:rsid w:val="001E0D8A"/>
    <w:rsid w:val="001E0E39"/>
    <w:rsid w:val="001E0E6E"/>
    <w:rsid w:val="001E0EC1"/>
    <w:rsid w:val="001E113E"/>
    <w:rsid w:val="001E1369"/>
    <w:rsid w:val="001E149D"/>
    <w:rsid w:val="001E14D4"/>
    <w:rsid w:val="001E156B"/>
    <w:rsid w:val="001E1791"/>
    <w:rsid w:val="001E17D4"/>
    <w:rsid w:val="001E17F9"/>
    <w:rsid w:val="001E1811"/>
    <w:rsid w:val="001E1870"/>
    <w:rsid w:val="001E1A24"/>
    <w:rsid w:val="001E1B35"/>
    <w:rsid w:val="001E1B3E"/>
    <w:rsid w:val="001E1BD3"/>
    <w:rsid w:val="001E1C9E"/>
    <w:rsid w:val="001E1DE8"/>
    <w:rsid w:val="001E1EC6"/>
    <w:rsid w:val="001E1EFD"/>
    <w:rsid w:val="001E1EFF"/>
    <w:rsid w:val="001E2010"/>
    <w:rsid w:val="001E226C"/>
    <w:rsid w:val="001E227C"/>
    <w:rsid w:val="001E22CC"/>
    <w:rsid w:val="001E24E6"/>
    <w:rsid w:val="001E2547"/>
    <w:rsid w:val="001E2595"/>
    <w:rsid w:val="001E259D"/>
    <w:rsid w:val="001E25C8"/>
    <w:rsid w:val="001E25D1"/>
    <w:rsid w:val="001E278F"/>
    <w:rsid w:val="001E27AF"/>
    <w:rsid w:val="001E2809"/>
    <w:rsid w:val="001E283A"/>
    <w:rsid w:val="001E286F"/>
    <w:rsid w:val="001E2AF1"/>
    <w:rsid w:val="001E2AF6"/>
    <w:rsid w:val="001E2CFE"/>
    <w:rsid w:val="001E2D11"/>
    <w:rsid w:val="001E2D16"/>
    <w:rsid w:val="001E2D3A"/>
    <w:rsid w:val="001E2EDF"/>
    <w:rsid w:val="001E319E"/>
    <w:rsid w:val="001E3419"/>
    <w:rsid w:val="001E343D"/>
    <w:rsid w:val="001E3448"/>
    <w:rsid w:val="001E347A"/>
    <w:rsid w:val="001E349B"/>
    <w:rsid w:val="001E3593"/>
    <w:rsid w:val="001E363D"/>
    <w:rsid w:val="001E365E"/>
    <w:rsid w:val="001E366F"/>
    <w:rsid w:val="001E372C"/>
    <w:rsid w:val="001E37CE"/>
    <w:rsid w:val="001E388F"/>
    <w:rsid w:val="001E38F2"/>
    <w:rsid w:val="001E3950"/>
    <w:rsid w:val="001E3A70"/>
    <w:rsid w:val="001E3B03"/>
    <w:rsid w:val="001E3B27"/>
    <w:rsid w:val="001E3B70"/>
    <w:rsid w:val="001E3BA3"/>
    <w:rsid w:val="001E3C6B"/>
    <w:rsid w:val="001E3C91"/>
    <w:rsid w:val="001E3C9A"/>
    <w:rsid w:val="001E3D18"/>
    <w:rsid w:val="001E3DAB"/>
    <w:rsid w:val="001E3F23"/>
    <w:rsid w:val="001E3F2E"/>
    <w:rsid w:val="001E3F36"/>
    <w:rsid w:val="001E40AD"/>
    <w:rsid w:val="001E417A"/>
    <w:rsid w:val="001E438C"/>
    <w:rsid w:val="001E451A"/>
    <w:rsid w:val="001E4724"/>
    <w:rsid w:val="001E4786"/>
    <w:rsid w:val="001E4B1C"/>
    <w:rsid w:val="001E4B58"/>
    <w:rsid w:val="001E4BD9"/>
    <w:rsid w:val="001E4C49"/>
    <w:rsid w:val="001E4C74"/>
    <w:rsid w:val="001E4E0B"/>
    <w:rsid w:val="001E4E31"/>
    <w:rsid w:val="001E4E8B"/>
    <w:rsid w:val="001E5150"/>
    <w:rsid w:val="001E515C"/>
    <w:rsid w:val="001E5176"/>
    <w:rsid w:val="001E51E0"/>
    <w:rsid w:val="001E52C6"/>
    <w:rsid w:val="001E537A"/>
    <w:rsid w:val="001E5471"/>
    <w:rsid w:val="001E548D"/>
    <w:rsid w:val="001E54BB"/>
    <w:rsid w:val="001E54E9"/>
    <w:rsid w:val="001E5514"/>
    <w:rsid w:val="001E56A8"/>
    <w:rsid w:val="001E56B1"/>
    <w:rsid w:val="001E5704"/>
    <w:rsid w:val="001E5715"/>
    <w:rsid w:val="001E571B"/>
    <w:rsid w:val="001E578B"/>
    <w:rsid w:val="001E5800"/>
    <w:rsid w:val="001E5958"/>
    <w:rsid w:val="001E59DB"/>
    <w:rsid w:val="001E5A2A"/>
    <w:rsid w:val="001E5AAA"/>
    <w:rsid w:val="001E5CE8"/>
    <w:rsid w:val="001E6022"/>
    <w:rsid w:val="001E6045"/>
    <w:rsid w:val="001E615E"/>
    <w:rsid w:val="001E61F8"/>
    <w:rsid w:val="001E62EA"/>
    <w:rsid w:val="001E62FD"/>
    <w:rsid w:val="001E64A1"/>
    <w:rsid w:val="001E6512"/>
    <w:rsid w:val="001E6747"/>
    <w:rsid w:val="001E6770"/>
    <w:rsid w:val="001E67BB"/>
    <w:rsid w:val="001E6848"/>
    <w:rsid w:val="001E68E9"/>
    <w:rsid w:val="001E6A1B"/>
    <w:rsid w:val="001E6B52"/>
    <w:rsid w:val="001E6C61"/>
    <w:rsid w:val="001E6C78"/>
    <w:rsid w:val="001E6E1C"/>
    <w:rsid w:val="001E6E70"/>
    <w:rsid w:val="001E6EC7"/>
    <w:rsid w:val="001E6F04"/>
    <w:rsid w:val="001E722B"/>
    <w:rsid w:val="001E729D"/>
    <w:rsid w:val="001E749E"/>
    <w:rsid w:val="001E753A"/>
    <w:rsid w:val="001E7584"/>
    <w:rsid w:val="001E75E6"/>
    <w:rsid w:val="001E7632"/>
    <w:rsid w:val="001E7672"/>
    <w:rsid w:val="001E7680"/>
    <w:rsid w:val="001E76AB"/>
    <w:rsid w:val="001E7721"/>
    <w:rsid w:val="001E7909"/>
    <w:rsid w:val="001E7BCC"/>
    <w:rsid w:val="001E7CDA"/>
    <w:rsid w:val="001E7CFA"/>
    <w:rsid w:val="001E7D3E"/>
    <w:rsid w:val="001E7D74"/>
    <w:rsid w:val="001E7E00"/>
    <w:rsid w:val="001E7E44"/>
    <w:rsid w:val="001F0143"/>
    <w:rsid w:val="001F037D"/>
    <w:rsid w:val="001F0495"/>
    <w:rsid w:val="001F068C"/>
    <w:rsid w:val="001F0693"/>
    <w:rsid w:val="001F0767"/>
    <w:rsid w:val="001F0793"/>
    <w:rsid w:val="001F07BE"/>
    <w:rsid w:val="001F085D"/>
    <w:rsid w:val="001F0882"/>
    <w:rsid w:val="001F0885"/>
    <w:rsid w:val="001F08BB"/>
    <w:rsid w:val="001F092F"/>
    <w:rsid w:val="001F09B1"/>
    <w:rsid w:val="001F0A5B"/>
    <w:rsid w:val="001F0AC3"/>
    <w:rsid w:val="001F0AFA"/>
    <w:rsid w:val="001F0B0C"/>
    <w:rsid w:val="001F0B64"/>
    <w:rsid w:val="001F0BC1"/>
    <w:rsid w:val="001F0BC6"/>
    <w:rsid w:val="001F0C85"/>
    <w:rsid w:val="001F0DB8"/>
    <w:rsid w:val="001F0DE6"/>
    <w:rsid w:val="001F0DF6"/>
    <w:rsid w:val="001F0EDF"/>
    <w:rsid w:val="001F0F94"/>
    <w:rsid w:val="001F107B"/>
    <w:rsid w:val="001F10A5"/>
    <w:rsid w:val="001F10F5"/>
    <w:rsid w:val="001F111F"/>
    <w:rsid w:val="001F1393"/>
    <w:rsid w:val="001F13D0"/>
    <w:rsid w:val="001F14A3"/>
    <w:rsid w:val="001F161E"/>
    <w:rsid w:val="001F1652"/>
    <w:rsid w:val="001F172F"/>
    <w:rsid w:val="001F173B"/>
    <w:rsid w:val="001F1830"/>
    <w:rsid w:val="001F18BA"/>
    <w:rsid w:val="001F18DA"/>
    <w:rsid w:val="001F19E2"/>
    <w:rsid w:val="001F1A9E"/>
    <w:rsid w:val="001F1B41"/>
    <w:rsid w:val="001F1C41"/>
    <w:rsid w:val="001F1D5E"/>
    <w:rsid w:val="001F1DDE"/>
    <w:rsid w:val="001F1E2A"/>
    <w:rsid w:val="001F2033"/>
    <w:rsid w:val="001F21B1"/>
    <w:rsid w:val="001F241C"/>
    <w:rsid w:val="001F242D"/>
    <w:rsid w:val="001F2443"/>
    <w:rsid w:val="001F2539"/>
    <w:rsid w:val="001F258E"/>
    <w:rsid w:val="001F26A9"/>
    <w:rsid w:val="001F274E"/>
    <w:rsid w:val="001F2770"/>
    <w:rsid w:val="001F2852"/>
    <w:rsid w:val="001F2967"/>
    <w:rsid w:val="001F2AC4"/>
    <w:rsid w:val="001F2AE0"/>
    <w:rsid w:val="001F2BD2"/>
    <w:rsid w:val="001F2D16"/>
    <w:rsid w:val="001F2D3B"/>
    <w:rsid w:val="001F2D44"/>
    <w:rsid w:val="001F2E15"/>
    <w:rsid w:val="001F2EEC"/>
    <w:rsid w:val="001F2EFD"/>
    <w:rsid w:val="001F2F29"/>
    <w:rsid w:val="001F3035"/>
    <w:rsid w:val="001F310D"/>
    <w:rsid w:val="001F31F4"/>
    <w:rsid w:val="001F3235"/>
    <w:rsid w:val="001F3287"/>
    <w:rsid w:val="001F32ED"/>
    <w:rsid w:val="001F3327"/>
    <w:rsid w:val="001F333B"/>
    <w:rsid w:val="001F35AD"/>
    <w:rsid w:val="001F36A8"/>
    <w:rsid w:val="001F36DE"/>
    <w:rsid w:val="001F379C"/>
    <w:rsid w:val="001F37E5"/>
    <w:rsid w:val="001F386D"/>
    <w:rsid w:val="001F38B8"/>
    <w:rsid w:val="001F38BE"/>
    <w:rsid w:val="001F390A"/>
    <w:rsid w:val="001F3AAB"/>
    <w:rsid w:val="001F3B44"/>
    <w:rsid w:val="001F3C8C"/>
    <w:rsid w:val="001F3DE1"/>
    <w:rsid w:val="001F3E17"/>
    <w:rsid w:val="001F3EB6"/>
    <w:rsid w:val="001F3EC4"/>
    <w:rsid w:val="001F3F31"/>
    <w:rsid w:val="001F3F89"/>
    <w:rsid w:val="001F4072"/>
    <w:rsid w:val="001F414B"/>
    <w:rsid w:val="001F427D"/>
    <w:rsid w:val="001F4332"/>
    <w:rsid w:val="001F4372"/>
    <w:rsid w:val="001F43D6"/>
    <w:rsid w:val="001F449F"/>
    <w:rsid w:val="001F45B2"/>
    <w:rsid w:val="001F4645"/>
    <w:rsid w:val="001F46BB"/>
    <w:rsid w:val="001F46E5"/>
    <w:rsid w:val="001F47EA"/>
    <w:rsid w:val="001F4916"/>
    <w:rsid w:val="001F491F"/>
    <w:rsid w:val="001F4A52"/>
    <w:rsid w:val="001F4A7C"/>
    <w:rsid w:val="001F4B0A"/>
    <w:rsid w:val="001F4B49"/>
    <w:rsid w:val="001F4B59"/>
    <w:rsid w:val="001F4BB4"/>
    <w:rsid w:val="001F4BC1"/>
    <w:rsid w:val="001F4BE3"/>
    <w:rsid w:val="001F4C72"/>
    <w:rsid w:val="001F4E4E"/>
    <w:rsid w:val="001F4E6F"/>
    <w:rsid w:val="001F4EB0"/>
    <w:rsid w:val="001F4EFE"/>
    <w:rsid w:val="001F4F10"/>
    <w:rsid w:val="001F4F7C"/>
    <w:rsid w:val="001F4F93"/>
    <w:rsid w:val="001F5096"/>
    <w:rsid w:val="001F50CE"/>
    <w:rsid w:val="001F5186"/>
    <w:rsid w:val="001F534F"/>
    <w:rsid w:val="001F5390"/>
    <w:rsid w:val="001F543E"/>
    <w:rsid w:val="001F54C1"/>
    <w:rsid w:val="001F55D5"/>
    <w:rsid w:val="001F561B"/>
    <w:rsid w:val="001F566C"/>
    <w:rsid w:val="001F56A2"/>
    <w:rsid w:val="001F5743"/>
    <w:rsid w:val="001F579C"/>
    <w:rsid w:val="001F57FA"/>
    <w:rsid w:val="001F5A4A"/>
    <w:rsid w:val="001F5A70"/>
    <w:rsid w:val="001F5B49"/>
    <w:rsid w:val="001F5BC9"/>
    <w:rsid w:val="001F5BF6"/>
    <w:rsid w:val="001F5C0E"/>
    <w:rsid w:val="001F5C1C"/>
    <w:rsid w:val="001F5C3C"/>
    <w:rsid w:val="001F5CD0"/>
    <w:rsid w:val="001F5DC9"/>
    <w:rsid w:val="001F5EA1"/>
    <w:rsid w:val="001F5F58"/>
    <w:rsid w:val="001F5F5F"/>
    <w:rsid w:val="001F606B"/>
    <w:rsid w:val="001F61B8"/>
    <w:rsid w:val="001F62A0"/>
    <w:rsid w:val="001F62B4"/>
    <w:rsid w:val="001F62CD"/>
    <w:rsid w:val="001F635A"/>
    <w:rsid w:val="001F6403"/>
    <w:rsid w:val="001F6412"/>
    <w:rsid w:val="001F6646"/>
    <w:rsid w:val="001F66BF"/>
    <w:rsid w:val="001F6761"/>
    <w:rsid w:val="001F67A7"/>
    <w:rsid w:val="001F6839"/>
    <w:rsid w:val="001F6848"/>
    <w:rsid w:val="001F6936"/>
    <w:rsid w:val="001F6938"/>
    <w:rsid w:val="001F6CB8"/>
    <w:rsid w:val="001F6D06"/>
    <w:rsid w:val="001F6E50"/>
    <w:rsid w:val="001F6E71"/>
    <w:rsid w:val="001F6F47"/>
    <w:rsid w:val="001F7017"/>
    <w:rsid w:val="001F708F"/>
    <w:rsid w:val="001F7268"/>
    <w:rsid w:val="001F72D4"/>
    <w:rsid w:val="001F75A0"/>
    <w:rsid w:val="001F761C"/>
    <w:rsid w:val="001F763C"/>
    <w:rsid w:val="001F764D"/>
    <w:rsid w:val="001F7745"/>
    <w:rsid w:val="001F778B"/>
    <w:rsid w:val="001F79F8"/>
    <w:rsid w:val="001F7AB3"/>
    <w:rsid w:val="001F7AE2"/>
    <w:rsid w:val="001F7B86"/>
    <w:rsid w:val="001F7C5E"/>
    <w:rsid w:val="001F7D18"/>
    <w:rsid w:val="001F7E39"/>
    <w:rsid w:val="001F7F13"/>
    <w:rsid w:val="001F7FB8"/>
    <w:rsid w:val="00200401"/>
    <w:rsid w:val="00200540"/>
    <w:rsid w:val="00200589"/>
    <w:rsid w:val="0020064D"/>
    <w:rsid w:val="00200665"/>
    <w:rsid w:val="00200689"/>
    <w:rsid w:val="00200707"/>
    <w:rsid w:val="00200873"/>
    <w:rsid w:val="0020096D"/>
    <w:rsid w:val="00200A3F"/>
    <w:rsid w:val="00200AB8"/>
    <w:rsid w:val="00200B8B"/>
    <w:rsid w:val="00200BFF"/>
    <w:rsid w:val="00200D38"/>
    <w:rsid w:val="00200DDF"/>
    <w:rsid w:val="00200DED"/>
    <w:rsid w:val="00200F3C"/>
    <w:rsid w:val="00200F5D"/>
    <w:rsid w:val="002010A5"/>
    <w:rsid w:val="002010E9"/>
    <w:rsid w:val="00201108"/>
    <w:rsid w:val="00201270"/>
    <w:rsid w:val="00201345"/>
    <w:rsid w:val="002013D8"/>
    <w:rsid w:val="00201458"/>
    <w:rsid w:val="0020145C"/>
    <w:rsid w:val="002015D5"/>
    <w:rsid w:val="00201633"/>
    <w:rsid w:val="002016BB"/>
    <w:rsid w:val="002016DC"/>
    <w:rsid w:val="002018AF"/>
    <w:rsid w:val="0020191A"/>
    <w:rsid w:val="0020196D"/>
    <w:rsid w:val="002019BF"/>
    <w:rsid w:val="00201A69"/>
    <w:rsid w:val="00201B42"/>
    <w:rsid w:val="00201B5F"/>
    <w:rsid w:val="00201C3C"/>
    <w:rsid w:val="00201D14"/>
    <w:rsid w:val="00201D47"/>
    <w:rsid w:val="00201D8A"/>
    <w:rsid w:val="00201DD7"/>
    <w:rsid w:val="00201E58"/>
    <w:rsid w:val="00201F8F"/>
    <w:rsid w:val="00201FD6"/>
    <w:rsid w:val="002020D8"/>
    <w:rsid w:val="0020214B"/>
    <w:rsid w:val="002021AB"/>
    <w:rsid w:val="00202273"/>
    <w:rsid w:val="0020231A"/>
    <w:rsid w:val="00202358"/>
    <w:rsid w:val="002023A0"/>
    <w:rsid w:val="00202542"/>
    <w:rsid w:val="002026BF"/>
    <w:rsid w:val="00202780"/>
    <w:rsid w:val="002028D2"/>
    <w:rsid w:val="002028FF"/>
    <w:rsid w:val="0020294C"/>
    <w:rsid w:val="00202A0F"/>
    <w:rsid w:val="00202AAA"/>
    <w:rsid w:val="00202AB3"/>
    <w:rsid w:val="00202BFB"/>
    <w:rsid w:val="00202C84"/>
    <w:rsid w:val="00202CB0"/>
    <w:rsid w:val="00202CF2"/>
    <w:rsid w:val="00202EA1"/>
    <w:rsid w:val="00202F2E"/>
    <w:rsid w:val="002030BE"/>
    <w:rsid w:val="0020320E"/>
    <w:rsid w:val="00203261"/>
    <w:rsid w:val="00203268"/>
    <w:rsid w:val="002032D0"/>
    <w:rsid w:val="0020342A"/>
    <w:rsid w:val="00203459"/>
    <w:rsid w:val="002034E0"/>
    <w:rsid w:val="002035D2"/>
    <w:rsid w:val="00203625"/>
    <w:rsid w:val="002036F3"/>
    <w:rsid w:val="0020373C"/>
    <w:rsid w:val="00203840"/>
    <w:rsid w:val="002038E7"/>
    <w:rsid w:val="00203916"/>
    <w:rsid w:val="00203A01"/>
    <w:rsid w:val="00203A98"/>
    <w:rsid w:val="00203B91"/>
    <w:rsid w:val="00203BE8"/>
    <w:rsid w:val="00203BF4"/>
    <w:rsid w:val="00203CCD"/>
    <w:rsid w:val="00203E04"/>
    <w:rsid w:val="00203ECB"/>
    <w:rsid w:val="00203F89"/>
    <w:rsid w:val="00203F8E"/>
    <w:rsid w:val="00203FD5"/>
    <w:rsid w:val="00204075"/>
    <w:rsid w:val="00204176"/>
    <w:rsid w:val="00204306"/>
    <w:rsid w:val="00204347"/>
    <w:rsid w:val="0020440D"/>
    <w:rsid w:val="0020443E"/>
    <w:rsid w:val="0020457E"/>
    <w:rsid w:val="0020459E"/>
    <w:rsid w:val="002045D6"/>
    <w:rsid w:val="00204803"/>
    <w:rsid w:val="0020485A"/>
    <w:rsid w:val="00204873"/>
    <w:rsid w:val="002048FC"/>
    <w:rsid w:val="002049C0"/>
    <w:rsid w:val="00204B1F"/>
    <w:rsid w:val="00204BAA"/>
    <w:rsid w:val="00204C6D"/>
    <w:rsid w:val="00204CA5"/>
    <w:rsid w:val="00204CBA"/>
    <w:rsid w:val="00204D29"/>
    <w:rsid w:val="00204D65"/>
    <w:rsid w:val="00204E4A"/>
    <w:rsid w:val="00204E65"/>
    <w:rsid w:val="00204E9E"/>
    <w:rsid w:val="00204E9F"/>
    <w:rsid w:val="00204EB6"/>
    <w:rsid w:val="00204EFA"/>
    <w:rsid w:val="0020504B"/>
    <w:rsid w:val="002050E1"/>
    <w:rsid w:val="00205143"/>
    <w:rsid w:val="00205162"/>
    <w:rsid w:val="002051F1"/>
    <w:rsid w:val="00205263"/>
    <w:rsid w:val="002053FA"/>
    <w:rsid w:val="002055F4"/>
    <w:rsid w:val="0020568A"/>
    <w:rsid w:val="0020574F"/>
    <w:rsid w:val="0020578B"/>
    <w:rsid w:val="00205805"/>
    <w:rsid w:val="00205930"/>
    <w:rsid w:val="00205974"/>
    <w:rsid w:val="00205ADC"/>
    <w:rsid w:val="00205AE1"/>
    <w:rsid w:val="00205B9D"/>
    <w:rsid w:val="00205C29"/>
    <w:rsid w:val="00205D13"/>
    <w:rsid w:val="00205D3F"/>
    <w:rsid w:val="00205E4C"/>
    <w:rsid w:val="00205EA6"/>
    <w:rsid w:val="00205EBE"/>
    <w:rsid w:val="00205F21"/>
    <w:rsid w:val="00205FD0"/>
    <w:rsid w:val="002060CE"/>
    <w:rsid w:val="002061D5"/>
    <w:rsid w:val="0020631C"/>
    <w:rsid w:val="0020632F"/>
    <w:rsid w:val="002063B3"/>
    <w:rsid w:val="00206465"/>
    <w:rsid w:val="00206606"/>
    <w:rsid w:val="002067E9"/>
    <w:rsid w:val="0020699D"/>
    <w:rsid w:val="002069A9"/>
    <w:rsid w:val="00206A6A"/>
    <w:rsid w:val="00206B5E"/>
    <w:rsid w:val="00206BAC"/>
    <w:rsid w:val="00206BC6"/>
    <w:rsid w:val="00206C1F"/>
    <w:rsid w:val="00206CB2"/>
    <w:rsid w:val="00206CCA"/>
    <w:rsid w:val="00206CED"/>
    <w:rsid w:val="00206D25"/>
    <w:rsid w:val="00206EF3"/>
    <w:rsid w:val="00207017"/>
    <w:rsid w:val="0020704A"/>
    <w:rsid w:val="002070A4"/>
    <w:rsid w:val="0020718F"/>
    <w:rsid w:val="00207249"/>
    <w:rsid w:val="00207443"/>
    <w:rsid w:val="00207556"/>
    <w:rsid w:val="00207573"/>
    <w:rsid w:val="002075EF"/>
    <w:rsid w:val="0020768C"/>
    <w:rsid w:val="00207771"/>
    <w:rsid w:val="0020788F"/>
    <w:rsid w:val="002078E2"/>
    <w:rsid w:val="002079CE"/>
    <w:rsid w:val="00207ADB"/>
    <w:rsid w:val="00207B08"/>
    <w:rsid w:val="00207C48"/>
    <w:rsid w:val="00207CD6"/>
    <w:rsid w:val="00207F81"/>
    <w:rsid w:val="0021005D"/>
    <w:rsid w:val="00210142"/>
    <w:rsid w:val="0021021F"/>
    <w:rsid w:val="0021042B"/>
    <w:rsid w:val="002104BC"/>
    <w:rsid w:val="002104E5"/>
    <w:rsid w:val="00210615"/>
    <w:rsid w:val="00210658"/>
    <w:rsid w:val="0021065F"/>
    <w:rsid w:val="0021068E"/>
    <w:rsid w:val="0021080B"/>
    <w:rsid w:val="002108A8"/>
    <w:rsid w:val="00210943"/>
    <w:rsid w:val="00210962"/>
    <w:rsid w:val="00210A0F"/>
    <w:rsid w:val="00210AC4"/>
    <w:rsid w:val="00210B6A"/>
    <w:rsid w:val="00210C08"/>
    <w:rsid w:val="00210C11"/>
    <w:rsid w:val="00210D9F"/>
    <w:rsid w:val="00210DD1"/>
    <w:rsid w:val="00210DDC"/>
    <w:rsid w:val="00210E14"/>
    <w:rsid w:val="00210E51"/>
    <w:rsid w:val="00210EB3"/>
    <w:rsid w:val="0021104F"/>
    <w:rsid w:val="0021107F"/>
    <w:rsid w:val="002110BC"/>
    <w:rsid w:val="002110FF"/>
    <w:rsid w:val="0021124B"/>
    <w:rsid w:val="00211298"/>
    <w:rsid w:val="00211484"/>
    <w:rsid w:val="002114B2"/>
    <w:rsid w:val="002114E9"/>
    <w:rsid w:val="00211543"/>
    <w:rsid w:val="0021158E"/>
    <w:rsid w:val="0021159C"/>
    <w:rsid w:val="002115AA"/>
    <w:rsid w:val="002116CA"/>
    <w:rsid w:val="00211789"/>
    <w:rsid w:val="00211875"/>
    <w:rsid w:val="002118BC"/>
    <w:rsid w:val="002119C7"/>
    <w:rsid w:val="00211A73"/>
    <w:rsid w:val="00211BBA"/>
    <w:rsid w:val="00211D09"/>
    <w:rsid w:val="00211F7F"/>
    <w:rsid w:val="00211F90"/>
    <w:rsid w:val="00211FFF"/>
    <w:rsid w:val="00212147"/>
    <w:rsid w:val="0021217E"/>
    <w:rsid w:val="00212218"/>
    <w:rsid w:val="0021224B"/>
    <w:rsid w:val="00212284"/>
    <w:rsid w:val="00212342"/>
    <w:rsid w:val="00212479"/>
    <w:rsid w:val="002124C2"/>
    <w:rsid w:val="002124DA"/>
    <w:rsid w:val="0021252E"/>
    <w:rsid w:val="002126C6"/>
    <w:rsid w:val="0021276E"/>
    <w:rsid w:val="002127E9"/>
    <w:rsid w:val="0021282B"/>
    <w:rsid w:val="00212852"/>
    <w:rsid w:val="00212937"/>
    <w:rsid w:val="00212BF3"/>
    <w:rsid w:val="00212C03"/>
    <w:rsid w:val="00212CCA"/>
    <w:rsid w:val="00212DF4"/>
    <w:rsid w:val="00212E39"/>
    <w:rsid w:val="00212F10"/>
    <w:rsid w:val="00212F3E"/>
    <w:rsid w:val="00212F66"/>
    <w:rsid w:val="00212FA0"/>
    <w:rsid w:val="002130AA"/>
    <w:rsid w:val="00213129"/>
    <w:rsid w:val="002132E8"/>
    <w:rsid w:val="002133AE"/>
    <w:rsid w:val="00213420"/>
    <w:rsid w:val="00213661"/>
    <w:rsid w:val="00213821"/>
    <w:rsid w:val="00213902"/>
    <w:rsid w:val="0021393A"/>
    <w:rsid w:val="00213BA3"/>
    <w:rsid w:val="00213C70"/>
    <w:rsid w:val="00213CC2"/>
    <w:rsid w:val="00213D18"/>
    <w:rsid w:val="00213F02"/>
    <w:rsid w:val="00213F59"/>
    <w:rsid w:val="00214225"/>
    <w:rsid w:val="002142D9"/>
    <w:rsid w:val="0021445F"/>
    <w:rsid w:val="002145CD"/>
    <w:rsid w:val="0021479C"/>
    <w:rsid w:val="002147C2"/>
    <w:rsid w:val="00214805"/>
    <w:rsid w:val="0021490A"/>
    <w:rsid w:val="00214945"/>
    <w:rsid w:val="00214975"/>
    <w:rsid w:val="0021497D"/>
    <w:rsid w:val="0021499B"/>
    <w:rsid w:val="00214A08"/>
    <w:rsid w:val="00214AA8"/>
    <w:rsid w:val="00214B95"/>
    <w:rsid w:val="00214BC0"/>
    <w:rsid w:val="00214C67"/>
    <w:rsid w:val="00214CC3"/>
    <w:rsid w:val="00214CFB"/>
    <w:rsid w:val="00214DAF"/>
    <w:rsid w:val="00214DC2"/>
    <w:rsid w:val="00214E36"/>
    <w:rsid w:val="00214EB8"/>
    <w:rsid w:val="00214EBD"/>
    <w:rsid w:val="00214F3F"/>
    <w:rsid w:val="00214F86"/>
    <w:rsid w:val="00214FE9"/>
    <w:rsid w:val="00215059"/>
    <w:rsid w:val="002150F6"/>
    <w:rsid w:val="002151F9"/>
    <w:rsid w:val="00215285"/>
    <w:rsid w:val="0021531F"/>
    <w:rsid w:val="002153DE"/>
    <w:rsid w:val="00215481"/>
    <w:rsid w:val="00215499"/>
    <w:rsid w:val="002154C5"/>
    <w:rsid w:val="002154F3"/>
    <w:rsid w:val="00215591"/>
    <w:rsid w:val="002155BB"/>
    <w:rsid w:val="002155BE"/>
    <w:rsid w:val="0021563A"/>
    <w:rsid w:val="00215A6E"/>
    <w:rsid w:val="00215B1C"/>
    <w:rsid w:val="00215BA9"/>
    <w:rsid w:val="00215BB6"/>
    <w:rsid w:val="00215C06"/>
    <w:rsid w:val="00215DF8"/>
    <w:rsid w:val="00215E91"/>
    <w:rsid w:val="00215FF2"/>
    <w:rsid w:val="00216081"/>
    <w:rsid w:val="002160BC"/>
    <w:rsid w:val="002160F8"/>
    <w:rsid w:val="0021613E"/>
    <w:rsid w:val="002161C7"/>
    <w:rsid w:val="00216262"/>
    <w:rsid w:val="002162D4"/>
    <w:rsid w:val="002163CD"/>
    <w:rsid w:val="0021650D"/>
    <w:rsid w:val="0021661B"/>
    <w:rsid w:val="00216710"/>
    <w:rsid w:val="0021678A"/>
    <w:rsid w:val="0021678B"/>
    <w:rsid w:val="002167A5"/>
    <w:rsid w:val="00216802"/>
    <w:rsid w:val="00216804"/>
    <w:rsid w:val="00216958"/>
    <w:rsid w:val="00216984"/>
    <w:rsid w:val="002169E7"/>
    <w:rsid w:val="00216A02"/>
    <w:rsid w:val="00216BB8"/>
    <w:rsid w:val="00216CF6"/>
    <w:rsid w:val="00216D6B"/>
    <w:rsid w:val="00216DB8"/>
    <w:rsid w:val="00216DF4"/>
    <w:rsid w:val="00216E6F"/>
    <w:rsid w:val="00216F69"/>
    <w:rsid w:val="00216F99"/>
    <w:rsid w:val="0021722B"/>
    <w:rsid w:val="00217276"/>
    <w:rsid w:val="00217308"/>
    <w:rsid w:val="002173D4"/>
    <w:rsid w:val="002173D5"/>
    <w:rsid w:val="0021748A"/>
    <w:rsid w:val="002174CC"/>
    <w:rsid w:val="002174EF"/>
    <w:rsid w:val="002174F2"/>
    <w:rsid w:val="002176CE"/>
    <w:rsid w:val="00217810"/>
    <w:rsid w:val="00217B30"/>
    <w:rsid w:val="00217B93"/>
    <w:rsid w:val="00217BB2"/>
    <w:rsid w:val="00217CA2"/>
    <w:rsid w:val="00217CDF"/>
    <w:rsid w:val="00217E22"/>
    <w:rsid w:val="00217FF9"/>
    <w:rsid w:val="0022015C"/>
    <w:rsid w:val="002201A1"/>
    <w:rsid w:val="00220444"/>
    <w:rsid w:val="00220555"/>
    <w:rsid w:val="0022058E"/>
    <w:rsid w:val="00220620"/>
    <w:rsid w:val="002206A2"/>
    <w:rsid w:val="00220CCF"/>
    <w:rsid w:val="00220F29"/>
    <w:rsid w:val="00220FBE"/>
    <w:rsid w:val="00220FC2"/>
    <w:rsid w:val="00221099"/>
    <w:rsid w:val="00221264"/>
    <w:rsid w:val="0022134B"/>
    <w:rsid w:val="00221401"/>
    <w:rsid w:val="00221550"/>
    <w:rsid w:val="002215AF"/>
    <w:rsid w:val="00221668"/>
    <w:rsid w:val="002216EF"/>
    <w:rsid w:val="00221715"/>
    <w:rsid w:val="002218CA"/>
    <w:rsid w:val="002218DA"/>
    <w:rsid w:val="00221A6B"/>
    <w:rsid w:val="00221B6E"/>
    <w:rsid w:val="00221B8E"/>
    <w:rsid w:val="00221BB3"/>
    <w:rsid w:val="00221C95"/>
    <w:rsid w:val="00221E0A"/>
    <w:rsid w:val="00221E26"/>
    <w:rsid w:val="00221F72"/>
    <w:rsid w:val="00221FD7"/>
    <w:rsid w:val="00221FDC"/>
    <w:rsid w:val="002220DA"/>
    <w:rsid w:val="0022222A"/>
    <w:rsid w:val="002222A2"/>
    <w:rsid w:val="002222FB"/>
    <w:rsid w:val="00222349"/>
    <w:rsid w:val="002223EF"/>
    <w:rsid w:val="0022254A"/>
    <w:rsid w:val="0022260F"/>
    <w:rsid w:val="00222674"/>
    <w:rsid w:val="00222748"/>
    <w:rsid w:val="0022288A"/>
    <w:rsid w:val="0022295D"/>
    <w:rsid w:val="00222AB5"/>
    <w:rsid w:val="00222B6A"/>
    <w:rsid w:val="00222CDB"/>
    <w:rsid w:val="00222D95"/>
    <w:rsid w:val="00222DA5"/>
    <w:rsid w:val="002230D5"/>
    <w:rsid w:val="00223331"/>
    <w:rsid w:val="002235C8"/>
    <w:rsid w:val="002236B8"/>
    <w:rsid w:val="002237A3"/>
    <w:rsid w:val="0022382C"/>
    <w:rsid w:val="00223991"/>
    <w:rsid w:val="00223AEA"/>
    <w:rsid w:val="00223B95"/>
    <w:rsid w:val="00223C5E"/>
    <w:rsid w:val="00223D47"/>
    <w:rsid w:val="00223E02"/>
    <w:rsid w:val="00223E3B"/>
    <w:rsid w:val="00223F4F"/>
    <w:rsid w:val="0022407A"/>
    <w:rsid w:val="0022418F"/>
    <w:rsid w:val="0022439C"/>
    <w:rsid w:val="002243D5"/>
    <w:rsid w:val="002243F6"/>
    <w:rsid w:val="00224409"/>
    <w:rsid w:val="0022448F"/>
    <w:rsid w:val="00224596"/>
    <w:rsid w:val="00224612"/>
    <w:rsid w:val="0022466C"/>
    <w:rsid w:val="002246F1"/>
    <w:rsid w:val="00224777"/>
    <w:rsid w:val="0022479B"/>
    <w:rsid w:val="002249D8"/>
    <w:rsid w:val="00224AC5"/>
    <w:rsid w:val="00224B96"/>
    <w:rsid w:val="00224BAC"/>
    <w:rsid w:val="00224BCC"/>
    <w:rsid w:val="00224BD8"/>
    <w:rsid w:val="00224CC4"/>
    <w:rsid w:val="00224DD6"/>
    <w:rsid w:val="00224DE5"/>
    <w:rsid w:val="002250A0"/>
    <w:rsid w:val="002250B5"/>
    <w:rsid w:val="002250E5"/>
    <w:rsid w:val="0022550C"/>
    <w:rsid w:val="0022559E"/>
    <w:rsid w:val="002255A8"/>
    <w:rsid w:val="002256A7"/>
    <w:rsid w:val="0022574E"/>
    <w:rsid w:val="002257F7"/>
    <w:rsid w:val="0022582D"/>
    <w:rsid w:val="00225854"/>
    <w:rsid w:val="002259C1"/>
    <w:rsid w:val="002259F6"/>
    <w:rsid w:val="00225A10"/>
    <w:rsid w:val="00225A7A"/>
    <w:rsid w:val="00225ADF"/>
    <w:rsid w:val="00225AED"/>
    <w:rsid w:val="00225B1A"/>
    <w:rsid w:val="00225BB9"/>
    <w:rsid w:val="00225D38"/>
    <w:rsid w:val="00225D3C"/>
    <w:rsid w:val="00225D58"/>
    <w:rsid w:val="00225DCE"/>
    <w:rsid w:val="00225EB1"/>
    <w:rsid w:val="00225F92"/>
    <w:rsid w:val="00226298"/>
    <w:rsid w:val="002263CD"/>
    <w:rsid w:val="002263D8"/>
    <w:rsid w:val="00226402"/>
    <w:rsid w:val="00226418"/>
    <w:rsid w:val="002264F2"/>
    <w:rsid w:val="002265CE"/>
    <w:rsid w:val="002266F2"/>
    <w:rsid w:val="00226700"/>
    <w:rsid w:val="00226832"/>
    <w:rsid w:val="002268AD"/>
    <w:rsid w:val="002268CC"/>
    <w:rsid w:val="002268F6"/>
    <w:rsid w:val="00226957"/>
    <w:rsid w:val="00226B8B"/>
    <w:rsid w:val="00226BEF"/>
    <w:rsid w:val="00226D86"/>
    <w:rsid w:val="00226E13"/>
    <w:rsid w:val="00226EC1"/>
    <w:rsid w:val="00226F3B"/>
    <w:rsid w:val="00226FF0"/>
    <w:rsid w:val="00226FF8"/>
    <w:rsid w:val="00227007"/>
    <w:rsid w:val="0022704C"/>
    <w:rsid w:val="00227059"/>
    <w:rsid w:val="002270C4"/>
    <w:rsid w:val="0022712B"/>
    <w:rsid w:val="002272E8"/>
    <w:rsid w:val="00227334"/>
    <w:rsid w:val="002273EC"/>
    <w:rsid w:val="002274B4"/>
    <w:rsid w:val="002275AF"/>
    <w:rsid w:val="002275E7"/>
    <w:rsid w:val="0022762A"/>
    <w:rsid w:val="00227651"/>
    <w:rsid w:val="00227790"/>
    <w:rsid w:val="00227B7C"/>
    <w:rsid w:val="00227C3D"/>
    <w:rsid w:val="00227D93"/>
    <w:rsid w:val="00227F1F"/>
    <w:rsid w:val="00227F34"/>
    <w:rsid w:val="00230031"/>
    <w:rsid w:val="002300C6"/>
    <w:rsid w:val="00230113"/>
    <w:rsid w:val="00230114"/>
    <w:rsid w:val="002301CE"/>
    <w:rsid w:val="00230238"/>
    <w:rsid w:val="00230277"/>
    <w:rsid w:val="00230279"/>
    <w:rsid w:val="0023043A"/>
    <w:rsid w:val="0023053B"/>
    <w:rsid w:val="002307F6"/>
    <w:rsid w:val="00230966"/>
    <w:rsid w:val="00230984"/>
    <w:rsid w:val="00230A1A"/>
    <w:rsid w:val="00230B2C"/>
    <w:rsid w:val="00230B47"/>
    <w:rsid w:val="00230CAB"/>
    <w:rsid w:val="00230E93"/>
    <w:rsid w:val="00230E9B"/>
    <w:rsid w:val="00230F0B"/>
    <w:rsid w:val="00230F5A"/>
    <w:rsid w:val="00230F8A"/>
    <w:rsid w:val="0023101F"/>
    <w:rsid w:val="002310B3"/>
    <w:rsid w:val="002310DE"/>
    <w:rsid w:val="002310ED"/>
    <w:rsid w:val="002310F9"/>
    <w:rsid w:val="00231225"/>
    <w:rsid w:val="0023127E"/>
    <w:rsid w:val="002312F9"/>
    <w:rsid w:val="00231438"/>
    <w:rsid w:val="0023145C"/>
    <w:rsid w:val="00231465"/>
    <w:rsid w:val="00231498"/>
    <w:rsid w:val="002314E8"/>
    <w:rsid w:val="00231521"/>
    <w:rsid w:val="00231638"/>
    <w:rsid w:val="00231659"/>
    <w:rsid w:val="00231660"/>
    <w:rsid w:val="0023169E"/>
    <w:rsid w:val="002316B8"/>
    <w:rsid w:val="002316DE"/>
    <w:rsid w:val="0023171C"/>
    <w:rsid w:val="0023190F"/>
    <w:rsid w:val="00231948"/>
    <w:rsid w:val="00231A3C"/>
    <w:rsid w:val="00231A52"/>
    <w:rsid w:val="00231AB5"/>
    <w:rsid w:val="00231B44"/>
    <w:rsid w:val="00231C1A"/>
    <w:rsid w:val="00231C68"/>
    <w:rsid w:val="00231D99"/>
    <w:rsid w:val="00231E2A"/>
    <w:rsid w:val="00231E47"/>
    <w:rsid w:val="00231E4C"/>
    <w:rsid w:val="00231F41"/>
    <w:rsid w:val="00231FB2"/>
    <w:rsid w:val="00232026"/>
    <w:rsid w:val="0023202F"/>
    <w:rsid w:val="002320DA"/>
    <w:rsid w:val="0023215E"/>
    <w:rsid w:val="00232203"/>
    <w:rsid w:val="002322CB"/>
    <w:rsid w:val="002323D8"/>
    <w:rsid w:val="00232404"/>
    <w:rsid w:val="00232493"/>
    <w:rsid w:val="0023263B"/>
    <w:rsid w:val="00232671"/>
    <w:rsid w:val="00232753"/>
    <w:rsid w:val="00232866"/>
    <w:rsid w:val="00232917"/>
    <w:rsid w:val="002329B4"/>
    <w:rsid w:val="00232A7B"/>
    <w:rsid w:val="00232A97"/>
    <w:rsid w:val="00232D9B"/>
    <w:rsid w:val="00232E9C"/>
    <w:rsid w:val="00232ECD"/>
    <w:rsid w:val="00232FA9"/>
    <w:rsid w:val="00232FCA"/>
    <w:rsid w:val="0023301B"/>
    <w:rsid w:val="00233027"/>
    <w:rsid w:val="00233053"/>
    <w:rsid w:val="00233111"/>
    <w:rsid w:val="00233158"/>
    <w:rsid w:val="00233224"/>
    <w:rsid w:val="00233474"/>
    <w:rsid w:val="002335FD"/>
    <w:rsid w:val="0023362C"/>
    <w:rsid w:val="00233686"/>
    <w:rsid w:val="0023379D"/>
    <w:rsid w:val="002337B2"/>
    <w:rsid w:val="00233874"/>
    <w:rsid w:val="00233875"/>
    <w:rsid w:val="002338AE"/>
    <w:rsid w:val="00233904"/>
    <w:rsid w:val="00233C3B"/>
    <w:rsid w:val="00233CB0"/>
    <w:rsid w:val="00233F47"/>
    <w:rsid w:val="00234019"/>
    <w:rsid w:val="002340B6"/>
    <w:rsid w:val="00234100"/>
    <w:rsid w:val="00234104"/>
    <w:rsid w:val="00234263"/>
    <w:rsid w:val="00234265"/>
    <w:rsid w:val="00234303"/>
    <w:rsid w:val="0023436C"/>
    <w:rsid w:val="00234521"/>
    <w:rsid w:val="00234685"/>
    <w:rsid w:val="0023475D"/>
    <w:rsid w:val="00234800"/>
    <w:rsid w:val="00234843"/>
    <w:rsid w:val="00234A31"/>
    <w:rsid w:val="00234AF6"/>
    <w:rsid w:val="00234B28"/>
    <w:rsid w:val="00234BA2"/>
    <w:rsid w:val="00234C97"/>
    <w:rsid w:val="00234D19"/>
    <w:rsid w:val="00234E0A"/>
    <w:rsid w:val="00234EAA"/>
    <w:rsid w:val="0023505B"/>
    <w:rsid w:val="0023513D"/>
    <w:rsid w:val="0023518E"/>
    <w:rsid w:val="002351F3"/>
    <w:rsid w:val="00235399"/>
    <w:rsid w:val="00235582"/>
    <w:rsid w:val="00235793"/>
    <w:rsid w:val="00235842"/>
    <w:rsid w:val="002358D0"/>
    <w:rsid w:val="00235A71"/>
    <w:rsid w:val="00235ACC"/>
    <w:rsid w:val="00235AF0"/>
    <w:rsid w:val="00235C96"/>
    <w:rsid w:val="00235D04"/>
    <w:rsid w:val="00235DB8"/>
    <w:rsid w:val="00235DC8"/>
    <w:rsid w:val="00235E82"/>
    <w:rsid w:val="00235F6E"/>
    <w:rsid w:val="00236242"/>
    <w:rsid w:val="002362CA"/>
    <w:rsid w:val="00236458"/>
    <w:rsid w:val="0023654E"/>
    <w:rsid w:val="0023658B"/>
    <w:rsid w:val="0023659D"/>
    <w:rsid w:val="00236644"/>
    <w:rsid w:val="00236699"/>
    <w:rsid w:val="002366B0"/>
    <w:rsid w:val="002366B1"/>
    <w:rsid w:val="002366B8"/>
    <w:rsid w:val="0023674E"/>
    <w:rsid w:val="00236783"/>
    <w:rsid w:val="00236977"/>
    <w:rsid w:val="0023699D"/>
    <w:rsid w:val="00236A05"/>
    <w:rsid w:val="00236B1C"/>
    <w:rsid w:val="00236BDF"/>
    <w:rsid w:val="00236C1F"/>
    <w:rsid w:val="00237051"/>
    <w:rsid w:val="002370AB"/>
    <w:rsid w:val="00237133"/>
    <w:rsid w:val="00237220"/>
    <w:rsid w:val="0023747F"/>
    <w:rsid w:val="002374A0"/>
    <w:rsid w:val="00237606"/>
    <w:rsid w:val="002377F3"/>
    <w:rsid w:val="00237872"/>
    <w:rsid w:val="002378CB"/>
    <w:rsid w:val="00237B71"/>
    <w:rsid w:val="00237BC6"/>
    <w:rsid w:val="00237BD7"/>
    <w:rsid w:val="00237C49"/>
    <w:rsid w:val="00237CAD"/>
    <w:rsid w:val="00237D40"/>
    <w:rsid w:val="00237DF1"/>
    <w:rsid w:val="00240019"/>
    <w:rsid w:val="00240049"/>
    <w:rsid w:val="002400ED"/>
    <w:rsid w:val="00240156"/>
    <w:rsid w:val="0024029E"/>
    <w:rsid w:val="002402BA"/>
    <w:rsid w:val="0024036C"/>
    <w:rsid w:val="002404BF"/>
    <w:rsid w:val="002404DA"/>
    <w:rsid w:val="00240647"/>
    <w:rsid w:val="0024066B"/>
    <w:rsid w:val="002406C7"/>
    <w:rsid w:val="0024086A"/>
    <w:rsid w:val="00240B6B"/>
    <w:rsid w:val="00240BAD"/>
    <w:rsid w:val="00240C52"/>
    <w:rsid w:val="00240C5F"/>
    <w:rsid w:val="00240CE4"/>
    <w:rsid w:val="00240EDD"/>
    <w:rsid w:val="002410B9"/>
    <w:rsid w:val="002410CF"/>
    <w:rsid w:val="00241130"/>
    <w:rsid w:val="002411B0"/>
    <w:rsid w:val="002411B4"/>
    <w:rsid w:val="00241238"/>
    <w:rsid w:val="0024129C"/>
    <w:rsid w:val="00241303"/>
    <w:rsid w:val="00241488"/>
    <w:rsid w:val="00241519"/>
    <w:rsid w:val="002415EA"/>
    <w:rsid w:val="00241655"/>
    <w:rsid w:val="00241783"/>
    <w:rsid w:val="0024181C"/>
    <w:rsid w:val="00241873"/>
    <w:rsid w:val="0024188F"/>
    <w:rsid w:val="00241923"/>
    <w:rsid w:val="002419B0"/>
    <w:rsid w:val="00241A98"/>
    <w:rsid w:val="00241AC4"/>
    <w:rsid w:val="00241AE2"/>
    <w:rsid w:val="00241B91"/>
    <w:rsid w:val="00241CAC"/>
    <w:rsid w:val="00241CCF"/>
    <w:rsid w:val="00241CF1"/>
    <w:rsid w:val="00241D28"/>
    <w:rsid w:val="00241E70"/>
    <w:rsid w:val="00241EA6"/>
    <w:rsid w:val="00241FAD"/>
    <w:rsid w:val="00241FF6"/>
    <w:rsid w:val="00242026"/>
    <w:rsid w:val="002420A1"/>
    <w:rsid w:val="0024214A"/>
    <w:rsid w:val="002421F1"/>
    <w:rsid w:val="00242202"/>
    <w:rsid w:val="0024229B"/>
    <w:rsid w:val="00242368"/>
    <w:rsid w:val="0024246A"/>
    <w:rsid w:val="002424CC"/>
    <w:rsid w:val="002425A2"/>
    <w:rsid w:val="002425B4"/>
    <w:rsid w:val="002425B5"/>
    <w:rsid w:val="00242787"/>
    <w:rsid w:val="002427C9"/>
    <w:rsid w:val="00242846"/>
    <w:rsid w:val="00242A7F"/>
    <w:rsid w:val="00242AB4"/>
    <w:rsid w:val="00242B33"/>
    <w:rsid w:val="00242B71"/>
    <w:rsid w:val="00242BBD"/>
    <w:rsid w:val="00242C2A"/>
    <w:rsid w:val="00242C75"/>
    <w:rsid w:val="00242C8A"/>
    <w:rsid w:val="00242D10"/>
    <w:rsid w:val="00242EEF"/>
    <w:rsid w:val="00242F18"/>
    <w:rsid w:val="00242FBE"/>
    <w:rsid w:val="00242FF5"/>
    <w:rsid w:val="002430DD"/>
    <w:rsid w:val="0024335F"/>
    <w:rsid w:val="002433D8"/>
    <w:rsid w:val="00243480"/>
    <w:rsid w:val="00243485"/>
    <w:rsid w:val="00243541"/>
    <w:rsid w:val="00243688"/>
    <w:rsid w:val="0024374D"/>
    <w:rsid w:val="0024377A"/>
    <w:rsid w:val="002437CA"/>
    <w:rsid w:val="00243A5A"/>
    <w:rsid w:val="00243A7C"/>
    <w:rsid w:val="00243A92"/>
    <w:rsid w:val="00243BCC"/>
    <w:rsid w:val="00243BFD"/>
    <w:rsid w:val="00243C8E"/>
    <w:rsid w:val="00243D46"/>
    <w:rsid w:val="00243DB2"/>
    <w:rsid w:val="00243F17"/>
    <w:rsid w:val="00243F9E"/>
    <w:rsid w:val="00243FE0"/>
    <w:rsid w:val="00243FFB"/>
    <w:rsid w:val="00244010"/>
    <w:rsid w:val="00244103"/>
    <w:rsid w:val="002442C0"/>
    <w:rsid w:val="0024430D"/>
    <w:rsid w:val="002443AC"/>
    <w:rsid w:val="00244786"/>
    <w:rsid w:val="002448A1"/>
    <w:rsid w:val="002449CE"/>
    <w:rsid w:val="00244ACA"/>
    <w:rsid w:val="00244B1D"/>
    <w:rsid w:val="00244CAD"/>
    <w:rsid w:val="00244DA4"/>
    <w:rsid w:val="00244E15"/>
    <w:rsid w:val="00244E3E"/>
    <w:rsid w:val="00245041"/>
    <w:rsid w:val="00245068"/>
    <w:rsid w:val="0024506E"/>
    <w:rsid w:val="002450F8"/>
    <w:rsid w:val="002451D5"/>
    <w:rsid w:val="00245242"/>
    <w:rsid w:val="0024531B"/>
    <w:rsid w:val="00245453"/>
    <w:rsid w:val="002454E1"/>
    <w:rsid w:val="0024554C"/>
    <w:rsid w:val="002455B1"/>
    <w:rsid w:val="00245780"/>
    <w:rsid w:val="0024583E"/>
    <w:rsid w:val="00245851"/>
    <w:rsid w:val="0024586C"/>
    <w:rsid w:val="00245AE0"/>
    <w:rsid w:val="00245B09"/>
    <w:rsid w:val="00245B92"/>
    <w:rsid w:val="00245D72"/>
    <w:rsid w:val="00245D85"/>
    <w:rsid w:val="00245DAA"/>
    <w:rsid w:val="00245DCA"/>
    <w:rsid w:val="00245E4F"/>
    <w:rsid w:val="00245EA4"/>
    <w:rsid w:val="00245FA2"/>
    <w:rsid w:val="002461D7"/>
    <w:rsid w:val="00246357"/>
    <w:rsid w:val="002463BF"/>
    <w:rsid w:val="00246436"/>
    <w:rsid w:val="002465A2"/>
    <w:rsid w:val="002466BB"/>
    <w:rsid w:val="00246723"/>
    <w:rsid w:val="002469BA"/>
    <w:rsid w:val="00246A26"/>
    <w:rsid w:val="00246BE9"/>
    <w:rsid w:val="00247069"/>
    <w:rsid w:val="00247142"/>
    <w:rsid w:val="00247234"/>
    <w:rsid w:val="00247279"/>
    <w:rsid w:val="002472E8"/>
    <w:rsid w:val="0024743B"/>
    <w:rsid w:val="0024745C"/>
    <w:rsid w:val="00247721"/>
    <w:rsid w:val="002477FD"/>
    <w:rsid w:val="00247805"/>
    <w:rsid w:val="00247935"/>
    <w:rsid w:val="00247981"/>
    <w:rsid w:val="00247A6E"/>
    <w:rsid w:val="00247CE7"/>
    <w:rsid w:val="00247CF1"/>
    <w:rsid w:val="00247D4C"/>
    <w:rsid w:val="00247D6A"/>
    <w:rsid w:val="00247D71"/>
    <w:rsid w:val="00247D9F"/>
    <w:rsid w:val="00247EA1"/>
    <w:rsid w:val="00247F30"/>
    <w:rsid w:val="00247F6B"/>
    <w:rsid w:val="00250171"/>
    <w:rsid w:val="002501F7"/>
    <w:rsid w:val="002502BF"/>
    <w:rsid w:val="002503AC"/>
    <w:rsid w:val="002503D4"/>
    <w:rsid w:val="0025067E"/>
    <w:rsid w:val="002507AB"/>
    <w:rsid w:val="00250964"/>
    <w:rsid w:val="00250CA5"/>
    <w:rsid w:val="00250DE2"/>
    <w:rsid w:val="00250E3B"/>
    <w:rsid w:val="00250EE4"/>
    <w:rsid w:val="00250F12"/>
    <w:rsid w:val="00251034"/>
    <w:rsid w:val="0025104C"/>
    <w:rsid w:val="002510A1"/>
    <w:rsid w:val="00251305"/>
    <w:rsid w:val="00251581"/>
    <w:rsid w:val="00251588"/>
    <w:rsid w:val="00251642"/>
    <w:rsid w:val="00251796"/>
    <w:rsid w:val="00251845"/>
    <w:rsid w:val="0025186E"/>
    <w:rsid w:val="002518B3"/>
    <w:rsid w:val="002518B8"/>
    <w:rsid w:val="00251978"/>
    <w:rsid w:val="002519B6"/>
    <w:rsid w:val="002519D3"/>
    <w:rsid w:val="00251A76"/>
    <w:rsid w:val="00251AB0"/>
    <w:rsid w:val="00251ADD"/>
    <w:rsid w:val="00251AEC"/>
    <w:rsid w:val="00251BE6"/>
    <w:rsid w:val="00251C57"/>
    <w:rsid w:val="00251CF1"/>
    <w:rsid w:val="00251D7A"/>
    <w:rsid w:val="00251D87"/>
    <w:rsid w:val="00251EB2"/>
    <w:rsid w:val="00251F2E"/>
    <w:rsid w:val="00252074"/>
    <w:rsid w:val="002520E8"/>
    <w:rsid w:val="00252212"/>
    <w:rsid w:val="00252355"/>
    <w:rsid w:val="00252557"/>
    <w:rsid w:val="0025260D"/>
    <w:rsid w:val="0025263B"/>
    <w:rsid w:val="002526BF"/>
    <w:rsid w:val="0025272A"/>
    <w:rsid w:val="00252748"/>
    <w:rsid w:val="002528ED"/>
    <w:rsid w:val="0025292C"/>
    <w:rsid w:val="00252970"/>
    <w:rsid w:val="002529D1"/>
    <w:rsid w:val="00252AD1"/>
    <w:rsid w:val="00252C5C"/>
    <w:rsid w:val="00252DFB"/>
    <w:rsid w:val="00252E90"/>
    <w:rsid w:val="00252ECA"/>
    <w:rsid w:val="00252F81"/>
    <w:rsid w:val="00252FAC"/>
    <w:rsid w:val="00253027"/>
    <w:rsid w:val="00253070"/>
    <w:rsid w:val="002530CA"/>
    <w:rsid w:val="002530EA"/>
    <w:rsid w:val="00253165"/>
    <w:rsid w:val="00253366"/>
    <w:rsid w:val="002534F9"/>
    <w:rsid w:val="00253505"/>
    <w:rsid w:val="002535A4"/>
    <w:rsid w:val="00253743"/>
    <w:rsid w:val="0025374A"/>
    <w:rsid w:val="0025376B"/>
    <w:rsid w:val="0025387D"/>
    <w:rsid w:val="00253AD3"/>
    <w:rsid w:val="00253BF5"/>
    <w:rsid w:val="00253D2A"/>
    <w:rsid w:val="00253D5F"/>
    <w:rsid w:val="00253D7F"/>
    <w:rsid w:val="00253E9A"/>
    <w:rsid w:val="00253EDC"/>
    <w:rsid w:val="00254367"/>
    <w:rsid w:val="00254387"/>
    <w:rsid w:val="0025438D"/>
    <w:rsid w:val="002543A6"/>
    <w:rsid w:val="002544B5"/>
    <w:rsid w:val="00254671"/>
    <w:rsid w:val="002546B7"/>
    <w:rsid w:val="00254705"/>
    <w:rsid w:val="002548BF"/>
    <w:rsid w:val="00254952"/>
    <w:rsid w:val="00254A53"/>
    <w:rsid w:val="00254AC2"/>
    <w:rsid w:val="00254B8A"/>
    <w:rsid w:val="00254D1B"/>
    <w:rsid w:val="00254D5A"/>
    <w:rsid w:val="00254E19"/>
    <w:rsid w:val="00254E4C"/>
    <w:rsid w:val="00254F11"/>
    <w:rsid w:val="00254F8B"/>
    <w:rsid w:val="00254FFC"/>
    <w:rsid w:val="002550EB"/>
    <w:rsid w:val="0025518E"/>
    <w:rsid w:val="002551B3"/>
    <w:rsid w:val="002552D9"/>
    <w:rsid w:val="0025559E"/>
    <w:rsid w:val="00255801"/>
    <w:rsid w:val="00255B3C"/>
    <w:rsid w:val="00255B8B"/>
    <w:rsid w:val="00255CA1"/>
    <w:rsid w:val="00255CAC"/>
    <w:rsid w:val="00255D53"/>
    <w:rsid w:val="00255D58"/>
    <w:rsid w:val="00255D65"/>
    <w:rsid w:val="00255DEE"/>
    <w:rsid w:val="00255E8C"/>
    <w:rsid w:val="00255F2D"/>
    <w:rsid w:val="00256233"/>
    <w:rsid w:val="002562DE"/>
    <w:rsid w:val="0025636A"/>
    <w:rsid w:val="002565A7"/>
    <w:rsid w:val="002565EC"/>
    <w:rsid w:val="0025668A"/>
    <w:rsid w:val="0025687A"/>
    <w:rsid w:val="002568AC"/>
    <w:rsid w:val="0025694A"/>
    <w:rsid w:val="002569E3"/>
    <w:rsid w:val="00256BDA"/>
    <w:rsid w:val="00256C6F"/>
    <w:rsid w:val="00256F32"/>
    <w:rsid w:val="00257166"/>
    <w:rsid w:val="002573C7"/>
    <w:rsid w:val="0025743F"/>
    <w:rsid w:val="00257484"/>
    <w:rsid w:val="00257609"/>
    <w:rsid w:val="00257818"/>
    <w:rsid w:val="0025783F"/>
    <w:rsid w:val="0025786D"/>
    <w:rsid w:val="0025794B"/>
    <w:rsid w:val="00257A7F"/>
    <w:rsid w:val="00257A9B"/>
    <w:rsid w:val="00257B1E"/>
    <w:rsid w:val="00257BC4"/>
    <w:rsid w:val="00257C7F"/>
    <w:rsid w:val="00257D2B"/>
    <w:rsid w:val="00257D77"/>
    <w:rsid w:val="00257D92"/>
    <w:rsid w:val="00257DD9"/>
    <w:rsid w:val="00257FB7"/>
    <w:rsid w:val="00260013"/>
    <w:rsid w:val="0026002B"/>
    <w:rsid w:val="0026005E"/>
    <w:rsid w:val="002601C5"/>
    <w:rsid w:val="0026037B"/>
    <w:rsid w:val="0026045C"/>
    <w:rsid w:val="00260614"/>
    <w:rsid w:val="00260775"/>
    <w:rsid w:val="002607C1"/>
    <w:rsid w:val="002607FD"/>
    <w:rsid w:val="002608C2"/>
    <w:rsid w:val="00260ADE"/>
    <w:rsid w:val="00260B27"/>
    <w:rsid w:val="00260CDE"/>
    <w:rsid w:val="00260D2C"/>
    <w:rsid w:val="00260DC6"/>
    <w:rsid w:val="00260EE5"/>
    <w:rsid w:val="00260EF5"/>
    <w:rsid w:val="00260F6E"/>
    <w:rsid w:val="00261062"/>
    <w:rsid w:val="002610B3"/>
    <w:rsid w:val="002610B8"/>
    <w:rsid w:val="002612EC"/>
    <w:rsid w:val="00261478"/>
    <w:rsid w:val="0026167C"/>
    <w:rsid w:val="00261728"/>
    <w:rsid w:val="0026188C"/>
    <w:rsid w:val="00261918"/>
    <w:rsid w:val="00261987"/>
    <w:rsid w:val="0026199A"/>
    <w:rsid w:val="00261A93"/>
    <w:rsid w:val="00261AB8"/>
    <w:rsid w:val="00261D3C"/>
    <w:rsid w:val="00261D40"/>
    <w:rsid w:val="00261E6F"/>
    <w:rsid w:val="00261F3F"/>
    <w:rsid w:val="00262008"/>
    <w:rsid w:val="0026209B"/>
    <w:rsid w:val="002620DE"/>
    <w:rsid w:val="0026215F"/>
    <w:rsid w:val="00262191"/>
    <w:rsid w:val="00262194"/>
    <w:rsid w:val="002621C7"/>
    <w:rsid w:val="002622EB"/>
    <w:rsid w:val="00262357"/>
    <w:rsid w:val="002624DC"/>
    <w:rsid w:val="00262A5C"/>
    <w:rsid w:val="00262B84"/>
    <w:rsid w:val="00262C1A"/>
    <w:rsid w:val="00262C47"/>
    <w:rsid w:val="00262CD7"/>
    <w:rsid w:val="00262E18"/>
    <w:rsid w:val="00262EBB"/>
    <w:rsid w:val="00263128"/>
    <w:rsid w:val="00263140"/>
    <w:rsid w:val="00263142"/>
    <w:rsid w:val="00263227"/>
    <w:rsid w:val="002632F3"/>
    <w:rsid w:val="002633AF"/>
    <w:rsid w:val="002633B8"/>
    <w:rsid w:val="0026341E"/>
    <w:rsid w:val="00263513"/>
    <w:rsid w:val="0026357D"/>
    <w:rsid w:val="002635CD"/>
    <w:rsid w:val="002636B3"/>
    <w:rsid w:val="0026370A"/>
    <w:rsid w:val="0026378B"/>
    <w:rsid w:val="00263A06"/>
    <w:rsid w:val="00263AAA"/>
    <w:rsid w:val="00263AE1"/>
    <w:rsid w:val="00263AEF"/>
    <w:rsid w:val="00263EFF"/>
    <w:rsid w:val="00263F16"/>
    <w:rsid w:val="00263FB2"/>
    <w:rsid w:val="00264184"/>
    <w:rsid w:val="002641B5"/>
    <w:rsid w:val="0026420D"/>
    <w:rsid w:val="00264310"/>
    <w:rsid w:val="00264378"/>
    <w:rsid w:val="002643E0"/>
    <w:rsid w:val="00264405"/>
    <w:rsid w:val="0026441F"/>
    <w:rsid w:val="0026443C"/>
    <w:rsid w:val="002644AD"/>
    <w:rsid w:val="002644B5"/>
    <w:rsid w:val="002644C8"/>
    <w:rsid w:val="0026452C"/>
    <w:rsid w:val="0026458E"/>
    <w:rsid w:val="002645ED"/>
    <w:rsid w:val="00264645"/>
    <w:rsid w:val="0026466D"/>
    <w:rsid w:val="002646FD"/>
    <w:rsid w:val="00264870"/>
    <w:rsid w:val="00264B2F"/>
    <w:rsid w:val="00264C6D"/>
    <w:rsid w:val="00264D9C"/>
    <w:rsid w:val="00264F2B"/>
    <w:rsid w:val="00264FA0"/>
    <w:rsid w:val="002650F4"/>
    <w:rsid w:val="00265434"/>
    <w:rsid w:val="002656CC"/>
    <w:rsid w:val="002656F3"/>
    <w:rsid w:val="0026575D"/>
    <w:rsid w:val="002659A1"/>
    <w:rsid w:val="00265A1E"/>
    <w:rsid w:val="00265A41"/>
    <w:rsid w:val="00265A87"/>
    <w:rsid w:val="00265AE3"/>
    <w:rsid w:val="00265B23"/>
    <w:rsid w:val="00265B7E"/>
    <w:rsid w:val="00265B8F"/>
    <w:rsid w:val="00265C38"/>
    <w:rsid w:val="00265C41"/>
    <w:rsid w:val="00265C87"/>
    <w:rsid w:val="00265CD8"/>
    <w:rsid w:val="00265D8E"/>
    <w:rsid w:val="00265E4C"/>
    <w:rsid w:val="00265F51"/>
    <w:rsid w:val="002661DD"/>
    <w:rsid w:val="002661E0"/>
    <w:rsid w:val="002661E9"/>
    <w:rsid w:val="002662C2"/>
    <w:rsid w:val="002662D8"/>
    <w:rsid w:val="00266311"/>
    <w:rsid w:val="0026633E"/>
    <w:rsid w:val="002663BF"/>
    <w:rsid w:val="002663F2"/>
    <w:rsid w:val="0026647D"/>
    <w:rsid w:val="0026663A"/>
    <w:rsid w:val="00266682"/>
    <w:rsid w:val="0026669E"/>
    <w:rsid w:val="002668A9"/>
    <w:rsid w:val="00266B2F"/>
    <w:rsid w:val="00266B91"/>
    <w:rsid w:val="00266C2B"/>
    <w:rsid w:val="00266C9C"/>
    <w:rsid w:val="00266D4E"/>
    <w:rsid w:val="00266D61"/>
    <w:rsid w:val="00266D69"/>
    <w:rsid w:val="00266E8F"/>
    <w:rsid w:val="00266F27"/>
    <w:rsid w:val="00267099"/>
    <w:rsid w:val="00267108"/>
    <w:rsid w:val="0026710E"/>
    <w:rsid w:val="00267134"/>
    <w:rsid w:val="00267226"/>
    <w:rsid w:val="0026724A"/>
    <w:rsid w:val="00267365"/>
    <w:rsid w:val="002673DA"/>
    <w:rsid w:val="0026744C"/>
    <w:rsid w:val="00267543"/>
    <w:rsid w:val="0026755E"/>
    <w:rsid w:val="00267608"/>
    <w:rsid w:val="0026770A"/>
    <w:rsid w:val="00267743"/>
    <w:rsid w:val="00267754"/>
    <w:rsid w:val="002677EA"/>
    <w:rsid w:val="00267814"/>
    <w:rsid w:val="00267835"/>
    <w:rsid w:val="00267953"/>
    <w:rsid w:val="0026797B"/>
    <w:rsid w:val="00267A87"/>
    <w:rsid w:val="00267ACD"/>
    <w:rsid w:val="00267B27"/>
    <w:rsid w:val="00267BAF"/>
    <w:rsid w:val="00267D13"/>
    <w:rsid w:val="00267D56"/>
    <w:rsid w:val="00267D89"/>
    <w:rsid w:val="00267D8F"/>
    <w:rsid w:val="00267E55"/>
    <w:rsid w:val="00267E64"/>
    <w:rsid w:val="00267EBB"/>
    <w:rsid w:val="00267F7D"/>
    <w:rsid w:val="0027009A"/>
    <w:rsid w:val="0027013A"/>
    <w:rsid w:val="002701DA"/>
    <w:rsid w:val="00270209"/>
    <w:rsid w:val="00270395"/>
    <w:rsid w:val="00270404"/>
    <w:rsid w:val="002704C5"/>
    <w:rsid w:val="00270554"/>
    <w:rsid w:val="002706A4"/>
    <w:rsid w:val="00270710"/>
    <w:rsid w:val="0027077A"/>
    <w:rsid w:val="002707BF"/>
    <w:rsid w:val="002707EC"/>
    <w:rsid w:val="002708E6"/>
    <w:rsid w:val="0027094A"/>
    <w:rsid w:val="00270AA6"/>
    <w:rsid w:val="00270B01"/>
    <w:rsid w:val="00270BC4"/>
    <w:rsid w:val="00270BCF"/>
    <w:rsid w:val="00270CA2"/>
    <w:rsid w:val="00270D83"/>
    <w:rsid w:val="0027106C"/>
    <w:rsid w:val="002710B0"/>
    <w:rsid w:val="002711BD"/>
    <w:rsid w:val="0027122C"/>
    <w:rsid w:val="002712B9"/>
    <w:rsid w:val="002713E9"/>
    <w:rsid w:val="00271433"/>
    <w:rsid w:val="00271474"/>
    <w:rsid w:val="0027150F"/>
    <w:rsid w:val="002715ED"/>
    <w:rsid w:val="002716D7"/>
    <w:rsid w:val="002717FE"/>
    <w:rsid w:val="002719B5"/>
    <w:rsid w:val="00271A00"/>
    <w:rsid w:val="00271A05"/>
    <w:rsid w:val="00271A50"/>
    <w:rsid w:val="00271A7B"/>
    <w:rsid w:val="00271AA0"/>
    <w:rsid w:val="00271B46"/>
    <w:rsid w:val="00271C27"/>
    <w:rsid w:val="00271D9A"/>
    <w:rsid w:val="00271ED7"/>
    <w:rsid w:val="0027203A"/>
    <w:rsid w:val="0027225D"/>
    <w:rsid w:val="002722A3"/>
    <w:rsid w:val="002722D0"/>
    <w:rsid w:val="00272300"/>
    <w:rsid w:val="0027236F"/>
    <w:rsid w:val="00272379"/>
    <w:rsid w:val="002723A7"/>
    <w:rsid w:val="0027240C"/>
    <w:rsid w:val="00272469"/>
    <w:rsid w:val="002724C6"/>
    <w:rsid w:val="002725A1"/>
    <w:rsid w:val="00272617"/>
    <w:rsid w:val="00272642"/>
    <w:rsid w:val="002727E7"/>
    <w:rsid w:val="00272865"/>
    <w:rsid w:val="00272885"/>
    <w:rsid w:val="00272934"/>
    <w:rsid w:val="002729D1"/>
    <w:rsid w:val="00272D90"/>
    <w:rsid w:val="00272FBD"/>
    <w:rsid w:val="00273133"/>
    <w:rsid w:val="00273136"/>
    <w:rsid w:val="002731B4"/>
    <w:rsid w:val="0027324E"/>
    <w:rsid w:val="0027344B"/>
    <w:rsid w:val="0027387A"/>
    <w:rsid w:val="00273AED"/>
    <w:rsid w:val="00273B55"/>
    <w:rsid w:val="00273B97"/>
    <w:rsid w:val="00273E55"/>
    <w:rsid w:val="00273E97"/>
    <w:rsid w:val="00273EB8"/>
    <w:rsid w:val="00273FCD"/>
    <w:rsid w:val="00273FD4"/>
    <w:rsid w:val="0027409C"/>
    <w:rsid w:val="002741F1"/>
    <w:rsid w:val="002743D2"/>
    <w:rsid w:val="00274579"/>
    <w:rsid w:val="00274690"/>
    <w:rsid w:val="0027470E"/>
    <w:rsid w:val="00274861"/>
    <w:rsid w:val="002748CF"/>
    <w:rsid w:val="00274974"/>
    <w:rsid w:val="002749D6"/>
    <w:rsid w:val="00274A1A"/>
    <w:rsid w:val="00274AE2"/>
    <w:rsid w:val="00274B0F"/>
    <w:rsid w:val="00274BB4"/>
    <w:rsid w:val="00274D8F"/>
    <w:rsid w:val="00274D96"/>
    <w:rsid w:val="00274DD9"/>
    <w:rsid w:val="00274E23"/>
    <w:rsid w:val="0027501B"/>
    <w:rsid w:val="002750C8"/>
    <w:rsid w:val="0027510D"/>
    <w:rsid w:val="0027514A"/>
    <w:rsid w:val="0027525C"/>
    <w:rsid w:val="0027528E"/>
    <w:rsid w:val="002752D7"/>
    <w:rsid w:val="00275304"/>
    <w:rsid w:val="00275439"/>
    <w:rsid w:val="002755B6"/>
    <w:rsid w:val="002755F4"/>
    <w:rsid w:val="00275748"/>
    <w:rsid w:val="002757B8"/>
    <w:rsid w:val="002757C9"/>
    <w:rsid w:val="002757EF"/>
    <w:rsid w:val="002759A0"/>
    <w:rsid w:val="00275BCC"/>
    <w:rsid w:val="00275D31"/>
    <w:rsid w:val="00275D3E"/>
    <w:rsid w:val="00275DBF"/>
    <w:rsid w:val="00275E09"/>
    <w:rsid w:val="00275E15"/>
    <w:rsid w:val="00276036"/>
    <w:rsid w:val="0027607F"/>
    <w:rsid w:val="002761F6"/>
    <w:rsid w:val="0027630D"/>
    <w:rsid w:val="00276319"/>
    <w:rsid w:val="00276337"/>
    <w:rsid w:val="00276416"/>
    <w:rsid w:val="00276463"/>
    <w:rsid w:val="00276591"/>
    <w:rsid w:val="0027666C"/>
    <w:rsid w:val="00276823"/>
    <w:rsid w:val="002768A4"/>
    <w:rsid w:val="002768E8"/>
    <w:rsid w:val="00276924"/>
    <w:rsid w:val="00276A2E"/>
    <w:rsid w:val="00276A67"/>
    <w:rsid w:val="00276B92"/>
    <w:rsid w:val="00276BC7"/>
    <w:rsid w:val="00276DF1"/>
    <w:rsid w:val="00276E50"/>
    <w:rsid w:val="002770BE"/>
    <w:rsid w:val="00277137"/>
    <w:rsid w:val="002771B1"/>
    <w:rsid w:val="00277243"/>
    <w:rsid w:val="0027729C"/>
    <w:rsid w:val="00277328"/>
    <w:rsid w:val="0027736D"/>
    <w:rsid w:val="00277398"/>
    <w:rsid w:val="00277442"/>
    <w:rsid w:val="00277578"/>
    <w:rsid w:val="00277815"/>
    <w:rsid w:val="00277897"/>
    <w:rsid w:val="00277994"/>
    <w:rsid w:val="002779F1"/>
    <w:rsid w:val="00277A68"/>
    <w:rsid w:val="00277AE4"/>
    <w:rsid w:val="00277B46"/>
    <w:rsid w:val="00277D1C"/>
    <w:rsid w:val="00277D7C"/>
    <w:rsid w:val="00277D86"/>
    <w:rsid w:val="0028005F"/>
    <w:rsid w:val="00280110"/>
    <w:rsid w:val="00280267"/>
    <w:rsid w:val="00280487"/>
    <w:rsid w:val="0028052C"/>
    <w:rsid w:val="0028065A"/>
    <w:rsid w:val="002806E8"/>
    <w:rsid w:val="00280760"/>
    <w:rsid w:val="0028089B"/>
    <w:rsid w:val="00280914"/>
    <w:rsid w:val="00280986"/>
    <w:rsid w:val="00280BB6"/>
    <w:rsid w:val="00280C04"/>
    <w:rsid w:val="00280CBF"/>
    <w:rsid w:val="00281132"/>
    <w:rsid w:val="002814A8"/>
    <w:rsid w:val="0028152B"/>
    <w:rsid w:val="002815E8"/>
    <w:rsid w:val="00281718"/>
    <w:rsid w:val="00281760"/>
    <w:rsid w:val="0028190C"/>
    <w:rsid w:val="0028199D"/>
    <w:rsid w:val="00281AA8"/>
    <w:rsid w:val="00281D1F"/>
    <w:rsid w:val="00281E10"/>
    <w:rsid w:val="00281EA8"/>
    <w:rsid w:val="00281F36"/>
    <w:rsid w:val="00281FAA"/>
    <w:rsid w:val="00281FFD"/>
    <w:rsid w:val="002821A9"/>
    <w:rsid w:val="00282313"/>
    <w:rsid w:val="00282378"/>
    <w:rsid w:val="002823D0"/>
    <w:rsid w:val="00282645"/>
    <w:rsid w:val="002826DD"/>
    <w:rsid w:val="00282721"/>
    <w:rsid w:val="00282931"/>
    <w:rsid w:val="00282937"/>
    <w:rsid w:val="00282A71"/>
    <w:rsid w:val="00282ABC"/>
    <w:rsid w:val="00282C40"/>
    <w:rsid w:val="00282EDB"/>
    <w:rsid w:val="00282EFF"/>
    <w:rsid w:val="00282F2F"/>
    <w:rsid w:val="00282F35"/>
    <w:rsid w:val="00283019"/>
    <w:rsid w:val="00283038"/>
    <w:rsid w:val="002830B5"/>
    <w:rsid w:val="00283181"/>
    <w:rsid w:val="00283268"/>
    <w:rsid w:val="0028326C"/>
    <w:rsid w:val="0028328A"/>
    <w:rsid w:val="00283407"/>
    <w:rsid w:val="002835D1"/>
    <w:rsid w:val="002836B0"/>
    <w:rsid w:val="0028370F"/>
    <w:rsid w:val="00283732"/>
    <w:rsid w:val="0028376F"/>
    <w:rsid w:val="00283806"/>
    <w:rsid w:val="00283885"/>
    <w:rsid w:val="002838E4"/>
    <w:rsid w:val="00283915"/>
    <w:rsid w:val="0028398E"/>
    <w:rsid w:val="00283D2D"/>
    <w:rsid w:val="00283DC1"/>
    <w:rsid w:val="00283EB0"/>
    <w:rsid w:val="00283ED6"/>
    <w:rsid w:val="00283F6A"/>
    <w:rsid w:val="00283FDA"/>
    <w:rsid w:val="00284092"/>
    <w:rsid w:val="0028411E"/>
    <w:rsid w:val="00284124"/>
    <w:rsid w:val="0028417A"/>
    <w:rsid w:val="00284234"/>
    <w:rsid w:val="00284452"/>
    <w:rsid w:val="0028446F"/>
    <w:rsid w:val="0028451D"/>
    <w:rsid w:val="002845C9"/>
    <w:rsid w:val="00284722"/>
    <w:rsid w:val="00284759"/>
    <w:rsid w:val="00284775"/>
    <w:rsid w:val="002847EA"/>
    <w:rsid w:val="00284806"/>
    <w:rsid w:val="00284811"/>
    <w:rsid w:val="00284838"/>
    <w:rsid w:val="002848D2"/>
    <w:rsid w:val="00284BC1"/>
    <w:rsid w:val="00284CA4"/>
    <w:rsid w:val="00284D07"/>
    <w:rsid w:val="00284D4F"/>
    <w:rsid w:val="00284E8C"/>
    <w:rsid w:val="00284F80"/>
    <w:rsid w:val="0028504D"/>
    <w:rsid w:val="0028512F"/>
    <w:rsid w:val="002851BF"/>
    <w:rsid w:val="0028550F"/>
    <w:rsid w:val="002856D2"/>
    <w:rsid w:val="0028570D"/>
    <w:rsid w:val="00285942"/>
    <w:rsid w:val="002859AD"/>
    <w:rsid w:val="00285BA8"/>
    <w:rsid w:val="00285BB1"/>
    <w:rsid w:val="00285CB0"/>
    <w:rsid w:val="00286047"/>
    <w:rsid w:val="0028623C"/>
    <w:rsid w:val="0028632A"/>
    <w:rsid w:val="00286343"/>
    <w:rsid w:val="00286380"/>
    <w:rsid w:val="002863A3"/>
    <w:rsid w:val="002864A7"/>
    <w:rsid w:val="00286551"/>
    <w:rsid w:val="00286673"/>
    <w:rsid w:val="0028669C"/>
    <w:rsid w:val="0028669F"/>
    <w:rsid w:val="00286765"/>
    <w:rsid w:val="002867DA"/>
    <w:rsid w:val="00286829"/>
    <w:rsid w:val="00286955"/>
    <w:rsid w:val="002869A6"/>
    <w:rsid w:val="00286A07"/>
    <w:rsid w:val="00286E12"/>
    <w:rsid w:val="00286E7E"/>
    <w:rsid w:val="00286EBE"/>
    <w:rsid w:val="00286F6F"/>
    <w:rsid w:val="0028711F"/>
    <w:rsid w:val="0028712F"/>
    <w:rsid w:val="002871FC"/>
    <w:rsid w:val="00287221"/>
    <w:rsid w:val="00287292"/>
    <w:rsid w:val="00287386"/>
    <w:rsid w:val="0028744C"/>
    <w:rsid w:val="00287595"/>
    <w:rsid w:val="002875CD"/>
    <w:rsid w:val="002876D4"/>
    <w:rsid w:val="002877D0"/>
    <w:rsid w:val="0028781F"/>
    <w:rsid w:val="002878D2"/>
    <w:rsid w:val="00287972"/>
    <w:rsid w:val="0028798B"/>
    <w:rsid w:val="002879A1"/>
    <w:rsid w:val="002879B2"/>
    <w:rsid w:val="002879C2"/>
    <w:rsid w:val="00287A79"/>
    <w:rsid w:val="00287AC3"/>
    <w:rsid w:val="00287B07"/>
    <w:rsid w:val="00287C3C"/>
    <w:rsid w:val="00287CCD"/>
    <w:rsid w:val="00287E6E"/>
    <w:rsid w:val="00287EB8"/>
    <w:rsid w:val="00287F87"/>
    <w:rsid w:val="00287F98"/>
    <w:rsid w:val="00287FFE"/>
    <w:rsid w:val="0029009C"/>
    <w:rsid w:val="002900B1"/>
    <w:rsid w:val="002901CE"/>
    <w:rsid w:val="002902C5"/>
    <w:rsid w:val="002903FD"/>
    <w:rsid w:val="002904FA"/>
    <w:rsid w:val="00290626"/>
    <w:rsid w:val="00290720"/>
    <w:rsid w:val="00290724"/>
    <w:rsid w:val="0029089E"/>
    <w:rsid w:val="002908E6"/>
    <w:rsid w:val="00290A99"/>
    <w:rsid w:val="00290B3D"/>
    <w:rsid w:val="00290BDD"/>
    <w:rsid w:val="00290C19"/>
    <w:rsid w:val="00290C25"/>
    <w:rsid w:val="00290D82"/>
    <w:rsid w:val="00290DE0"/>
    <w:rsid w:val="00290EE0"/>
    <w:rsid w:val="0029132D"/>
    <w:rsid w:val="002913E7"/>
    <w:rsid w:val="00291559"/>
    <w:rsid w:val="0029155B"/>
    <w:rsid w:val="00291574"/>
    <w:rsid w:val="002915E0"/>
    <w:rsid w:val="002915EA"/>
    <w:rsid w:val="00291632"/>
    <w:rsid w:val="00291642"/>
    <w:rsid w:val="00291645"/>
    <w:rsid w:val="00291662"/>
    <w:rsid w:val="002919C9"/>
    <w:rsid w:val="00291A56"/>
    <w:rsid w:val="00291AE4"/>
    <w:rsid w:val="00291C12"/>
    <w:rsid w:val="00291EB9"/>
    <w:rsid w:val="00291F15"/>
    <w:rsid w:val="00291F72"/>
    <w:rsid w:val="00291F81"/>
    <w:rsid w:val="002920C5"/>
    <w:rsid w:val="002920DE"/>
    <w:rsid w:val="002920EF"/>
    <w:rsid w:val="00292122"/>
    <w:rsid w:val="00292146"/>
    <w:rsid w:val="00292187"/>
    <w:rsid w:val="002922BA"/>
    <w:rsid w:val="002922EC"/>
    <w:rsid w:val="0029236C"/>
    <w:rsid w:val="00292450"/>
    <w:rsid w:val="002924C2"/>
    <w:rsid w:val="0029253D"/>
    <w:rsid w:val="00292594"/>
    <w:rsid w:val="002925CA"/>
    <w:rsid w:val="002928F1"/>
    <w:rsid w:val="00292D64"/>
    <w:rsid w:val="00292D9C"/>
    <w:rsid w:val="00292E06"/>
    <w:rsid w:val="00292E13"/>
    <w:rsid w:val="00292E5C"/>
    <w:rsid w:val="00292EDF"/>
    <w:rsid w:val="00293017"/>
    <w:rsid w:val="002930B2"/>
    <w:rsid w:val="0029320B"/>
    <w:rsid w:val="00293256"/>
    <w:rsid w:val="00293335"/>
    <w:rsid w:val="0029337F"/>
    <w:rsid w:val="00293424"/>
    <w:rsid w:val="00293524"/>
    <w:rsid w:val="00293645"/>
    <w:rsid w:val="002936EC"/>
    <w:rsid w:val="00293703"/>
    <w:rsid w:val="00293822"/>
    <w:rsid w:val="002938F6"/>
    <w:rsid w:val="0029393D"/>
    <w:rsid w:val="002939A7"/>
    <w:rsid w:val="00293A66"/>
    <w:rsid w:val="00293AA5"/>
    <w:rsid w:val="00293AD7"/>
    <w:rsid w:val="00293C70"/>
    <w:rsid w:val="00293D23"/>
    <w:rsid w:val="00293EE3"/>
    <w:rsid w:val="0029413F"/>
    <w:rsid w:val="0029416E"/>
    <w:rsid w:val="002941CC"/>
    <w:rsid w:val="00294304"/>
    <w:rsid w:val="0029430F"/>
    <w:rsid w:val="00294387"/>
    <w:rsid w:val="0029440B"/>
    <w:rsid w:val="002944C7"/>
    <w:rsid w:val="0029452C"/>
    <w:rsid w:val="002945BC"/>
    <w:rsid w:val="00294696"/>
    <w:rsid w:val="0029470F"/>
    <w:rsid w:val="002947C8"/>
    <w:rsid w:val="00294868"/>
    <w:rsid w:val="002948D7"/>
    <w:rsid w:val="002949B1"/>
    <w:rsid w:val="002949F7"/>
    <w:rsid w:val="00294A0C"/>
    <w:rsid w:val="00294B53"/>
    <w:rsid w:val="00294BA1"/>
    <w:rsid w:val="00294BB9"/>
    <w:rsid w:val="00294BBA"/>
    <w:rsid w:val="00294C7D"/>
    <w:rsid w:val="00294CAD"/>
    <w:rsid w:val="00294CCF"/>
    <w:rsid w:val="00295010"/>
    <w:rsid w:val="002952AD"/>
    <w:rsid w:val="002953A1"/>
    <w:rsid w:val="002953B9"/>
    <w:rsid w:val="002953E6"/>
    <w:rsid w:val="002953FC"/>
    <w:rsid w:val="0029544B"/>
    <w:rsid w:val="0029557A"/>
    <w:rsid w:val="0029562F"/>
    <w:rsid w:val="0029567C"/>
    <w:rsid w:val="00295742"/>
    <w:rsid w:val="00295848"/>
    <w:rsid w:val="00295860"/>
    <w:rsid w:val="002958C2"/>
    <w:rsid w:val="00295973"/>
    <w:rsid w:val="00295A28"/>
    <w:rsid w:val="00295A75"/>
    <w:rsid w:val="00295B54"/>
    <w:rsid w:val="00295D1D"/>
    <w:rsid w:val="00295E2D"/>
    <w:rsid w:val="00295EC1"/>
    <w:rsid w:val="00295EE8"/>
    <w:rsid w:val="0029604A"/>
    <w:rsid w:val="002962A5"/>
    <w:rsid w:val="00296314"/>
    <w:rsid w:val="0029644A"/>
    <w:rsid w:val="0029645B"/>
    <w:rsid w:val="002964C4"/>
    <w:rsid w:val="002965DA"/>
    <w:rsid w:val="002965EE"/>
    <w:rsid w:val="0029666F"/>
    <w:rsid w:val="00296742"/>
    <w:rsid w:val="00296805"/>
    <w:rsid w:val="00296839"/>
    <w:rsid w:val="0029683E"/>
    <w:rsid w:val="002968D2"/>
    <w:rsid w:val="00296A35"/>
    <w:rsid w:val="00296AB3"/>
    <w:rsid w:val="00296AD3"/>
    <w:rsid w:val="00296C29"/>
    <w:rsid w:val="00296C66"/>
    <w:rsid w:val="00296CC2"/>
    <w:rsid w:val="00296CE6"/>
    <w:rsid w:val="00296D1F"/>
    <w:rsid w:val="00296E2E"/>
    <w:rsid w:val="00296E39"/>
    <w:rsid w:val="00296E7D"/>
    <w:rsid w:val="00296F29"/>
    <w:rsid w:val="00296FD7"/>
    <w:rsid w:val="00297045"/>
    <w:rsid w:val="0029714A"/>
    <w:rsid w:val="00297203"/>
    <w:rsid w:val="00297214"/>
    <w:rsid w:val="00297224"/>
    <w:rsid w:val="002972C2"/>
    <w:rsid w:val="0029733B"/>
    <w:rsid w:val="0029789A"/>
    <w:rsid w:val="0029793D"/>
    <w:rsid w:val="00297A67"/>
    <w:rsid w:val="00297A74"/>
    <w:rsid w:val="00297CD0"/>
    <w:rsid w:val="00297DCB"/>
    <w:rsid w:val="00297DEC"/>
    <w:rsid w:val="00297F01"/>
    <w:rsid w:val="00297F58"/>
    <w:rsid w:val="00297F8F"/>
    <w:rsid w:val="002A001C"/>
    <w:rsid w:val="002A0025"/>
    <w:rsid w:val="002A006A"/>
    <w:rsid w:val="002A00D5"/>
    <w:rsid w:val="002A0151"/>
    <w:rsid w:val="002A021B"/>
    <w:rsid w:val="002A02AE"/>
    <w:rsid w:val="002A030B"/>
    <w:rsid w:val="002A044A"/>
    <w:rsid w:val="002A049E"/>
    <w:rsid w:val="002A05B6"/>
    <w:rsid w:val="002A05C1"/>
    <w:rsid w:val="002A0602"/>
    <w:rsid w:val="002A06C8"/>
    <w:rsid w:val="002A06E7"/>
    <w:rsid w:val="002A08A1"/>
    <w:rsid w:val="002A08F5"/>
    <w:rsid w:val="002A09A7"/>
    <w:rsid w:val="002A0BA4"/>
    <w:rsid w:val="002A0C00"/>
    <w:rsid w:val="002A0C48"/>
    <w:rsid w:val="002A0C98"/>
    <w:rsid w:val="002A0DF8"/>
    <w:rsid w:val="002A0FD2"/>
    <w:rsid w:val="002A108C"/>
    <w:rsid w:val="002A10AA"/>
    <w:rsid w:val="002A115B"/>
    <w:rsid w:val="002A1426"/>
    <w:rsid w:val="002A1591"/>
    <w:rsid w:val="002A1777"/>
    <w:rsid w:val="002A1821"/>
    <w:rsid w:val="002A1851"/>
    <w:rsid w:val="002A18FB"/>
    <w:rsid w:val="002A1A68"/>
    <w:rsid w:val="002A1C8B"/>
    <w:rsid w:val="002A1D3D"/>
    <w:rsid w:val="002A1D58"/>
    <w:rsid w:val="002A1E23"/>
    <w:rsid w:val="002A1E4B"/>
    <w:rsid w:val="002A2037"/>
    <w:rsid w:val="002A2133"/>
    <w:rsid w:val="002A2286"/>
    <w:rsid w:val="002A22CC"/>
    <w:rsid w:val="002A23E5"/>
    <w:rsid w:val="002A25DF"/>
    <w:rsid w:val="002A2611"/>
    <w:rsid w:val="002A2622"/>
    <w:rsid w:val="002A26DF"/>
    <w:rsid w:val="002A27B4"/>
    <w:rsid w:val="002A2873"/>
    <w:rsid w:val="002A288B"/>
    <w:rsid w:val="002A29A6"/>
    <w:rsid w:val="002A2A16"/>
    <w:rsid w:val="002A2A31"/>
    <w:rsid w:val="002A2AFB"/>
    <w:rsid w:val="002A2BA5"/>
    <w:rsid w:val="002A2BC7"/>
    <w:rsid w:val="002A2D2B"/>
    <w:rsid w:val="002A2DCE"/>
    <w:rsid w:val="002A2E27"/>
    <w:rsid w:val="002A2E39"/>
    <w:rsid w:val="002A3007"/>
    <w:rsid w:val="002A3045"/>
    <w:rsid w:val="002A3142"/>
    <w:rsid w:val="002A31A0"/>
    <w:rsid w:val="002A32B3"/>
    <w:rsid w:val="002A3374"/>
    <w:rsid w:val="002A343D"/>
    <w:rsid w:val="002A3496"/>
    <w:rsid w:val="002A3519"/>
    <w:rsid w:val="002A3525"/>
    <w:rsid w:val="002A35E7"/>
    <w:rsid w:val="002A360A"/>
    <w:rsid w:val="002A36D6"/>
    <w:rsid w:val="002A3849"/>
    <w:rsid w:val="002A392A"/>
    <w:rsid w:val="002A3994"/>
    <w:rsid w:val="002A3BDF"/>
    <w:rsid w:val="002A3CF0"/>
    <w:rsid w:val="002A3D43"/>
    <w:rsid w:val="002A3D6C"/>
    <w:rsid w:val="002A3EAB"/>
    <w:rsid w:val="002A3F6F"/>
    <w:rsid w:val="002A3FB2"/>
    <w:rsid w:val="002A4070"/>
    <w:rsid w:val="002A40DE"/>
    <w:rsid w:val="002A4107"/>
    <w:rsid w:val="002A41C2"/>
    <w:rsid w:val="002A4245"/>
    <w:rsid w:val="002A4406"/>
    <w:rsid w:val="002A4459"/>
    <w:rsid w:val="002A46AD"/>
    <w:rsid w:val="002A46F4"/>
    <w:rsid w:val="002A488A"/>
    <w:rsid w:val="002A48E1"/>
    <w:rsid w:val="002A4AB1"/>
    <w:rsid w:val="002A4B59"/>
    <w:rsid w:val="002A4C03"/>
    <w:rsid w:val="002A4D30"/>
    <w:rsid w:val="002A4DF5"/>
    <w:rsid w:val="002A4F0E"/>
    <w:rsid w:val="002A4F89"/>
    <w:rsid w:val="002A4FAF"/>
    <w:rsid w:val="002A502E"/>
    <w:rsid w:val="002A519F"/>
    <w:rsid w:val="002A5493"/>
    <w:rsid w:val="002A5499"/>
    <w:rsid w:val="002A55C0"/>
    <w:rsid w:val="002A582E"/>
    <w:rsid w:val="002A58F7"/>
    <w:rsid w:val="002A58FE"/>
    <w:rsid w:val="002A5903"/>
    <w:rsid w:val="002A591C"/>
    <w:rsid w:val="002A598C"/>
    <w:rsid w:val="002A5D50"/>
    <w:rsid w:val="002A5D82"/>
    <w:rsid w:val="002A5E44"/>
    <w:rsid w:val="002A5E61"/>
    <w:rsid w:val="002A5E6F"/>
    <w:rsid w:val="002A5E76"/>
    <w:rsid w:val="002A60B7"/>
    <w:rsid w:val="002A6125"/>
    <w:rsid w:val="002A618A"/>
    <w:rsid w:val="002A6302"/>
    <w:rsid w:val="002A6393"/>
    <w:rsid w:val="002A654F"/>
    <w:rsid w:val="002A6588"/>
    <w:rsid w:val="002A6597"/>
    <w:rsid w:val="002A664B"/>
    <w:rsid w:val="002A6656"/>
    <w:rsid w:val="002A6714"/>
    <w:rsid w:val="002A67BB"/>
    <w:rsid w:val="002A67D1"/>
    <w:rsid w:val="002A68C6"/>
    <w:rsid w:val="002A6D37"/>
    <w:rsid w:val="002A6D79"/>
    <w:rsid w:val="002A6E0E"/>
    <w:rsid w:val="002A6E32"/>
    <w:rsid w:val="002A6EAF"/>
    <w:rsid w:val="002A6F39"/>
    <w:rsid w:val="002A6F80"/>
    <w:rsid w:val="002A6F86"/>
    <w:rsid w:val="002A700C"/>
    <w:rsid w:val="002A7202"/>
    <w:rsid w:val="002A73BF"/>
    <w:rsid w:val="002A74B2"/>
    <w:rsid w:val="002A7579"/>
    <w:rsid w:val="002A7629"/>
    <w:rsid w:val="002A78A2"/>
    <w:rsid w:val="002A78E6"/>
    <w:rsid w:val="002A792D"/>
    <w:rsid w:val="002A7B61"/>
    <w:rsid w:val="002A7DD8"/>
    <w:rsid w:val="002A7E22"/>
    <w:rsid w:val="002A7FDD"/>
    <w:rsid w:val="002A7FF4"/>
    <w:rsid w:val="002A7FF5"/>
    <w:rsid w:val="002B03E2"/>
    <w:rsid w:val="002B061F"/>
    <w:rsid w:val="002B06DE"/>
    <w:rsid w:val="002B07C6"/>
    <w:rsid w:val="002B085D"/>
    <w:rsid w:val="002B092E"/>
    <w:rsid w:val="002B0955"/>
    <w:rsid w:val="002B09E7"/>
    <w:rsid w:val="002B0A28"/>
    <w:rsid w:val="002B0A3E"/>
    <w:rsid w:val="002B0AEA"/>
    <w:rsid w:val="002B0B08"/>
    <w:rsid w:val="002B0B18"/>
    <w:rsid w:val="002B0CAD"/>
    <w:rsid w:val="002B0D5D"/>
    <w:rsid w:val="002B0DEE"/>
    <w:rsid w:val="002B11A8"/>
    <w:rsid w:val="002B122E"/>
    <w:rsid w:val="002B1356"/>
    <w:rsid w:val="002B1461"/>
    <w:rsid w:val="002B14D9"/>
    <w:rsid w:val="002B1570"/>
    <w:rsid w:val="002B15C7"/>
    <w:rsid w:val="002B19E1"/>
    <w:rsid w:val="002B1BBB"/>
    <w:rsid w:val="002B1C3D"/>
    <w:rsid w:val="002B1CCA"/>
    <w:rsid w:val="002B1D47"/>
    <w:rsid w:val="002B1E2A"/>
    <w:rsid w:val="002B1EBB"/>
    <w:rsid w:val="002B1EC9"/>
    <w:rsid w:val="002B1ED8"/>
    <w:rsid w:val="002B1F43"/>
    <w:rsid w:val="002B1F50"/>
    <w:rsid w:val="002B21F2"/>
    <w:rsid w:val="002B2297"/>
    <w:rsid w:val="002B2376"/>
    <w:rsid w:val="002B23BE"/>
    <w:rsid w:val="002B2466"/>
    <w:rsid w:val="002B256B"/>
    <w:rsid w:val="002B2595"/>
    <w:rsid w:val="002B2654"/>
    <w:rsid w:val="002B27F6"/>
    <w:rsid w:val="002B2920"/>
    <w:rsid w:val="002B29C3"/>
    <w:rsid w:val="002B2B2B"/>
    <w:rsid w:val="002B2CD3"/>
    <w:rsid w:val="002B2EC6"/>
    <w:rsid w:val="002B2EEF"/>
    <w:rsid w:val="002B2FD7"/>
    <w:rsid w:val="002B317E"/>
    <w:rsid w:val="002B33BF"/>
    <w:rsid w:val="002B34BE"/>
    <w:rsid w:val="002B3516"/>
    <w:rsid w:val="002B36D8"/>
    <w:rsid w:val="002B3785"/>
    <w:rsid w:val="002B3794"/>
    <w:rsid w:val="002B37DF"/>
    <w:rsid w:val="002B37E9"/>
    <w:rsid w:val="002B3830"/>
    <w:rsid w:val="002B3974"/>
    <w:rsid w:val="002B3A7C"/>
    <w:rsid w:val="002B3C4E"/>
    <w:rsid w:val="002B3C7F"/>
    <w:rsid w:val="002B3E4A"/>
    <w:rsid w:val="002B3F97"/>
    <w:rsid w:val="002B3FDE"/>
    <w:rsid w:val="002B4054"/>
    <w:rsid w:val="002B40A8"/>
    <w:rsid w:val="002B40B5"/>
    <w:rsid w:val="002B4164"/>
    <w:rsid w:val="002B41B0"/>
    <w:rsid w:val="002B41BB"/>
    <w:rsid w:val="002B41FA"/>
    <w:rsid w:val="002B423A"/>
    <w:rsid w:val="002B42DF"/>
    <w:rsid w:val="002B4350"/>
    <w:rsid w:val="002B4412"/>
    <w:rsid w:val="002B442B"/>
    <w:rsid w:val="002B4467"/>
    <w:rsid w:val="002B4633"/>
    <w:rsid w:val="002B47FC"/>
    <w:rsid w:val="002B4946"/>
    <w:rsid w:val="002B4C96"/>
    <w:rsid w:val="002B4D02"/>
    <w:rsid w:val="002B4E9C"/>
    <w:rsid w:val="002B4EBC"/>
    <w:rsid w:val="002B4ED9"/>
    <w:rsid w:val="002B4F97"/>
    <w:rsid w:val="002B5156"/>
    <w:rsid w:val="002B524D"/>
    <w:rsid w:val="002B526B"/>
    <w:rsid w:val="002B528F"/>
    <w:rsid w:val="002B5303"/>
    <w:rsid w:val="002B54D2"/>
    <w:rsid w:val="002B5622"/>
    <w:rsid w:val="002B56BC"/>
    <w:rsid w:val="002B577C"/>
    <w:rsid w:val="002B57B1"/>
    <w:rsid w:val="002B5805"/>
    <w:rsid w:val="002B5812"/>
    <w:rsid w:val="002B5856"/>
    <w:rsid w:val="002B594F"/>
    <w:rsid w:val="002B5963"/>
    <w:rsid w:val="002B5ACF"/>
    <w:rsid w:val="002B5E7B"/>
    <w:rsid w:val="002B5FB1"/>
    <w:rsid w:val="002B602C"/>
    <w:rsid w:val="002B6199"/>
    <w:rsid w:val="002B624B"/>
    <w:rsid w:val="002B62AB"/>
    <w:rsid w:val="002B62D1"/>
    <w:rsid w:val="002B6391"/>
    <w:rsid w:val="002B63E3"/>
    <w:rsid w:val="002B644B"/>
    <w:rsid w:val="002B6459"/>
    <w:rsid w:val="002B64EB"/>
    <w:rsid w:val="002B65D7"/>
    <w:rsid w:val="002B6643"/>
    <w:rsid w:val="002B6673"/>
    <w:rsid w:val="002B66C0"/>
    <w:rsid w:val="002B6762"/>
    <w:rsid w:val="002B67DB"/>
    <w:rsid w:val="002B680A"/>
    <w:rsid w:val="002B6820"/>
    <w:rsid w:val="002B68C6"/>
    <w:rsid w:val="002B69DC"/>
    <w:rsid w:val="002B69F2"/>
    <w:rsid w:val="002B6A20"/>
    <w:rsid w:val="002B6A89"/>
    <w:rsid w:val="002B6BFF"/>
    <w:rsid w:val="002B6D2E"/>
    <w:rsid w:val="002B6E19"/>
    <w:rsid w:val="002B6F4F"/>
    <w:rsid w:val="002B6F62"/>
    <w:rsid w:val="002B703B"/>
    <w:rsid w:val="002B71BC"/>
    <w:rsid w:val="002B734A"/>
    <w:rsid w:val="002B73BA"/>
    <w:rsid w:val="002B741F"/>
    <w:rsid w:val="002B7444"/>
    <w:rsid w:val="002B74A9"/>
    <w:rsid w:val="002B75FE"/>
    <w:rsid w:val="002B7619"/>
    <w:rsid w:val="002B7677"/>
    <w:rsid w:val="002B7882"/>
    <w:rsid w:val="002B78BE"/>
    <w:rsid w:val="002B7A5A"/>
    <w:rsid w:val="002B7A69"/>
    <w:rsid w:val="002B7B0E"/>
    <w:rsid w:val="002B7BAF"/>
    <w:rsid w:val="002B7C07"/>
    <w:rsid w:val="002B7D02"/>
    <w:rsid w:val="002B7EEC"/>
    <w:rsid w:val="002C006D"/>
    <w:rsid w:val="002C0199"/>
    <w:rsid w:val="002C019C"/>
    <w:rsid w:val="002C01BD"/>
    <w:rsid w:val="002C01C7"/>
    <w:rsid w:val="002C032E"/>
    <w:rsid w:val="002C0352"/>
    <w:rsid w:val="002C03B1"/>
    <w:rsid w:val="002C0515"/>
    <w:rsid w:val="002C05D1"/>
    <w:rsid w:val="002C084E"/>
    <w:rsid w:val="002C0908"/>
    <w:rsid w:val="002C0966"/>
    <w:rsid w:val="002C097D"/>
    <w:rsid w:val="002C0A11"/>
    <w:rsid w:val="002C0B03"/>
    <w:rsid w:val="002C0D6F"/>
    <w:rsid w:val="002C1140"/>
    <w:rsid w:val="002C133D"/>
    <w:rsid w:val="002C1405"/>
    <w:rsid w:val="002C1448"/>
    <w:rsid w:val="002C1452"/>
    <w:rsid w:val="002C14C4"/>
    <w:rsid w:val="002C15A8"/>
    <w:rsid w:val="002C15FE"/>
    <w:rsid w:val="002C1670"/>
    <w:rsid w:val="002C17B0"/>
    <w:rsid w:val="002C1A51"/>
    <w:rsid w:val="002C1B99"/>
    <w:rsid w:val="002C1C63"/>
    <w:rsid w:val="002C1C86"/>
    <w:rsid w:val="002C1C9B"/>
    <w:rsid w:val="002C1F6E"/>
    <w:rsid w:val="002C1F97"/>
    <w:rsid w:val="002C20C2"/>
    <w:rsid w:val="002C21ED"/>
    <w:rsid w:val="002C22AC"/>
    <w:rsid w:val="002C22CF"/>
    <w:rsid w:val="002C23C2"/>
    <w:rsid w:val="002C2450"/>
    <w:rsid w:val="002C2635"/>
    <w:rsid w:val="002C287C"/>
    <w:rsid w:val="002C293E"/>
    <w:rsid w:val="002C2982"/>
    <w:rsid w:val="002C2B3D"/>
    <w:rsid w:val="002C2F9F"/>
    <w:rsid w:val="002C3091"/>
    <w:rsid w:val="002C311F"/>
    <w:rsid w:val="002C32C8"/>
    <w:rsid w:val="002C3346"/>
    <w:rsid w:val="002C334D"/>
    <w:rsid w:val="002C34BC"/>
    <w:rsid w:val="002C3540"/>
    <w:rsid w:val="002C3541"/>
    <w:rsid w:val="002C367B"/>
    <w:rsid w:val="002C36AE"/>
    <w:rsid w:val="002C376C"/>
    <w:rsid w:val="002C37A6"/>
    <w:rsid w:val="002C39DC"/>
    <w:rsid w:val="002C3AD5"/>
    <w:rsid w:val="002C3C17"/>
    <w:rsid w:val="002C3C3F"/>
    <w:rsid w:val="002C3C8E"/>
    <w:rsid w:val="002C3D4B"/>
    <w:rsid w:val="002C3DAB"/>
    <w:rsid w:val="002C3DD2"/>
    <w:rsid w:val="002C3DDD"/>
    <w:rsid w:val="002C3EF0"/>
    <w:rsid w:val="002C3FC6"/>
    <w:rsid w:val="002C40E0"/>
    <w:rsid w:val="002C4125"/>
    <w:rsid w:val="002C41E0"/>
    <w:rsid w:val="002C41F8"/>
    <w:rsid w:val="002C426A"/>
    <w:rsid w:val="002C44FA"/>
    <w:rsid w:val="002C4549"/>
    <w:rsid w:val="002C45BA"/>
    <w:rsid w:val="002C4616"/>
    <w:rsid w:val="002C4714"/>
    <w:rsid w:val="002C4733"/>
    <w:rsid w:val="002C481A"/>
    <w:rsid w:val="002C4967"/>
    <w:rsid w:val="002C4B91"/>
    <w:rsid w:val="002C4DD6"/>
    <w:rsid w:val="002C4DE4"/>
    <w:rsid w:val="002C4E26"/>
    <w:rsid w:val="002C4F27"/>
    <w:rsid w:val="002C5061"/>
    <w:rsid w:val="002C5154"/>
    <w:rsid w:val="002C5167"/>
    <w:rsid w:val="002C5238"/>
    <w:rsid w:val="002C52D0"/>
    <w:rsid w:val="002C52DD"/>
    <w:rsid w:val="002C5327"/>
    <w:rsid w:val="002C53E3"/>
    <w:rsid w:val="002C5518"/>
    <w:rsid w:val="002C55C1"/>
    <w:rsid w:val="002C56E7"/>
    <w:rsid w:val="002C56F6"/>
    <w:rsid w:val="002C5983"/>
    <w:rsid w:val="002C59AD"/>
    <w:rsid w:val="002C5A4B"/>
    <w:rsid w:val="002C5AC0"/>
    <w:rsid w:val="002C5BFF"/>
    <w:rsid w:val="002C5CE5"/>
    <w:rsid w:val="002C5D86"/>
    <w:rsid w:val="002C5DDF"/>
    <w:rsid w:val="002C5DF6"/>
    <w:rsid w:val="002C5E20"/>
    <w:rsid w:val="002C5E78"/>
    <w:rsid w:val="002C5F35"/>
    <w:rsid w:val="002C5F50"/>
    <w:rsid w:val="002C5F72"/>
    <w:rsid w:val="002C5FEA"/>
    <w:rsid w:val="002C61C6"/>
    <w:rsid w:val="002C61E3"/>
    <w:rsid w:val="002C6222"/>
    <w:rsid w:val="002C62C4"/>
    <w:rsid w:val="002C62FD"/>
    <w:rsid w:val="002C63AA"/>
    <w:rsid w:val="002C63B5"/>
    <w:rsid w:val="002C64BF"/>
    <w:rsid w:val="002C6654"/>
    <w:rsid w:val="002C668E"/>
    <w:rsid w:val="002C66B2"/>
    <w:rsid w:val="002C690A"/>
    <w:rsid w:val="002C6B54"/>
    <w:rsid w:val="002C6BB4"/>
    <w:rsid w:val="002C6C5B"/>
    <w:rsid w:val="002C6C66"/>
    <w:rsid w:val="002C6CAF"/>
    <w:rsid w:val="002C6D0F"/>
    <w:rsid w:val="002C6F50"/>
    <w:rsid w:val="002C6F98"/>
    <w:rsid w:val="002C6FB8"/>
    <w:rsid w:val="002C6FD7"/>
    <w:rsid w:val="002C7067"/>
    <w:rsid w:val="002C70DD"/>
    <w:rsid w:val="002C734A"/>
    <w:rsid w:val="002C7400"/>
    <w:rsid w:val="002C7402"/>
    <w:rsid w:val="002C74AD"/>
    <w:rsid w:val="002C7522"/>
    <w:rsid w:val="002C7663"/>
    <w:rsid w:val="002C7682"/>
    <w:rsid w:val="002C76D0"/>
    <w:rsid w:val="002C76F4"/>
    <w:rsid w:val="002C7742"/>
    <w:rsid w:val="002C779C"/>
    <w:rsid w:val="002C77C3"/>
    <w:rsid w:val="002C781F"/>
    <w:rsid w:val="002C793C"/>
    <w:rsid w:val="002C7941"/>
    <w:rsid w:val="002C7A4D"/>
    <w:rsid w:val="002C7A56"/>
    <w:rsid w:val="002C7B35"/>
    <w:rsid w:val="002C7C85"/>
    <w:rsid w:val="002C7CBB"/>
    <w:rsid w:val="002C7CED"/>
    <w:rsid w:val="002C7D70"/>
    <w:rsid w:val="002C7D9D"/>
    <w:rsid w:val="002C7DC6"/>
    <w:rsid w:val="002C7DF8"/>
    <w:rsid w:val="002C7E6E"/>
    <w:rsid w:val="002C7F43"/>
    <w:rsid w:val="002C7F9E"/>
    <w:rsid w:val="002C7FA2"/>
    <w:rsid w:val="002D01BE"/>
    <w:rsid w:val="002D02F4"/>
    <w:rsid w:val="002D039E"/>
    <w:rsid w:val="002D0445"/>
    <w:rsid w:val="002D04BE"/>
    <w:rsid w:val="002D0608"/>
    <w:rsid w:val="002D0797"/>
    <w:rsid w:val="002D07BE"/>
    <w:rsid w:val="002D0AB2"/>
    <w:rsid w:val="002D0ACD"/>
    <w:rsid w:val="002D0AED"/>
    <w:rsid w:val="002D0E0A"/>
    <w:rsid w:val="002D0E5D"/>
    <w:rsid w:val="002D0F13"/>
    <w:rsid w:val="002D0FFF"/>
    <w:rsid w:val="002D1144"/>
    <w:rsid w:val="002D1146"/>
    <w:rsid w:val="002D1248"/>
    <w:rsid w:val="002D1582"/>
    <w:rsid w:val="002D15FE"/>
    <w:rsid w:val="002D18CD"/>
    <w:rsid w:val="002D1A63"/>
    <w:rsid w:val="002D1C32"/>
    <w:rsid w:val="002D1D4D"/>
    <w:rsid w:val="002D1D80"/>
    <w:rsid w:val="002D2051"/>
    <w:rsid w:val="002D209C"/>
    <w:rsid w:val="002D20A9"/>
    <w:rsid w:val="002D2158"/>
    <w:rsid w:val="002D218E"/>
    <w:rsid w:val="002D21F3"/>
    <w:rsid w:val="002D2216"/>
    <w:rsid w:val="002D2348"/>
    <w:rsid w:val="002D2407"/>
    <w:rsid w:val="002D2417"/>
    <w:rsid w:val="002D24E4"/>
    <w:rsid w:val="002D260C"/>
    <w:rsid w:val="002D264F"/>
    <w:rsid w:val="002D269F"/>
    <w:rsid w:val="002D285A"/>
    <w:rsid w:val="002D2880"/>
    <w:rsid w:val="002D28D5"/>
    <w:rsid w:val="002D2906"/>
    <w:rsid w:val="002D2A72"/>
    <w:rsid w:val="002D2A9B"/>
    <w:rsid w:val="002D2B39"/>
    <w:rsid w:val="002D2B54"/>
    <w:rsid w:val="002D2BA3"/>
    <w:rsid w:val="002D2D5F"/>
    <w:rsid w:val="002D2D62"/>
    <w:rsid w:val="002D2D72"/>
    <w:rsid w:val="002D2D96"/>
    <w:rsid w:val="002D2DF7"/>
    <w:rsid w:val="002D2E57"/>
    <w:rsid w:val="002D2ED1"/>
    <w:rsid w:val="002D2EE4"/>
    <w:rsid w:val="002D2FD7"/>
    <w:rsid w:val="002D321B"/>
    <w:rsid w:val="002D32F5"/>
    <w:rsid w:val="002D3336"/>
    <w:rsid w:val="002D3381"/>
    <w:rsid w:val="002D3490"/>
    <w:rsid w:val="002D34BA"/>
    <w:rsid w:val="002D34CC"/>
    <w:rsid w:val="002D34EB"/>
    <w:rsid w:val="002D352F"/>
    <w:rsid w:val="002D377C"/>
    <w:rsid w:val="002D37E1"/>
    <w:rsid w:val="002D3829"/>
    <w:rsid w:val="002D3CAC"/>
    <w:rsid w:val="002D3DDF"/>
    <w:rsid w:val="002D3DFB"/>
    <w:rsid w:val="002D3E59"/>
    <w:rsid w:val="002D3E91"/>
    <w:rsid w:val="002D3F8C"/>
    <w:rsid w:val="002D4050"/>
    <w:rsid w:val="002D40CA"/>
    <w:rsid w:val="002D41F7"/>
    <w:rsid w:val="002D41FE"/>
    <w:rsid w:val="002D4322"/>
    <w:rsid w:val="002D437C"/>
    <w:rsid w:val="002D43C1"/>
    <w:rsid w:val="002D43CE"/>
    <w:rsid w:val="002D44D7"/>
    <w:rsid w:val="002D467E"/>
    <w:rsid w:val="002D4787"/>
    <w:rsid w:val="002D47E6"/>
    <w:rsid w:val="002D486C"/>
    <w:rsid w:val="002D4874"/>
    <w:rsid w:val="002D4897"/>
    <w:rsid w:val="002D48B6"/>
    <w:rsid w:val="002D4996"/>
    <w:rsid w:val="002D49BA"/>
    <w:rsid w:val="002D49EF"/>
    <w:rsid w:val="002D4CC0"/>
    <w:rsid w:val="002D4E46"/>
    <w:rsid w:val="002D4E56"/>
    <w:rsid w:val="002D4E5A"/>
    <w:rsid w:val="002D52C2"/>
    <w:rsid w:val="002D54B0"/>
    <w:rsid w:val="002D54F6"/>
    <w:rsid w:val="002D558E"/>
    <w:rsid w:val="002D55E2"/>
    <w:rsid w:val="002D564D"/>
    <w:rsid w:val="002D564E"/>
    <w:rsid w:val="002D5714"/>
    <w:rsid w:val="002D5775"/>
    <w:rsid w:val="002D57DF"/>
    <w:rsid w:val="002D5827"/>
    <w:rsid w:val="002D58B5"/>
    <w:rsid w:val="002D5A09"/>
    <w:rsid w:val="002D5AA3"/>
    <w:rsid w:val="002D5B87"/>
    <w:rsid w:val="002D5CFA"/>
    <w:rsid w:val="002D5DAB"/>
    <w:rsid w:val="002D5F79"/>
    <w:rsid w:val="002D603E"/>
    <w:rsid w:val="002D611D"/>
    <w:rsid w:val="002D61B3"/>
    <w:rsid w:val="002D6230"/>
    <w:rsid w:val="002D6287"/>
    <w:rsid w:val="002D630D"/>
    <w:rsid w:val="002D63CB"/>
    <w:rsid w:val="002D6677"/>
    <w:rsid w:val="002D6690"/>
    <w:rsid w:val="002D68EB"/>
    <w:rsid w:val="002D6A54"/>
    <w:rsid w:val="002D6CAB"/>
    <w:rsid w:val="002D6DA8"/>
    <w:rsid w:val="002D6FFD"/>
    <w:rsid w:val="002D7018"/>
    <w:rsid w:val="002D714A"/>
    <w:rsid w:val="002D723C"/>
    <w:rsid w:val="002D7281"/>
    <w:rsid w:val="002D73DC"/>
    <w:rsid w:val="002D73DF"/>
    <w:rsid w:val="002D74B6"/>
    <w:rsid w:val="002D7534"/>
    <w:rsid w:val="002D7675"/>
    <w:rsid w:val="002D772D"/>
    <w:rsid w:val="002D7734"/>
    <w:rsid w:val="002D77E2"/>
    <w:rsid w:val="002D78B2"/>
    <w:rsid w:val="002D79A0"/>
    <w:rsid w:val="002D7A46"/>
    <w:rsid w:val="002D7A7D"/>
    <w:rsid w:val="002D7AC7"/>
    <w:rsid w:val="002D7C40"/>
    <w:rsid w:val="002D7C49"/>
    <w:rsid w:val="002D7C6A"/>
    <w:rsid w:val="002D7D2B"/>
    <w:rsid w:val="002D7D6A"/>
    <w:rsid w:val="002D7DAD"/>
    <w:rsid w:val="002D7DB9"/>
    <w:rsid w:val="002D7DE0"/>
    <w:rsid w:val="002D7DE8"/>
    <w:rsid w:val="002D7E16"/>
    <w:rsid w:val="002D7E7C"/>
    <w:rsid w:val="002D7F85"/>
    <w:rsid w:val="002D7FEA"/>
    <w:rsid w:val="002E0099"/>
    <w:rsid w:val="002E0182"/>
    <w:rsid w:val="002E01E7"/>
    <w:rsid w:val="002E022C"/>
    <w:rsid w:val="002E02DE"/>
    <w:rsid w:val="002E03BF"/>
    <w:rsid w:val="002E055B"/>
    <w:rsid w:val="002E056D"/>
    <w:rsid w:val="002E0570"/>
    <w:rsid w:val="002E063B"/>
    <w:rsid w:val="002E06EC"/>
    <w:rsid w:val="002E0867"/>
    <w:rsid w:val="002E0949"/>
    <w:rsid w:val="002E0BC6"/>
    <w:rsid w:val="002E0C2F"/>
    <w:rsid w:val="002E0CE3"/>
    <w:rsid w:val="002E0EB2"/>
    <w:rsid w:val="002E0F76"/>
    <w:rsid w:val="002E10AA"/>
    <w:rsid w:val="002E11B3"/>
    <w:rsid w:val="002E1212"/>
    <w:rsid w:val="002E12F5"/>
    <w:rsid w:val="002E1315"/>
    <w:rsid w:val="002E144B"/>
    <w:rsid w:val="002E147F"/>
    <w:rsid w:val="002E1525"/>
    <w:rsid w:val="002E17EC"/>
    <w:rsid w:val="002E184A"/>
    <w:rsid w:val="002E1881"/>
    <w:rsid w:val="002E195E"/>
    <w:rsid w:val="002E19D4"/>
    <w:rsid w:val="002E1AFE"/>
    <w:rsid w:val="002E1B38"/>
    <w:rsid w:val="002E1C00"/>
    <w:rsid w:val="002E1CC5"/>
    <w:rsid w:val="002E1D72"/>
    <w:rsid w:val="002E1DE6"/>
    <w:rsid w:val="002E1F18"/>
    <w:rsid w:val="002E203E"/>
    <w:rsid w:val="002E2188"/>
    <w:rsid w:val="002E2275"/>
    <w:rsid w:val="002E228E"/>
    <w:rsid w:val="002E2318"/>
    <w:rsid w:val="002E232C"/>
    <w:rsid w:val="002E23C6"/>
    <w:rsid w:val="002E23D0"/>
    <w:rsid w:val="002E23F8"/>
    <w:rsid w:val="002E25F2"/>
    <w:rsid w:val="002E2635"/>
    <w:rsid w:val="002E26F9"/>
    <w:rsid w:val="002E27D1"/>
    <w:rsid w:val="002E28BA"/>
    <w:rsid w:val="002E28F2"/>
    <w:rsid w:val="002E2B11"/>
    <w:rsid w:val="002E2B99"/>
    <w:rsid w:val="002E2C04"/>
    <w:rsid w:val="002E2CB7"/>
    <w:rsid w:val="002E2D9D"/>
    <w:rsid w:val="002E2F84"/>
    <w:rsid w:val="002E2FE6"/>
    <w:rsid w:val="002E3183"/>
    <w:rsid w:val="002E31B6"/>
    <w:rsid w:val="002E329E"/>
    <w:rsid w:val="002E32BC"/>
    <w:rsid w:val="002E33B1"/>
    <w:rsid w:val="002E3460"/>
    <w:rsid w:val="002E3546"/>
    <w:rsid w:val="002E36E3"/>
    <w:rsid w:val="002E3738"/>
    <w:rsid w:val="002E38C0"/>
    <w:rsid w:val="002E3A16"/>
    <w:rsid w:val="002E3ACE"/>
    <w:rsid w:val="002E3B68"/>
    <w:rsid w:val="002E3C00"/>
    <w:rsid w:val="002E3C45"/>
    <w:rsid w:val="002E3CE7"/>
    <w:rsid w:val="002E3D1D"/>
    <w:rsid w:val="002E3D4B"/>
    <w:rsid w:val="002E3D82"/>
    <w:rsid w:val="002E3DED"/>
    <w:rsid w:val="002E3DEE"/>
    <w:rsid w:val="002E3E3A"/>
    <w:rsid w:val="002E3E3B"/>
    <w:rsid w:val="002E3F8F"/>
    <w:rsid w:val="002E3FBA"/>
    <w:rsid w:val="002E406C"/>
    <w:rsid w:val="002E4153"/>
    <w:rsid w:val="002E41DC"/>
    <w:rsid w:val="002E4283"/>
    <w:rsid w:val="002E4416"/>
    <w:rsid w:val="002E4459"/>
    <w:rsid w:val="002E44A1"/>
    <w:rsid w:val="002E44C4"/>
    <w:rsid w:val="002E44D0"/>
    <w:rsid w:val="002E456D"/>
    <w:rsid w:val="002E4582"/>
    <w:rsid w:val="002E4598"/>
    <w:rsid w:val="002E4718"/>
    <w:rsid w:val="002E479F"/>
    <w:rsid w:val="002E47DA"/>
    <w:rsid w:val="002E47E8"/>
    <w:rsid w:val="002E4812"/>
    <w:rsid w:val="002E4934"/>
    <w:rsid w:val="002E4938"/>
    <w:rsid w:val="002E4B30"/>
    <w:rsid w:val="002E4B83"/>
    <w:rsid w:val="002E4CA5"/>
    <w:rsid w:val="002E4DEC"/>
    <w:rsid w:val="002E4E38"/>
    <w:rsid w:val="002E4F2B"/>
    <w:rsid w:val="002E4F3A"/>
    <w:rsid w:val="002E4FC4"/>
    <w:rsid w:val="002E5080"/>
    <w:rsid w:val="002E508B"/>
    <w:rsid w:val="002E50DE"/>
    <w:rsid w:val="002E51F3"/>
    <w:rsid w:val="002E523A"/>
    <w:rsid w:val="002E5260"/>
    <w:rsid w:val="002E5297"/>
    <w:rsid w:val="002E53FA"/>
    <w:rsid w:val="002E5581"/>
    <w:rsid w:val="002E55FB"/>
    <w:rsid w:val="002E5683"/>
    <w:rsid w:val="002E56BA"/>
    <w:rsid w:val="002E5778"/>
    <w:rsid w:val="002E57BA"/>
    <w:rsid w:val="002E57BB"/>
    <w:rsid w:val="002E5815"/>
    <w:rsid w:val="002E582B"/>
    <w:rsid w:val="002E58F4"/>
    <w:rsid w:val="002E58F7"/>
    <w:rsid w:val="002E5B2D"/>
    <w:rsid w:val="002E5B5D"/>
    <w:rsid w:val="002E5CAB"/>
    <w:rsid w:val="002E5E2E"/>
    <w:rsid w:val="002E5ED9"/>
    <w:rsid w:val="002E5EF3"/>
    <w:rsid w:val="002E5F21"/>
    <w:rsid w:val="002E5FC1"/>
    <w:rsid w:val="002E609D"/>
    <w:rsid w:val="002E6126"/>
    <w:rsid w:val="002E613A"/>
    <w:rsid w:val="002E6221"/>
    <w:rsid w:val="002E6305"/>
    <w:rsid w:val="002E6555"/>
    <w:rsid w:val="002E65E2"/>
    <w:rsid w:val="002E662F"/>
    <w:rsid w:val="002E66A0"/>
    <w:rsid w:val="002E66A6"/>
    <w:rsid w:val="002E67BC"/>
    <w:rsid w:val="002E6941"/>
    <w:rsid w:val="002E69EC"/>
    <w:rsid w:val="002E6AAA"/>
    <w:rsid w:val="002E6ACD"/>
    <w:rsid w:val="002E6BB1"/>
    <w:rsid w:val="002E6BFB"/>
    <w:rsid w:val="002E6D90"/>
    <w:rsid w:val="002E6D99"/>
    <w:rsid w:val="002E6DA1"/>
    <w:rsid w:val="002E6FEA"/>
    <w:rsid w:val="002E7011"/>
    <w:rsid w:val="002E7099"/>
    <w:rsid w:val="002E7157"/>
    <w:rsid w:val="002E7380"/>
    <w:rsid w:val="002E738B"/>
    <w:rsid w:val="002E7681"/>
    <w:rsid w:val="002E76B1"/>
    <w:rsid w:val="002E78BF"/>
    <w:rsid w:val="002E794C"/>
    <w:rsid w:val="002E7ADE"/>
    <w:rsid w:val="002E7BF4"/>
    <w:rsid w:val="002E7C8E"/>
    <w:rsid w:val="002E7DB9"/>
    <w:rsid w:val="002E7E22"/>
    <w:rsid w:val="002E7E29"/>
    <w:rsid w:val="002E7F46"/>
    <w:rsid w:val="002F00A9"/>
    <w:rsid w:val="002F00AE"/>
    <w:rsid w:val="002F032D"/>
    <w:rsid w:val="002F0492"/>
    <w:rsid w:val="002F0494"/>
    <w:rsid w:val="002F0605"/>
    <w:rsid w:val="002F067B"/>
    <w:rsid w:val="002F075B"/>
    <w:rsid w:val="002F0767"/>
    <w:rsid w:val="002F07F8"/>
    <w:rsid w:val="002F0AB2"/>
    <w:rsid w:val="002F0B66"/>
    <w:rsid w:val="002F0B7C"/>
    <w:rsid w:val="002F0B9F"/>
    <w:rsid w:val="002F0C1A"/>
    <w:rsid w:val="002F0D46"/>
    <w:rsid w:val="002F0D81"/>
    <w:rsid w:val="002F0ECE"/>
    <w:rsid w:val="002F0F3B"/>
    <w:rsid w:val="002F1049"/>
    <w:rsid w:val="002F1127"/>
    <w:rsid w:val="002F1253"/>
    <w:rsid w:val="002F1261"/>
    <w:rsid w:val="002F131C"/>
    <w:rsid w:val="002F14E5"/>
    <w:rsid w:val="002F1732"/>
    <w:rsid w:val="002F1733"/>
    <w:rsid w:val="002F17ED"/>
    <w:rsid w:val="002F1841"/>
    <w:rsid w:val="002F1994"/>
    <w:rsid w:val="002F199D"/>
    <w:rsid w:val="002F19CE"/>
    <w:rsid w:val="002F1A51"/>
    <w:rsid w:val="002F1ACE"/>
    <w:rsid w:val="002F1AEB"/>
    <w:rsid w:val="002F1B43"/>
    <w:rsid w:val="002F1B6C"/>
    <w:rsid w:val="002F1C01"/>
    <w:rsid w:val="002F1DE9"/>
    <w:rsid w:val="002F1E92"/>
    <w:rsid w:val="002F1F04"/>
    <w:rsid w:val="002F1F37"/>
    <w:rsid w:val="002F1F77"/>
    <w:rsid w:val="002F1FAA"/>
    <w:rsid w:val="002F207A"/>
    <w:rsid w:val="002F211B"/>
    <w:rsid w:val="002F218D"/>
    <w:rsid w:val="002F21D1"/>
    <w:rsid w:val="002F2353"/>
    <w:rsid w:val="002F2367"/>
    <w:rsid w:val="002F236A"/>
    <w:rsid w:val="002F242C"/>
    <w:rsid w:val="002F2456"/>
    <w:rsid w:val="002F258E"/>
    <w:rsid w:val="002F2656"/>
    <w:rsid w:val="002F26E2"/>
    <w:rsid w:val="002F2771"/>
    <w:rsid w:val="002F2794"/>
    <w:rsid w:val="002F2857"/>
    <w:rsid w:val="002F28C4"/>
    <w:rsid w:val="002F2991"/>
    <w:rsid w:val="002F29B7"/>
    <w:rsid w:val="002F2A63"/>
    <w:rsid w:val="002F2AC4"/>
    <w:rsid w:val="002F2AE1"/>
    <w:rsid w:val="002F2D04"/>
    <w:rsid w:val="002F2E00"/>
    <w:rsid w:val="002F2E58"/>
    <w:rsid w:val="002F2EDC"/>
    <w:rsid w:val="002F2F1C"/>
    <w:rsid w:val="002F2F3F"/>
    <w:rsid w:val="002F2F79"/>
    <w:rsid w:val="002F2FAE"/>
    <w:rsid w:val="002F302F"/>
    <w:rsid w:val="002F30E9"/>
    <w:rsid w:val="002F30EF"/>
    <w:rsid w:val="002F3155"/>
    <w:rsid w:val="002F32C2"/>
    <w:rsid w:val="002F32E1"/>
    <w:rsid w:val="002F331D"/>
    <w:rsid w:val="002F3343"/>
    <w:rsid w:val="002F33FA"/>
    <w:rsid w:val="002F3411"/>
    <w:rsid w:val="002F35D1"/>
    <w:rsid w:val="002F3698"/>
    <w:rsid w:val="002F36C0"/>
    <w:rsid w:val="002F3718"/>
    <w:rsid w:val="002F37BF"/>
    <w:rsid w:val="002F3845"/>
    <w:rsid w:val="002F389C"/>
    <w:rsid w:val="002F390F"/>
    <w:rsid w:val="002F3998"/>
    <w:rsid w:val="002F399B"/>
    <w:rsid w:val="002F3A44"/>
    <w:rsid w:val="002F3AF7"/>
    <w:rsid w:val="002F3BBD"/>
    <w:rsid w:val="002F3BE6"/>
    <w:rsid w:val="002F3EB7"/>
    <w:rsid w:val="002F3F35"/>
    <w:rsid w:val="002F3F8A"/>
    <w:rsid w:val="002F40A8"/>
    <w:rsid w:val="002F40FE"/>
    <w:rsid w:val="002F42FB"/>
    <w:rsid w:val="002F446C"/>
    <w:rsid w:val="002F467E"/>
    <w:rsid w:val="002F46EF"/>
    <w:rsid w:val="002F4B1D"/>
    <w:rsid w:val="002F4BCE"/>
    <w:rsid w:val="002F4C69"/>
    <w:rsid w:val="002F4C73"/>
    <w:rsid w:val="002F4CBA"/>
    <w:rsid w:val="002F4CE4"/>
    <w:rsid w:val="002F4D80"/>
    <w:rsid w:val="002F4F1D"/>
    <w:rsid w:val="002F50B9"/>
    <w:rsid w:val="002F51F0"/>
    <w:rsid w:val="002F520E"/>
    <w:rsid w:val="002F5291"/>
    <w:rsid w:val="002F5369"/>
    <w:rsid w:val="002F53A4"/>
    <w:rsid w:val="002F544A"/>
    <w:rsid w:val="002F5462"/>
    <w:rsid w:val="002F569F"/>
    <w:rsid w:val="002F5775"/>
    <w:rsid w:val="002F57AA"/>
    <w:rsid w:val="002F5893"/>
    <w:rsid w:val="002F5962"/>
    <w:rsid w:val="002F5B05"/>
    <w:rsid w:val="002F5BA2"/>
    <w:rsid w:val="002F5BBA"/>
    <w:rsid w:val="002F5C8B"/>
    <w:rsid w:val="002F5D1E"/>
    <w:rsid w:val="002F5E55"/>
    <w:rsid w:val="002F5FC9"/>
    <w:rsid w:val="002F612A"/>
    <w:rsid w:val="002F622C"/>
    <w:rsid w:val="002F6386"/>
    <w:rsid w:val="002F642F"/>
    <w:rsid w:val="002F649A"/>
    <w:rsid w:val="002F64A2"/>
    <w:rsid w:val="002F661D"/>
    <w:rsid w:val="002F671E"/>
    <w:rsid w:val="002F6722"/>
    <w:rsid w:val="002F6908"/>
    <w:rsid w:val="002F6986"/>
    <w:rsid w:val="002F69A5"/>
    <w:rsid w:val="002F6E3C"/>
    <w:rsid w:val="002F701C"/>
    <w:rsid w:val="002F7153"/>
    <w:rsid w:val="002F7193"/>
    <w:rsid w:val="002F7406"/>
    <w:rsid w:val="002F7435"/>
    <w:rsid w:val="002F744F"/>
    <w:rsid w:val="002F76A8"/>
    <w:rsid w:val="002F7AD7"/>
    <w:rsid w:val="002F7BAF"/>
    <w:rsid w:val="002F7BC9"/>
    <w:rsid w:val="002F7CAE"/>
    <w:rsid w:val="002F7E14"/>
    <w:rsid w:val="002F7EB5"/>
    <w:rsid w:val="002F7FA9"/>
    <w:rsid w:val="00300108"/>
    <w:rsid w:val="003002D5"/>
    <w:rsid w:val="003002EE"/>
    <w:rsid w:val="00300459"/>
    <w:rsid w:val="00300580"/>
    <w:rsid w:val="0030074C"/>
    <w:rsid w:val="0030077C"/>
    <w:rsid w:val="00300789"/>
    <w:rsid w:val="0030085E"/>
    <w:rsid w:val="00300884"/>
    <w:rsid w:val="00300A1D"/>
    <w:rsid w:val="00300A62"/>
    <w:rsid w:val="00300AC6"/>
    <w:rsid w:val="00300B25"/>
    <w:rsid w:val="00300C75"/>
    <w:rsid w:val="00300CED"/>
    <w:rsid w:val="00300CFE"/>
    <w:rsid w:val="00300DBE"/>
    <w:rsid w:val="00300DF4"/>
    <w:rsid w:val="00300F11"/>
    <w:rsid w:val="00300FF2"/>
    <w:rsid w:val="0030113E"/>
    <w:rsid w:val="0030117F"/>
    <w:rsid w:val="003011BF"/>
    <w:rsid w:val="003011D8"/>
    <w:rsid w:val="00301242"/>
    <w:rsid w:val="00301260"/>
    <w:rsid w:val="00301325"/>
    <w:rsid w:val="003013DF"/>
    <w:rsid w:val="00301444"/>
    <w:rsid w:val="003015D5"/>
    <w:rsid w:val="00301743"/>
    <w:rsid w:val="0030187E"/>
    <w:rsid w:val="00301895"/>
    <w:rsid w:val="003018DE"/>
    <w:rsid w:val="00301954"/>
    <w:rsid w:val="00301A09"/>
    <w:rsid w:val="00301B94"/>
    <w:rsid w:val="00301B98"/>
    <w:rsid w:val="00301D14"/>
    <w:rsid w:val="00301D8F"/>
    <w:rsid w:val="00301EBD"/>
    <w:rsid w:val="00301F02"/>
    <w:rsid w:val="0030202B"/>
    <w:rsid w:val="00302194"/>
    <w:rsid w:val="003022DA"/>
    <w:rsid w:val="003023D9"/>
    <w:rsid w:val="0030241A"/>
    <w:rsid w:val="003025EF"/>
    <w:rsid w:val="00302803"/>
    <w:rsid w:val="0030287C"/>
    <w:rsid w:val="003028D9"/>
    <w:rsid w:val="00302948"/>
    <w:rsid w:val="00302952"/>
    <w:rsid w:val="003029FA"/>
    <w:rsid w:val="00302B46"/>
    <w:rsid w:val="00302E6B"/>
    <w:rsid w:val="00302E92"/>
    <w:rsid w:val="00302EE1"/>
    <w:rsid w:val="00302F23"/>
    <w:rsid w:val="00302F78"/>
    <w:rsid w:val="003031FD"/>
    <w:rsid w:val="0030321B"/>
    <w:rsid w:val="00303354"/>
    <w:rsid w:val="00303390"/>
    <w:rsid w:val="00303409"/>
    <w:rsid w:val="003035ED"/>
    <w:rsid w:val="0030361E"/>
    <w:rsid w:val="00303813"/>
    <w:rsid w:val="00303847"/>
    <w:rsid w:val="0030385B"/>
    <w:rsid w:val="00303931"/>
    <w:rsid w:val="003039D0"/>
    <w:rsid w:val="00303B67"/>
    <w:rsid w:val="00303B96"/>
    <w:rsid w:val="00303BFB"/>
    <w:rsid w:val="00303DBF"/>
    <w:rsid w:val="00303F7B"/>
    <w:rsid w:val="00303FB1"/>
    <w:rsid w:val="00303FFA"/>
    <w:rsid w:val="0030403C"/>
    <w:rsid w:val="003040F1"/>
    <w:rsid w:val="003041D0"/>
    <w:rsid w:val="003043FF"/>
    <w:rsid w:val="00304483"/>
    <w:rsid w:val="003045C1"/>
    <w:rsid w:val="00304654"/>
    <w:rsid w:val="00304703"/>
    <w:rsid w:val="003049E0"/>
    <w:rsid w:val="00304C99"/>
    <w:rsid w:val="00304D84"/>
    <w:rsid w:val="00304EA5"/>
    <w:rsid w:val="00304F0A"/>
    <w:rsid w:val="003050FB"/>
    <w:rsid w:val="003051A9"/>
    <w:rsid w:val="00305259"/>
    <w:rsid w:val="00305393"/>
    <w:rsid w:val="003054A9"/>
    <w:rsid w:val="003054AA"/>
    <w:rsid w:val="00305572"/>
    <w:rsid w:val="00305599"/>
    <w:rsid w:val="0030567D"/>
    <w:rsid w:val="00305750"/>
    <w:rsid w:val="003057DB"/>
    <w:rsid w:val="00305880"/>
    <w:rsid w:val="0030590E"/>
    <w:rsid w:val="00305916"/>
    <w:rsid w:val="0030593B"/>
    <w:rsid w:val="00305C23"/>
    <w:rsid w:val="00305E4C"/>
    <w:rsid w:val="00305E5E"/>
    <w:rsid w:val="003060C5"/>
    <w:rsid w:val="0030610B"/>
    <w:rsid w:val="0030616F"/>
    <w:rsid w:val="0030621B"/>
    <w:rsid w:val="003062EC"/>
    <w:rsid w:val="00306321"/>
    <w:rsid w:val="00306560"/>
    <w:rsid w:val="003065AF"/>
    <w:rsid w:val="003065E9"/>
    <w:rsid w:val="00306625"/>
    <w:rsid w:val="00306789"/>
    <w:rsid w:val="003068E2"/>
    <w:rsid w:val="003069D5"/>
    <w:rsid w:val="00306A95"/>
    <w:rsid w:val="00306AD1"/>
    <w:rsid w:val="00306BE7"/>
    <w:rsid w:val="00306CFD"/>
    <w:rsid w:val="00306CFF"/>
    <w:rsid w:val="00306D37"/>
    <w:rsid w:val="00306E9C"/>
    <w:rsid w:val="00306EBF"/>
    <w:rsid w:val="00306EEB"/>
    <w:rsid w:val="00306F35"/>
    <w:rsid w:val="003071A2"/>
    <w:rsid w:val="003072B6"/>
    <w:rsid w:val="00307329"/>
    <w:rsid w:val="003073BA"/>
    <w:rsid w:val="0030749A"/>
    <w:rsid w:val="003074C8"/>
    <w:rsid w:val="0030752A"/>
    <w:rsid w:val="00307560"/>
    <w:rsid w:val="0030759C"/>
    <w:rsid w:val="00307608"/>
    <w:rsid w:val="00307C12"/>
    <w:rsid w:val="00307DF1"/>
    <w:rsid w:val="00307E83"/>
    <w:rsid w:val="00307F6E"/>
    <w:rsid w:val="00307F9B"/>
    <w:rsid w:val="00307FB1"/>
    <w:rsid w:val="00307FFE"/>
    <w:rsid w:val="00310059"/>
    <w:rsid w:val="0031013C"/>
    <w:rsid w:val="00310179"/>
    <w:rsid w:val="00310211"/>
    <w:rsid w:val="0031025A"/>
    <w:rsid w:val="003102E7"/>
    <w:rsid w:val="00310364"/>
    <w:rsid w:val="0031051C"/>
    <w:rsid w:val="00310591"/>
    <w:rsid w:val="003105DA"/>
    <w:rsid w:val="003105EB"/>
    <w:rsid w:val="003107DA"/>
    <w:rsid w:val="0031090F"/>
    <w:rsid w:val="00310955"/>
    <w:rsid w:val="00310A1F"/>
    <w:rsid w:val="00310BAB"/>
    <w:rsid w:val="00310C75"/>
    <w:rsid w:val="00310E3C"/>
    <w:rsid w:val="00310E61"/>
    <w:rsid w:val="00310F03"/>
    <w:rsid w:val="00311047"/>
    <w:rsid w:val="0031105C"/>
    <w:rsid w:val="00311122"/>
    <w:rsid w:val="003111C1"/>
    <w:rsid w:val="00311252"/>
    <w:rsid w:val="0031125E"/>
    <w:rsid w:val="00311354"/>
    <w:rsid w:val="003113A1"/>
    <w:rsid w:val="0031150C"/>
    <w:rsid w:val="00311543"/>
    <w:rsid w:val="00311598"/>
    <w:rsid w:val="00311639"/>
    <w:rsid w:val="00311801"/>
    <w:rsid w:val="00311884"/>
    <w:rsid w:val="00311935"/>
    <w:rsid w:val="00311A64"/>
    <w:rsid w:val="00311B0C"/>
    <w:rsid w:val="00311B3A"/>
    <w:rsid w:val="00311BFC"/>
    <w:rsid w:val="00311D4F"/>
    <w:rsid w:val="00311EAC"/>
    <w:rsid w:val="00311F1B"/>
    <w:rsid w:val="00312012"/>
    <w:rsid w:val="00312107"/>
    <w:rsid w:val="0031213A"/>
    <w:rsid w:val="0031216B"/>
    <w:rsid w:val="003121C1"/>
    <w:rsid w:val="003121C7"/>
    <w:rsid w:val="0031221C"/>
    <w:rsid w:val="00312344"/>
    <w:rsid w:val="0031235E"/>
    <w:rsid w:val="00312369"/>
    <w:rsid w:val="00312583"/>
    <w:rsid w:val="00312592"/>
    <w:rsid w:val="003125FD"/>
    <w:rsid w:val="00312759"/>
    <w:rsid w:val="0031277C"/>
    <w:rsid w:val="0031286E"/>
    <w:rsid w:val="003128B8"/>
    <w:rsid w:val="003128D5"/>
    <w:rsid w:val="00312A72"/>
    <w:rsid w:val="00312ABD"/>
    <w:rsid w:val="00312AE1"/>
    <w:rsid w:val="00312AF2"/>
    <w:rsid w:val="00312B95"/>
    <w:rsid w:val="00312E60"/>
    <w:rsid w:val="003130B8"/>
    <w:rsid w:val="00313135"/>
    <w:rsid w:val="003131A0"/>
    <w:rsid w:val="00313226"/>
    <w:rsid w:val="0031344A"/>
    <w:rsid w:val="00313471"/>
    <w:rsid w:val="0031347B"/>
    <w:rsid w:val="003135F4"/>
    <w:rsid w:val="003135FF"/>
    <w:rsid w:val="00313720"/>
    <w:rsid w:val="00313AEA"/>
    <w:rsid w:val="00313C26"/>
    <w:rsid w:val="00313DA0"/>
    <w:rsid w:val="0031402C"/>
    <w:rsid w:val="00314125"/>
    <w:rsid w:val="0031441D"/>
    <w:rsid w:val="0031451E"/>
    <w:rsid w:val="0031462A"/>
    <w:rsid w:val="003146A4"/>
    <w:rsid w:val="003146D5"/>
    <w:rsid w:val="00314710"/>
    <w:rsid w:val="0031473D"/>
    <w:rsid w:val="00314835"/>
    <w:rsid w:val="003149AF"/>
    <w:rsid w:val="00314A0D"/>
    <w:rsid w:val="00314B94"/>
    <w:rsid w:val="00314BBF"/>
    <w:rsid w:val="00314C33"/>
    <w:rsid w:val="00314C87"/>
    <w:rsid w:val="00314F06"/>
    <w:rsid w:val="00314F34"/>
    <w:rsid w:val="00314F40"/>
    <w:rsid w:val="00314FB8"/>
    <w:rsid w:val="00315015"/>
    <w:rsid w:val="00315079"/>
    <w:rsid w:val="00315330"/>
    <w:rsid w:val="00315429"/>
    <w:rsid w:val="003154F3"/>
    <w:rsid w:val="00315504"/>
    <w:rsid w:val="00315698"/>
    <w:rsid w:val="00315704"/>
    <w:rsid w:val="003157B1"/>
    <w:rsid w:val="003157DF"/>
    <w:rsid w:val="00315873"/>
    <w:rsid w:val="003159AA"/>
    <w:rsid w:val="003159B2"/>
    <w:rsid w:val="00315A3E"/>
    <w:rsid w:val="00315ABA"/>
    <w:rsid w:val="00315C25"/>
    <w:rsid w:val="003161AC"/>
    <w:rsid w:val="0031629D"/>
    <w:rsid w:val="003163C0"/>
    <w:rsid w:val="00316444"/>
    <w:rsid w:val="00316638"/>
    <w:rsid w:val="003166AE"/>
    <w:rsid w:val="003167EA"/>
    <w:rsid w:val="00316B2B"/>
    <w:rsid w:val="00316B7A"/>
    <w:rsid w:val="00316CFD"/>
    <w:rsid w:val="00316FDB"/>
    <w:rsid w:val="00317093"/>
    <w:rsid w:val="00317169"/>
    <w:rsid w:val="0031718D"/>
    <w:rsid w:val="00317224"/>
    <w:rsid w:val="00317265"/>
    <w:rsid w:val="003173FB"/>
    <w:rsid w:val="003174A9"/>
    <w:rsid w:val="00317552"/>
    <w:rsid w:val="00317782"/>
    <w:rsid w:val="0031784A"/>
    <w:rsid w:val="00317859"/>
    <w:rsid w:val="003179AC"/>
    <w:rsid w:val="00317CD8"/>
    <w:rsid w:val="00317E68"/>
    <w:rsid w:val="0032012C"/>
    <w:rsid w:val="003201D3"/>
    <w:rsid w:val="003202B8"/>
    <w:rsid w:val="00320333"/>
    <w:rsid w:val="003203AD"/>
    <w:rsid w:val="003203C3"/>
    <w:rsid w:val="00320425"/>
    <w:rsid w:val="003204C7"/>
    <w:rsid w:val="00320500"/>
    <w:rsid w:val="003205F7"/>
    <w:rsid w:val="00320752"/>
    <w:rsid w:val="0032081E"/>
    <w:rsid w:val="003208CB"/>
    <w:rsid w:val="0032099A"/>
    <w:rsid w:val="00320A4B"/>
    <w:rsid w:val="00320A71"/>
    <w:rsid w:val="00320B53"/>
    <w:rsid w:val="00320B69"/>
    <w:rsid w:val="00320B73"/>
    <w:rsid w:val="00320C09"/>
    <w:rsid w:val="00320C11"/>
    <w:rsid w:val="00320DC2"/>
    <w:rsid w:val="00320DDD"/>
    <w:rsid w:val="00320E93"/>
    <w:rsid w:val="00320F22"/>
    <w:rsid w:val="0032100C"/>
    <w:rsid w:val="003212CE"/>
    <w:rsid w:val="003212FF"/>
    <w:rsid w:val="00321302"/>
    <w:rsid w:val="0032134B"/>
    <w:rsid w:val="00321398"/>
    <w:rsid w:val="00321453"/>
    <w:rsid w:val="003214DC"/>
    <w:rsid w:val="003214F2"/>
    <w:rsid w:val="00321536"/>
    <w:rsid w:val="00321579"/>
    <w:rsid w:val="00321626"/>
    <w:rsid w:val="00321757"/>
    <w:rsid w:val="0032195D"/>
    <w:rsid w:val="0032197F"/>
    <w:rsid w:val="00321A00"/>
    <w:rsid w:val="00321A21"/>
    <w:rsid w:val="00321A7D"/>
    <w:rsid w:val="00321ABB"/>
    <w:rsid w:val="00321B54"/>
    <w:rsid w:val="00321C5B"/>
    <w:rsid w:val="00321C7E"/>
    <w:rsid w:val="00321D7E"/>
    <w:rsid w:val="00321DF9"/>
    <w:rsid w:val="00321FAD"/>
    <w:rsid w:val="003221E2"/>
    <w:rsid w:val="003221EA"/>
    <w:rsid w:val="00322253"/>
    <w:rsid w:val="0032238B"/>
    <w:rsid w:val="0032249A"/>
    <w:rsid w:val="003224A7"/>
    <w:rsid w:val="003224D6"/>
    <w:rsid w:val="00322508"/>
    <w:rsid w:val="003226DB"/>
    <w:rsid w:val="00322714"/>
    <w:rsid w:val="00322833"/>
    <w:rsid w:val="00322925"/>
    <w:rsid w:val="00322A24"/>
    <w:rsid w:val="00322A6F"/>
    <w:rsid w:val="00322A76"/>
    <w:rsid w:val="00322A84"/>
    <w:rsid w:val="00322B27"/>
    <w:rsid w:val="00322CB9"/>
    <w:rsid w:val="00322F2D"/>
    <w:rsid w:val="00322FAD"/>
    <w:rsid w:val="00322FC0"/>
    <w:rsid w:val="0032303A"/>
    <w:rsid w:val="00323397"/>
    <w:rsid w:val="00323431"/>
    <w:rsid w:val="003235AA"/>
    <w:rsid w:val="003235F8"/>
    <w:rsid w:val="0032365B"/>
    <w:rsid w:val="00323734"/>
    <w:rsid w:val="0032373B"/>
    <w:rsid w:val="00323793"/>
    <w:rsid w:val="003237B5"/>
    <w:rsid w:val="00323921"/>
    <w:rsid w:val="003239E5"/>
    <w:rsid w:val="00323A4E"/>
    <w:rsid w:val="00323A5D"/>
    <w:rsid w:val="00323AA8"/>
    <w:rsid w:val="00323B39"/>
    <w:rsid w:val="00323B49"/>
    <w:rsid w:val="00323BA9"/>
    <w:rsid w:val="00323C54"/>
    <w:rsid w:val="00323DAA"/>
    <w:rsid w:val="00323DE5"/>
    <w:rsid w:val="00324031"/>
    <w:rsid w:val="0032406C"/>
    <w:rsid w:val="003240F6"/>
    <w:rsid w:val="00324127"/>
    <w:rsid w:val="00324136"/>
    <w:rsid w:val="0032453F"/>
    <w:rsid w:val="003245C9"/>
    <w:rsid w:val="00324619"/>
    <w:rsid w:val="00324638"/>
    <w:rsid w:val="00324765"/>
    <w:rsid w:val="00324793"/>
    <w:rsid w:val="0032487F"/>
    <w:rsid w:val="003248CB"/>
    <w:rsid w:val="003248E2"/>
    <w:rsid w:val="003248F1"/>
    <w:rsid w:val="00324923"/>
    <w:rsid w:val="00324C19"/>
    <w:rsid w:val="00324E94"/>
    <w:rsid w:val="0032515E"/>
    <w:rsid w:val="003251D8"/>
    <w:rsid w:val="003251FA"/>
    <w:rsid w:val="003252D2"/>
    <w:rsid w:val="003253FE"/>
    <w:rsid w:val="0032555A"/>
    <w:rsid w:val="00325603"/>
    <w:rsid w:val="0032567D"/>
    <w:rsid w:val="00325684"/>
    <w:rsid w:val="0032568E"/>
    <w:rsid w:val="0032599E"/>
    <w:rsid w:val="00325AAF"/>
    <w:rsid w:val="00325C4C"/>
    <w:rsid w:val="00325C9F"/>
    <w:rsid w:val="00325ED0"/>
    <w:rsid w:val="00325F04"/>
    <w:rsid w:val="00325FD5"/>
    <w:rsid w:val="00326079"/>
    <w:rsid w:val="00326184"/>
    <w:rsid w:val="003261E6"/>
    <w:rsid w:val="00326262"/>
    <w:rsid w:val="00326267"/>
    <w:rsid w:val="00326378"/>
    <w:rsid w:val="003263BD"/>
    <w:rsid w:val="003263D0"/>
    <w:rsid w:val="0032655C"/>
    <w:rsid w:val="003268D9"/>
    <w:rsid w:val="00326A97"/>
    <w:rsid w:val="00326D01"/>
    <w:rsid w:val="00326D82"/>
    <w:rsid w:val="00326DA7"/>
    <w:rsid w:val="00326EC0"/>
    <w:rsid w:val="00326F7A"/>
    <w:rsid w:val="00326F8E"/>
    <w:rsid w:val="003271E7"/>
    <w:rsid w:val="00327363"/>
    <w:rsid w:val="003273CB"/>
    <w:rsid w:val="0032744A"/>
    <w:rsid w:val="003274E4"/>
    <w:rsid w:val="0032755E"/>
    <w:rsid w:val="00327651"/>
    <w:rsid w:val="003277B8"/>
    <w:rsid w:val="003277CA"/>
    <w:rsid w:val="00327921"/>
    <w:rsid w:val="00327A59"/>
    <w:rsid w:val="00327B89"/>
    <w:rsid w:val="00327C59"/>
    <w:rsid w:val="00327D6C"/>
    <w:rsid w:val="00327E0F"/>
    <w:rsid w:val="00327E5D"/>
    <w:rsid w:val="00327E71"/>
    <w:rsid w:val="00327E8A"/>
    <w:rsid w:val="00327F9C"/>
    <w:rsid w:val="003303CA"/>
    <w:rsid w:val="00330438"/>
    <w:rsid w:val="0033045D"/>
    <w:rsid w:val="0033053A"/>
    <w:rsid w:val="00330571"/>
    <w:rsid w:val="00330694"/>
    <w:rsid w:val="00330A04"/>
    <w:rsid w:val="00330AE8"/>
    <w:rsid w:val="00330B41"/>
    <w:rsid w:val="00330B49"/>
    <w:rsid w:val="00330B73"/>
    <w:rsid w:val="00330CD0"/>
    <w:rsid w:val="00330D5A"/>
    <w:rsid w:val="00330F1F"/>
    <w:rsid w:val="00330F25"/>
    <w:rsid w:val="00330FAF"/>
    <w:rsid w:val="00330FDA"/>
    <w:rsid w:val="0033111F"/>
    <w:rsid w:val="003312D2"/>
    <w:rsid w:val="0033149E"/>
    <w:rsid w:val="0033154B"/>
    <w:rsid w:val="0033179C"/>
    <w:rsid w:val="003317E2"/>
    <w:rsid w:val="003317FC"/>
    <w:rsid w:val="0033182C"/>
    <w:rsid w:val="003319E3"/>
    <w:rsid w:val="00331A4F"/>
    <w:rsid w:val="00331A6B"/>
    <w:rsid w:val="00331AC0"/>
    <w:rsid w:val="00331BD1"/>
    <w:rsid w:val="00331C20"/>
    <w:rsid w:val="00331C91"/>
    <w:rsid w:val="00331CCB"/>
    <w:rsid w:val="00331D04"/>
    <w:rsid w:val="00331D1F"/>
    <w:rsid w:val="00331E26"/>
    <w:rsid w:val="00331EA0"/>
    <w:rsid w:val="00331EAA"/>
    <w:rsid w:val="00331F07"/>
    <w:rsid w:val="00331F3B"/>
    <w:rsid w:val="00331FFF"/>
    <w:rsid w:val="003321CC"/>
    <w:rsid w:val="00332327"/>
    <w:rsid w:val="00332338"/>
    <w:rsid w:val="003323DC"/>
    <w:rsid w:val="003323F6"/>
    <w:rsid w:val="00332444"/>
    <w:rsid w:val="003324BE"/>
    <w:rsid w:val="0033252F"/>
    <w:rsid w:val="0033260F"/>
    <w:rsid w:val="0033262F"/>
    <w:rsid w:val="003328E0"/>
    <w:rsid w:val="00332950"/>
    <w:rsid w:val="0033296F"/>
    <w:rsid w:val="003329C7"/>
    <w:rsid w:val="00332A15"/>
    <w:rsid w:val="00332ADC"/>
    <w:rsid w:val="00332B0A"/>
    <w:rsid w:val="00332BBE"/>
    <w:rsid w:val="00332C1C"/>
    <w:rsid w:val="00332C6C"/>
    <w:rsid w:val="00332D37"/>
    <w:rsid w:val="00332E74"/>
    <w:rsid w:val="00332F72"/>
    <w:rsid w:val="00333109"/>
    <w:rsid w:val="00333147"/>
    <w:rsid w:val="00333286"/>
    <w:rsid w:val="003333E3"/>
    <w:rsid w:val="0033340D"/>
    <w:rsid w:val="00333421"/>
    <w:rsid w:val="00333620"/>
    <w:rsid w:val="003338B2"/>
    <w:rsid w:val="003338D4"/>
    <w:rsid w:val="00333989"/>
    <w:rsid w:val="003339A2"/>
    <w:rsid w:val="00333A59"/>
    <w:rsid w:val="00333B91"/>
    <w:rsid w:val="00333CCC"/>
    <w:rsid w:val="00333EB4"/>
    <w:rsid w:val="00333FC9"/>
    <w:rsid w:val="00334046"/>
    <w:rsid w:val="00334073"/>
    <w:rsid w:val="003342C2"/>
    <w:rsid w:val="003342C4"/>
    <w:rsid w:val="00334346"/>
    <w:rsid w:val="003343D7"/>
    <w:rsid w:val="00334525"/>
    <w:rsid w:val="003345AB"/>
    <w:rsid w:val="00334615"/>
    <w:rsid w:val="003346EE"/>
    <w:rsid w:val="00334751"/>
    <w:rsid w:val="003348C5"/>
    <w:rsid w:val="003348C9"/>
    <w:rsid w:val="003349BD"/>
    <w:rsid w:val="00334AD5"/>
    <w:rsid w:val="00334C69"/>
    <w:rsid w:val="00334C74"/>
    <w:rsid w:val="00334C78"/>
    <w:rsid w:val="00334CEC"/>
    <w:rsid w:val="00334D34"/>
    <w:rsid w:val="00334E11"/>
    <w:rsid w:val="00334E8F"/>
    <w:rsid w:val="00334F9C"/>
    <w:rsid w:val="003350C0"/>
    <w:rsid w:val="003350E0"/>
    <w:rsid w:val="00335120"/>
    <w:rsid w:val="00335194"/>
    <w:rsid w:val="003351F0"/>
    <w:rsid w:val="0033520E"/>
    <w:rsid w:val="0033526A"/>
    <w:rsid w:val="00335283"/>
    <w:rsid w:val="00335368"/>
    <w:rsid w:val="003354BE"/>
    <w:rsid w:val="003354C5"/>
    <w:rsid w:val="003357E1"/>
    <w:rsid w:val="00335896"/>
    <w:rsid w:val="00335975"/>
    <w:rsid w:val="0033599E"/>
    <w:rsid w:val="00335C8D"/>
    <w:rsid w:val="00335D68"/>
    <w:rsid w:val="00335ECC"/>
    <w:rsid w:val="00335EE4"/>
    <w:rsid w:val="00335F0A"/>
    <w:rsid w:val="0033600A"/>
    <w:rsid w:val="00336058"/>
    <w:rsid w:val="003360AE"/>
    <w:rsid w:val="003360C5"/>
    <w:rsid w:val="003361D7"/>
    <w:rsid w:val="00336406"/>
    <w:rsid w:val="0033649C"/>
    <w:rsid w:val="00336590"/>
    <w:rsid w:val="003365CC"/>
    <w:rsid w:val="003367F8"/>
    <w:rsid w:val="00336973"/>
    <w:rsid w:val="00336B2C"/>
    <w:rsid w:val="00336BB7"/>
    <w:rsid w:val="00336BE1"/>
    <w:rsid w:val="00336C9C"/>
    <w:rsid w:val="00336E51"/>
    <w:rsid w:val="00337038"/>
    <w:rsid w:val="00337095"/>
    <w:rsid w:val="00337116"/>
    <w:rsid w:val="003371CC"/>
    <w:rsid w:val="003372E8"/>
    <w:rsid w:val="003373C0"/>
    <w:rsid w:val="0033744B"/>
    <w:rsid w:val="00337469"/>
    <w:rsid w:val="00337510"/>
    <w:rsid w:val="00337561"/>
    <w:rsid w:val="003375F0"/>
    <w:rsid w:val="00337680"/>
    <w:rsid w:val="0033772B"/>
    <w:rsid w:val="00337771"/>
    <w:rsid w:val="003377A3"/>
    <w:rsid w:val="00337859"/>
    <w:rsid w:val="00337987"/>
    <w:rsid w:val="003379BA"/>
    <w:rsid w:val="003379C7"/>
    <w:rsid w:val="00337A3F"/>
    <w:rsid w:val="00337B30"/>
    <w:rsid w:val="00337B85"/>
    <w:rsid w:val="00337C41"/>
    <w:rsid w:val="00337CCA"/>
    <w:rsid w:val="00337E6A"/>
    <w:rsid w:val="00337EC0"/>
    <w:rsid w:val="00337EF5"/>
    <w:rsid w:val="00337F00"/>
    <w:rsid w:val="00337F87"/>
    <w:rsid w:val="00337F88"/>
    <w:rsid w:val="00340059"/>
    <w:rsid w:val="003400F4"/>
    <w:rsid w:val="00340176"/>
    <w:rsid w:val="0034018E"/>
    <w:rsid w:val="003401D1"/>
    <w:rsid w:val="003401EB"/>
    <w:rsid w:val="0034024F"/>
    <w:rsid w:val="003402C8"/>
    <w:rsid w:val="0034034A"/>
    <w:rsid w:val="00340469"/>
    <w:rsid w:val="0034051E"/>
    <w:rsid w:val="003406F2"/>
    <w:rsid w:val="003407CB"/>
    <w:rsid w:val="00340852"/>
    <w:rsid w:val="00340853"/>
    <w:rsid w:val="003408FD"/>
    <w:rsid w:val="00340A00"/>
    <w:rsid w:val="00340BBD"/>
    <w:rsid w:val="00340BBF"/>
    <w:rsid w:val="00340BD5"/>
    <w:rsid w:val="00340C6C"/>
    <w:rsid w:val="00340E9A"/>
    <w:rsid w:val="00340EBE"/>
    <w:rsid w:val="00340ECD"/>
    <w:rsid w:val="00340F0B"/>
    <w:rsid w:val="003410CD"/>
    <w:rsid w:val="00341330"/>
    <w:rsid w:val="0034144E"/>
    <w:rsid w:val="00341642"/>
    <w:rsid w:val="003416B2"/>
    <w:rsid w:val="003416F2"/>
    <w:rsid w:val="003418ED"/>
    <w:rsid w:val="00341965"/>
    <w:rsid w:val="00341B23"/>
    <w:rsid w:val="00341B5A"/>
    <w:rsid w:val="00341C9C"/>
    <w:rsid w:val="00341F11"/>
    <w:rsid w:val="0034204D"/>
    <w:rsid w:val="003420A1"/>
    <w:rsid w:val="00342112"/>
    <w:rsid w:val="0034222B"/>
    <w:rsid w:val="00342319"/>
    <w:rsid w:val="00342327"/>
    <w:rsid w:val="0034247E"/>
    <w:rsid w:val="0034265C"/>
    <w:rsid w:val="0034269C"/>
    <w:rsid w:val="00342752"/>
    <w:rsid w:val="00342901"/>
    <w:rsid w:val="00342A6B"/>
    <w:rsid w:val="00342C62"/>
    <w:rsid w:val="00342C71"/>
    <w:rsid w:val="00342CEC"/>
    <w:rsid w:val="00342D5B"/>
    <w:rsid w:val="00342D8E"/>
    <w:rsid w:val="00342EB1"/>
    <w:rsid w:val="00342F10"/>
    <w:rsid w:val="00342F31"/>
    <w:rsid w:val="00342F59"/>
    <w:rsid w:val="00342F5D"/>
    <w:rsid w:val="00342F8D"/>
    <w:rsid w:val="00342FBF"/>
    <w:rsid w:val="0034318A"/>
    <w:rsid w:val="00343293"/>
    <w:rsid w:val="00343385"/>
    <w:rsid w:val="00343400"/>
    <w:rsid w:val="003434CE"/>
    <w:rsid w:val="00343745"/>
    <w:rsid w:val="0034381B"/>
    <w:rsid w:val="00343848"/>
    <w:rsid w:val="0034387B"/>
    <w:rsid w:val="003438C2"/>
    <w:rsid w:val="00343960"/>
    <w:rsid w:val="003439FE"/>
    <w:rsid w:val="00343A58"/>
    <w:rsid w:val="00343AAF"/>
    <w:rsid w:val="00343B1B"/>
    <w:rsid w:val="00343B93"/>
    <w:rsid w:val="00343CA4"/>
    <w:rsid w:val="00343E49"/>
    <w:rsid w:val="00343F35"/>
    <w:rsid w:val="00343F9D"/>
    <w:rsid w:val="00344005"/>
    <w:rsid w:val="0034406E"/>
    <w:rsid w:val="003440FA"/>
    <w:rsid w:val="0034412F"/>
    <w:rsid w:val="00344213"/>
    <w:rsid w:val="0034428A"/>
    <w:rsid w:val="00344352"/>
    <w:rsid w:val="00344387"/>
    <w:rsid w:val="003443B7"/>
    <w:rsid w:val="00344425"/>
    <w:rsid w:val="0034443B"/>
    <w:rsid w:val="003444F9"/>
    <w:rsid w:val="00344520"/>
    <w:rsid w:val="0034455A"/>
    <w:rsid w:val="00344627"/>
    <w:rsid w:val="0034477A"/>
    <w:rsid w:val="003447E7"/>
    <w:rsid w:val="00344816"/>
    <w:rsid w:val="00344854"/>
    <w:rsid w:val="0034491E"/>
    <w:rsid w:val="003449FC"/>
    <w:rsid w:val="00344A1F"/>
    <w:rsid w:val="00344A42"/>
    <w:rsid w:val="00344AE5"/>
    <w:rsid w:val="00344B51"/>
    <w:rsid w:val="00344C76"/>
    <w:rsid w:val="00344D9A"/>
    <w:rsid w:val="00344E98"/>
    <w:rsid w:val="00344F16"/>
    <w:rsid w:val="0034501A"/>
    <w:rsid w:val="003450A1"/>
    <w:rsid w:val="003450FA"/>
    <w:rsid w:val="0034512E"/>
    <w:rsid w:val="0034516D"/>
    <w:rsid w:val="00345177"/>
    <w:rsid w:val="003451B3"/>
    <w:rsid w:val="0034526A"/>
    <w:rsid w:val="003453FA"/>
    <w:rsid w:val="0034540B"/>
    <w:rsid w:val="00345414"/>
    <w:rsid w:val="00345459"/>
    <w:rsid w:val="00345475"/>
    <w:rsid w:val="0034551B"/>
    <w:rsid w:val="003455EF"/>
    <w:rsid w:val="0034568E"/>
    <w:rsid w:val="003456B2"/>
    <w:rsid w:val="003456C4"/>
    <w:rsid w:val="00345832"/>
    <w:rsid w:val="0034590A"/>
    <w:rsid w:val="00345A0B"/>
    <w:rsid w:val="00345AA4"/>
    <w:rsid w:val="00345ACC"/>
    <w:rsid w:val="00345B56"/>
    <w:rsid w:val="00345BC7"/>
    <w:rsid w:val="00345BDE"/>
    <w:rsid w:val="00345BEB"/>
    <w:rsid w:val="00345C10"/>
    <w:rsid w:val="00345C75"/>
    <w:rsid w:val="00345C95"/>
    <w:rsid w:val="00345D07"/>
    <w:rsid w:val="00345D44"/>
    <w:rsid w:val="00345EEC"/>
    <w:rsid w:val="00345F07"/>
    <w:rsid w:val="00345F63"/>
    <w:rsid w:val="00345FAB"/>
    <w:rsid w:val="003461C6"/>
    <w:rsid w:val="00346418"/>
    <w:rsid w:val="00346521"/>
    <w:rsid w:val="0034661C"/>
    <w:rsid w:val="00346844"/>
    <w:rsid w:val="0034685E"/>
    <w:rsid w:val="0034689D"/>
    <w:rsid w:val="003468C5"/>
    <w:rsid w:val="003468F1"/>
    <w:rsid w:val="003468FE"/>
    <w:rsid w:val="00346AB0"/>
    <w:rsid w:val="00346B5F"/>
    <w:rsid w:val="00346C65"/>
    <w:rsid w:val="00346C94"/>
    <w:rsid w:val="00346CDF"/>
    <w:rsid w:val="00346DA4"/>
    <w:rsid w:val="00346F0C"/>
    <w:rsid w:val="00346FFE"/>
    <w:rsid w:val="00347014"/>
    <w:rsid w:val="003470DF"/>
    <w:rsid w:val="00347123"/>
    <w:rsid w:val="0034718E"/>
    <w:rsid w:val="003471D8"/>
    <w:rsid w:val="0034721A"/>
    <w:rsid w:val="00347249"/>
    <w:rsid w:val="0034728F"/>
    <w:rsid w:val="00347291"/>
    <w:rsid w:val="00347515"/>
    <w:rsid w:val="0034751F"/>
    <w:rsid w:val="0034752A"/>
    <w:rsid w:val="00347568"/>
    <w:rsid w:val="00347645"/>
    <w:rsid w:val="00347648"/>
    <w:rsid w:val="003476BF"/>
    <w:rsid w:val="003478B0"/>
    <w:rsid w:val="003478DD"/>
    <w:rsid w:val="00347944"/>
    <w:rsid w:val="0034798E"/>
    <w:rsid w:val="003479D5"/>
    <w:rsid w:val="00347BED"/>
    <w:rsid w:val="00347F0A"/>
    <w:rsid w:val="003500EE"/>
    <w:rsid w:val="00350149"/>
    <w:rsid w:val="00350192"/>
    <w:rsid w:val="00350271"/>
    <w:rsid w:val="00350305"/>
    <w:rsid w:val="0035030A"/>
    <w:rsid w:val="00350312"/>
    <w:rsid w:val="003503C3"/>
    <w:rsid w:val="003504C8"/>
    <w:rsid w:val="00350701"/>
    <w:rsid w:val="003507F6"/>
    <w:rsid w:val="00350848"/>
    <w:rsid w:val="003508B1"/>
    <w:rsid w:val="00350A18"/>
    <w:rsid w:val="00350A2D"/>
    <w:rsid w:val="00350A4D"/>
    <w:rsid w:val="00350B5E"/>
    <w:rsid w:val="00350C01"/>
    <w:rsid w:val="00350D4B"/>
    <w:rsid w:val="00350D5E"/>
    <w:rsid w:val="00350E1F"/>
    <w:rsid w:val="00350F72"/>
    <w:rsid w:val="00351126"/>
    <w:rsid w:val="0035115F"/>
    <w:rsid w:val="0035127C"/>
    <w:rsid w:val="003512A6"/>
    <w:rsid w:val="0035139B"/>
    <w:rsid w:val="003514D0"/>
    <w:rsid w:val="00351573"/>
    <w:rsid w:val="0035197E"/>
    <w:rsid w:val="003519D4"/>
    <w:rsid w:val="00351A5D"/>
    <w:rsid w:val="00351BD5"/>
    <w:rsid w:val="00351C1D"/>
    <w:rsid w:val="00351DBF"/>
    <w:rsid w:val="00351DEB"/>
    <w:rsid w:val="00351EE8"/>
    <w:rsid w:val="00351FA3"/>
    <w:rsid w:val="00352009"/>
    <w:rsid w:val="0035203A"/>
    <w:rsid w:val="0035205D"/>
    <w:rsid w:val="00352069"/>
    <w:rsid w:val="00352140"/>
    <w:rsid w:val="0035215F"/>
    <w:rsid w:val="0035218A"/>
    <w:rsid w:val="0035218E"/>
    <w:rsid w:val="0035227F"/>
    <w:rsid w:val="003522B0"/>
    <w:rsid w:val="00352385"/>
    <w:rsid w:val="003523ED"/>
    <w:rsid w:val="00352421"/>
    <w:rsid w:val="003524BE"/>
    <w:rsid w:val="003524C0"/>
    <w:rsid w:val="003524D0"/>
    <w:rsid w:val="003524E0"/>
    <w:rsid w:val="00352663"/>
    <w:rsid w:val="0035267E"/>
    <w:rsid w:val="00352867"/>
    <w:rsid w:val="00352901"/>
    <w:rsid w:val="00352990"/>
    <w:rsid w:val="00352AB5"/>
    <w:rsid w:val="00352AD1"/>
    <w:rsid w:val="00352C32"/>
    <w:rsid w:val="00352C40"/>
    <w:rsid w:val="00352D98"/>
    <w:rsid w:val="00352E0E"/>
    <w:rsid w:val="00352E9A"/>
    <w:rsid w:val="00352EE0"/>
    <w:rsid w:val="00352EFB"/>
    <w:rsid w:val="00353048"/>
    <w:rsid w:val="0035314D"/>
    <w:rsid w:val="00353485"/>
    <w:rsid w:val="003534AF"/>
    <w:rsid w:val="003534B4"/>
    <w:rsid w:val="0035363B"/>
    <w:rsid w:val="00353657"/>
    <w:rsid w:val="003537D1"/>
    <w:rsid w:val="00353815"/>
    <w:rsid w:val="003539B0"/>
    <w:rsid w:val="00353A83"/>
    <w:rsid w:val="00353A8B"/>
    <w:rsid w:val="00353B59"/>
    <w:rsid w:val="00353B61"/>
    <w:rsid w:val="00353BBF"/>
    <w:rsid w:val="00353D1E"/>
    <w:rsid w:val="0035400B"/>
    <w:rsid w:val="00354054"/>
    <w:rsid w:val="003541D8"/>
    <w:rsid w:val="003542C7"/>
    <w:rsid w:val="00354399"/>
    <w:rsid w:val="003543C6"/>
    <w:rsid w:val="003543D7"/>
    <w:rsid w:val="003544E5"/>
    <w:rsid w:val="0035453F"/>
    <w:rsid w:val="0035455F"/>
    <w:rsid w:val="003545A4"/>
    <w:rsid w:val="003545CA"/>
    <w:rsid w:val="00354786"/>
    <w:rsid w:val="0035479C"/>
    <w:rsid w:val="0035489D"/>
    <w:rsid w:val="0035494A"/>
    <w:rsid w:val="00354987"/>
    <w:rsid w:val="00354C6E"/>
    <w:rsid w:val="00354E8A"/>
    <w:rsid w:val="003552AB"/>
    <w:rsid w:val="00355390"/>
    <w:rsid w:val="003553AC"/>
    <w:rsid w:val="003553D6"/>
    <w:rsid w:val="00355557"/>
    <w:rsid w:val="003555A1"/>
    <w:rsid w:val="003555DC"/>
    <w:rsid w:val="00355803"/>
    <w:rsid w:val="0035597F"/>
    <w:rsid w:val="003559C7"/>
    <w:rsid w:val="00355AAA"/>
    <w:rsid w:val="00355AF0"/>
    <w:rsid w:val="00355E06"/>
    <w:rsid w:val="00355ED8"/>
    <w:rsid w:val="00355FEE"/>
    <w:rsid w:val="003560A2"/>
    <w:rsid w:val="003561E2"/>
    <w:rsid w:val="0035633C"/>
    <w:rsid w:val="0035636A"/>
    <w:rsid w:val="003563FE"/>
    <w:rsid w:val="00356448"/>
    <w:rsid w:val="003564FA"/>
    <w:rsid w:val="003566A8"/>
    <w:rsid w:val="00356745"/>
    <w:rsid w:val="003567B3"/>
    <w:rsid w:val="003567FD"/>
    <w:rsid w:val="00356B63"/>
    <w:rsid w:val="00356D9A"/>
    <w:rsid w:val="00356E0F"/>
    <w:rsid w:val="00356EAF"/>
    <w:rsid w:val="00356ECA"/>
    <w:rsid w:val="00356F15"/>
    <w:rsid w:val="00356FF2"/>
    <w:rsid w:val="003571C1"/>
    <w:rsid w:val="003572D0"/>
    <w:rsid w:val="003573DB"/>
    <w:rsid w:val="00357432"/>
    <w:rsid w:val="003574DC"/>
    <w:rsid w:val="00357512"/>
    <w:rsid w:val="003578F1"/>
    <w:rsid w:val="003578F3"/>
    <w:rsid w:val="003579AF"/>
    <w:rsid w:val="00357A18"/>
    <w:rsid w:val="00357A29"/>
    <w:rsid w:val="00357B10"/>
    <w:rsid w:val="00357B11"/>
    <w:rsid w:val="00357B49"/>
    <w:rsid w:val="00357C60"/>
    <w:rsid w:val="00357C89"/>
    <w:rsid w:val="00357C91"/>
    <w:rsid w:val="00357CE8"/>
    <w:rsid w:val="00357D12"/>
    <w:rsid w:val="00357E2A"/>
    <w:rsid w:val="00357E4F"/>
    <w:rsid w:val="00357EDF"/>
    <w:rsid w:val="00357F04"/>
    <w:rsid w:val="00357F9A"/>
    <w:rsid w:val="0036010D"/>
    <w:rsid w:val="003601BF"/>
    <w:rsid w:val="00360229"/>
    <w:rsid w:val="00360380"/>
    <w:rsid w:val="003603A7"/>
    <w:rsid w:val="003603B6"/>
    <w:rsid w:val="00360475"/>
    <w:rsid w:val="00360687"/>
    <w:rsid w:val="003606BF"/>
    <w:rsid w:val="003606CA"/>
    <w:rsid w:val="003606CC"/>
    <w:rsid w:val="0036078B"/>
    <w:rsid w:val="00360893"/>
    <w:rsid w:val="00360961"/>
    <w:rsid w:val="00360A2F"/>
    <w:rsid w:val="00360AF5"/>
    <w:rsid w:val="00360BB4"/>
    <w:rsid w:val="00360C23"/>
    <w:rsid w:val="00360C2D"/>
    <w:rsid w:val="00360CD9"/>
    <w:rsid w:val="00360DD6"/>
    <w:rsid w:val="00360E1A"/>
    <w:rsid w:val="0036103F"/>
    <w:rsid w:val="003610B4"/>
    <w:rsid w:val="003610C4"/>
    <w:rsid w:val="003610F3"/>
    <w:rsid w:val="00361251"/>
    <w:rsid w:val="0036126B"/>
    <w:rsid w:val="003613DB"/>
    <w:rsid w:val="0036153D"/>
    <w:rsid w:val="0036159E"/>
    <w:rsid w:val="00361666"/>
    <w:rsid w:val="003616B4"/>
    <w:rsid w:val="00361845"/>
    <w:rsid w:val="003618E6"/>
    <w:rsid w:val="00361944"/>
    <w:rsid w:val="00361DDB"/>
    <w:rsid w:val="00361FCE"/>
    <w:rsid w:val="0036203F"/>
    <w:rsid w:val="003621ED"/>
    <w:rsid w:val="0036227B"/>
    <w:rsid w:val="003622A6"/>
    <w:rsid w:val="0036239C"/>
    <w:rsid w:val="00362449"/>
    <w:rsid w:val="003628D6"/>
    <w:rsid w:val="00362905"/>
    <w:rsid w:val="003629CC"/>
    <w:rsid w:val="00362B4C"/>
    <w:rsid w:val="00362C24"/>
    <w:rsid w:val="00362D2A"/>
    <w:rsid w:val="00362D8E"/>
    <w:rsid w:val="00362E9D"/>
    <w:rsid w:val="00362F8D"/>
    <w:rsid w:val="00363113"/>
    <w:rsid w:val="00363197"/>
    <w:rsid w:val="003631B9"/>
    <w:rsid w:val="003631D4"/>
    <w:rsid w:val="00363254"/>
    <w:rsid w:val="003632EA"/>
    <w:rsid w:val="0036347F"/>
    <w:rsid w:val="003634EA"/>
    <w:rsid w:val="00363505"/>
    <w:rsid w:val="00363542"/>
    <w:rsid w:val="00363552"/>
    <w:rsid w:val="003635D4"/>
    <w:rsid w:val="0036377D"/>
    <w:rsid w:val="003637C3"/>
    <w:rsid w:val="0036384C"/>
    <w:rsid w:val="00363ABD"/>
    <w:rsid w:val="00363BF1"/>
    <w:rsid w:val="00363D81"/>
    <w:rsid w:val="00363E15"/>
    <w:rsid w:val="00363E78"/>
    <w:rsid w:val="00363ECD"/>
    <w:rsid w:val="00363F1B"/>
    <w:rsid w:val="00364403"/>
    <w:rsid w:val="0036445F"/>
    <w:rsid w:val="00364473"/>
    <w:rsid w:val="00364512"/>
    <w:rsid w:val="00364523"/>
    <w:rsid w:val="00364558"/>
    <w:rsid w:val="003645EF"/>
    <w:rsid w:val="00364634"/>
    <w:rsid w:val="003648CF"/>
    <w:rsid w:val="00364917"/>
    <w:rsid w:val="00364991"/>
    <w:rsid w:val="003649EC"/>
    <w:rsid w:val="00364AC5"/>
    <w:rsid w:val="00364B8B"/>
    <w:rsid w:val="00364C8A"/>
    <w:rsid w:val="00364E70"/>
    <w:rsid w:val="00364E76"/>
    <w:rsid w:val="00364E8A"/>
    <w:rsid w:val="003650D2"/>
    <w:rsid w:val="003650E3"/>
    <w:rsid w:val="0036519F"/>
    <w:rsid w:val="003652D5"/>
    <w:rsid w:val="0036546B"/>
    <w:rsid w:val="003656F3"/>
    <w:rsid w:val="00365700"/>
    <w:rsid w:val="003657B7"/>
    <w:rsid w:val="0036580B"/>
    <w:rsid w:val="00365890"/>
    <w:rsid w:val="003658E7"/>
    <w:rsid w:val="0036598D"/>
    <w:rsid w:val="00365B25"/>
    <w:rsid w:val="00365B33"/>
    <w:rsid w:val="00365BF7"/>
    <w:rsid w:val="00365C21"/>
    <w:rsid w:val="00365D72"/>
    <w:rsid w:val="00365FDA"/>
    <w:rsid w:val="003660CC"/>
    <w:rsid w:val="0036622C"/>
    <w:rsid w:val="003662FB"/>
    <w:rsid w:val="00366333"/>
    <w:rsid w:val="00366355"/>
    <w:rsid w:val="003663DA"/>
    <w:rsid w:val="00366467"/>
    <w:rsid w:val="003666AB"/>
    <w:rsid w:val="003666B2"/>
    <w:rsid w:val="003666F0"/>
    <w:rsid w:val="00366784"/>
    <w:rsid w:val="00366789"/>
    <w:rsid w:val="00366B13"/>
    <w:rsid w:val="00366B76"/>
    <w:rsid w:val="00366CEE"/>
    <w:rsid w:val="00366FC1"/>
    <w:rsid w:val="003671E4"/>
    <w:rsid w:val="003671EF"/>
    <w:rsid w:val="0036729E"/>
    <w:rsid w:val="003674F8"/>
    <w:rsid w:val="003675BD"/>
    <w:rsid w:val="0036761D"/>
    <w:rsid w:val="003677A3"/>
    <w:rsid w:val="003677DB"/>
    <w:rsid w:val="00367800"/>
    <w:rsid w:val="00367870"/>
    <w:rsid w:val="0036787A"/>
    <w:rsid w:val="00367953"/>
    <w:rsid w:val="00367A1C"/>
    <w:rsid w:val="00367A5A"/>
    <w:rsid w:val="00367B93"/>
    <w:rsid w:val="00367BF1"/>
    <w:rsid w:val="00367C52"/>
    <w:rsid w:val="00367D25"/>
    <w:rsid w:val="0037005A"/>
    <w:rsid w:val="00370065"/>
    <w:rsid w:val="00370268"/>
    <w:rsid w:val="00370298"/>
    <w:rsid w:val="003702EE"/>
    <w:rsid w:val="00370315"/>
    <w:rsid w:val="00370376"/>
    <w:rsid w:val="00370399"/>
    <w:rsid w:val="0037039E"/>
    <w:rsid w:val="003703A2"/>
    <w:rsid w:val="00370443"/>
    <w:rsid w:val="00370546"/>
    <w:rsid w:val="003705E7"/>
    <w:rsid w:val="00370696"/>
    <w:rsid w:val="0037069A"/>
    <w:rsid w:val="003706BF"/>
    <w:rsid w:val="00370922"/>
    <w:rsid w:val="003709C8"/>
    <w:rsid w:val="00370A7A"/>
    <w:rsid w:val="00370B43"/>
    <w:rsid w:val="00370D7A"/>
    <w:rsid w:val="00370DB7"/>
    <w:rsid w:val="00370EBD"/>
    <w:rsid w:val="0037108C"/>
    <w:rsid w:val="003710CD"/>
    <w:rsid w:val="0037121C"/>
    <w:rsid w:val="003712A9"/>
    <w:rsid w:val="003713B7"/>
    <w:rsid w:val="00371415"/>
    <w:rsid w:val="0037154B"/>
    <w:rsid w:val="003715BC"/>
    <w:rsid w:val="003715BD"/>
    <w:rsid w:val="003717B6"/>
    <w:rsid w:val="00371C08"/>
    <w:rsid w:val="00371C92"/>
    <w:rsid w:val="00371C9D"/>
    <w:rsid w:val="00371E5C"/>
    <w:rsid w:val="00371F48"/>
    <w:rsid w:val="00371F9F"/>
    <w:rsid w:val="0037209F"/>
    <w:rsid w:val="003720C8"/>
    <w:rsid w:val="003720FC"/>
    <w:rsid w:val="00372103"/>
    <w:rsid w:val="003721D8"/>
    <w:rsid w:val="00372238"/>
    <w:rsid w:val="003723C2"/>
    <w:rsid w:val="00372510"/>
    <w:rsid w:val="00372585"/>
    <w:rsid w:val="0037259C"/>
    <w:rsid w:val="003726A9"/>
    <w:rsid w:val="0037275E"/>
    <w:rsid w:val="00372A6C"/>
    <w:rsid w:val="00372AB7"/>
    <w:rsid w:val="00372AEC"/>
    <w:rsid w:val="00372B99"/>
    <w:rsid w:val="00372C3C"/>
    <w:rsid w:val="00372D3E"/>
    <w:rsid w:val="00372D5E"/>
    <w:rsid w:val="00372D85"/>
    <w:rsid w:val="00372DA7"/>
    <w:rsid w:val="00372E06"/>
    <w:rsid w:val="00373265"/>
    <w:rsid w:val="00373278"/>
    <w:rsid w:val="00373511"/>
    <w:rsid w:val="0037356E"/>
    <w:rsid w:val="00373647"/>
    <w:rsid w:val="00373737"/>
    <w:rsid w:val="0037394A"/>
    <w:rsid w:val="00373A72"/>
    <w:rsid w:val="00373A88"/>
    <w:rsid w:val="00373BA0"/>
    <w:rsid w:val="00373CF6"/>
    <w:rsid w:val="00373EC8"/>
    <w:rsid w:val="00373F49"/>
    <w:rsid w:val="00374033"/>
    <w:rsid w:val="00374122"/>
    <w:rsid w:val="00374124"/>
    <w:rsid w:val="0037432B"/>
    <w:rsid w:val="003744EA"/>
    <w:rsid w:val="00374589"/>
    <w:rsid w:val="00374595"/>
    <w:rsid w:val="00374636"/>
    <w:rsid w:val="00374671"/>
    <w:rsid w:val="0037477E"/>
    <w:rsid w:val="00374A40"/>
    <w:rsid w:val="00374C8E"/>
    <w:rsid w:val="00374CB3"/>
    <w:rsid w:val="00374DF2"/>
    <w:rsid w:val="00374E3F"/>
    <w:rsid w:val="00374E91"/>
    <w:rsid w:val="00374FA6"/>
    <w:rsid w:val="00374FAE"/>
    <w:rsid w:val="00374FEF"/>
    <w:rsid w:val="00375072"/>
    <w:rsid w:val="003750F4"/>
    <w:rsid w:val="0037527E"/>
    <w:rsid w:val="0037529D"/>
    <w:rsid w:val="003752DD"/>
    <w:rsid w:val="003752E8"/>
    <w:rsid w:val="0037538C"/>
    <w:rsid w:val="003753F9"/>
    <w:rsid w:val="0037548F"/>
    <w:rsid w:val="003756EE"/>
    <w:rsid w:val="0037575F"/>
    <w:rsid w:val="0037587B"/>
    <w:rsid w:val="00375905"/>
    <w:rsid w:val="003759FE"/>
    <w:rsid w:val="00375A09"/>
    <w:rsid w:val="00375A14"/>
    <w:rsid w:val="00375A49"/>
    <w:rsid w:val="00375A8A"/>
    <w:rsid w:val="00375B9D"/>
    <w:rsid w:val="00375DF8"/>
    <w:rsid w:val="00375EB8"/>
    <w:rsid w:val="00375F99"/>
    <w:rsid w:val="00375FCC"/>
    <w:rsid w:val="0037607F"/>
    <w:rsid w:val="00376110"/>
    <w:rsid w:val="00376317"/>
    <w:rsid w:val="00376406"/>
    <w:rsid w:val="0037652C"/>
    <w:rsid w:val="0037657A"/>
    <w:rsid w:val="00376699"/>
    <w:rsid w:val="0037672A"/>
    <w:rsid w:val="00376738"/>
    <w:rsid w:val="0037673E"/>
    <w:rsid w:val="003768DE"/>
    <w:rsid w:val="00376965"/>
    <w:rsid w:val="00376972"/>
    <w:rsid w:val="0037699C"/>
    <w:rsid w:val="003769C3"/>
    <w:rsid w:val="00376A3B"/>
    <w:rsid w:val="00376DA2"/>
    <w:rsid w:val="00376F74"/>
    <w:rsid w:val="003770A4"/>
    <w:rsid w:val="00377140"/>
    <w:rsid w:val="00377162"/>
    <w:rsid w:val="003771BF"/>
    <w:rsid w:val="003775CC"/>
    <w:rsid w:val="0037761C"/>
    <w:rsid w:val="00377726"/>
    <w:rsid w:val="003777AA"/>
    <w:rsid w:val="0037796F"/>
    <w:rsid w:val="00377A11"/>
    <w:rsid w:val="00377A68"/>
    <w:rsid w:val="00377AE4"/>
    <w:rsid w:val="00377B7A"/>
    <w:rsid w:val="00377BBD"/>
    <w:rsid w:val="00377C08"/>
    <w:rsid w:val="00377C51"/>
    <w:rsid w:val="00377D57"/>
    <w:rsid w:val="00377D79"/>
    <w:rsid w:val="00377D98"/>
    <w:rsid w:val="00377F14"/>
    <w:rsid w:val="003800AA"/>
    <w:rsid w:val="003800B2"/>
    <w:rsid w:val="003802B3"/>
    <w:rsid w:val="003802B7"/>
    <w:rsid w:val="003802E9"/>
    <w:rsid w:val="003803E7"/>
    <w:rsid w:val="00380571"/>
    <w:rsid w:val="0038069A"/>
    <w:rsid w:val="003806ED"/>
    <w:rsid w:val="00380745"/>
    <w:rsid w:val="0038079B"/>
    <w:rsid w:val="0038095D"/>
    <w:rsid w:val="00380A14"/>
    <w:rsid w:val="00380A7E"/>
    <w:rsid w:val="00380B83"/>
    <w:rsid w:val="00380BD9"/>
    <w:rsid w:val="00380F8B"/>
    <w:rsid w:val="00380FD6"/>
    <w:rsid w:val="00381014"/>
    <w:rsid w:val="00381073"/>
    <w:rsid w:val="003810C0"/>
    <w:rsid w:val="003812A6"/>
    <w:rsid w:val="00381360"/>
    <w:rsid w:val="0038142B"/>
    <w:rsid w:val="0038143A"/>
    <w:rsid w:val="003815E4"/>
    <w:rsid w:val="00381694"/>
    <w:rsid w:val="00381717"/>
    <w:rsid w:val="00381785"/>
    <w:rsid w:val="003818CC"/>
    <w:rsid w:val="00381949"/>
    <w:rsid w:val="003819FC"/>
    <w:rsid w:val="00381A2E"/>
    <w:rsid w:val="00381B33"/>
    <w:rsid w:val="00381B3A"/>
    <w:rsid w:val="00381B55"/>
    <w:rsid w:val="00381BBE"/>
    <w:rsid w:val="00381CB5"/>
    <w:rsid w:val="00381D6A"/>
    <w:rsid w:val="00381DCA"/>
    <w:rsid w:val="00381E50"/>
    <w:rsid w:val="00381F05"/>
    <w:rsid w:val="00381FAF"/>
    <w:rsid w:val="0038205C"/>
    <w:rsid w:val="003821AC"/>
    <w:rsid w:val="003821F4"/>
    <w:rsid w:val="00382249"/>
    <w:rsid w:val="00382258"/>
    <w:rsid w:val="003822C4"/>
    <w:rsid w:val="0038230C"/>
    <w:rsid w:val="00382520"/>
    <w:rsid w:val="003825AF"/>
    <w:rsid w:val="0038281C"/>
    <w:rsid w:val="0038284A"/>
    <w:rsid w:val="00382973"/>
    <w:rsid w:val="003829C8"/>
    <w:rsid w:val="00382C31"/>
    <w:rsid w:val="00382C4C"/>
    <w:rsid w:val="00382DD4"/>
    <w:rsid w:val="00382E1A"/>
    <w:rsid w:val="00382F2B"/>
    <w:rsid w:val="00383022"/>
    <w:rsid w:val="003830D3"/>
    <w:rsid w:val="0038311E"/>
    <w:rsid w:val="003831F3"/>
    <w:rsid w:val="00383217"/>
    <w:rsid w:val="00383299"/>
    <w:rsid w:val="0038329B"/>
    <w:rsid w:val="003832AF"/>
    <w:rsid w:val="003832E1"/>
    <w:rsid w:val="00383373"/>
    <w:rsid w:val="0038340B"/>
    <w:rsid w:val="00383461"/>
    <w:rsid w:val="0038353D"/>
    <w:rsid w:val="003835FF"/>
    <w:rsid w:val="00383615"/>
    <w:rsid w:val="003836F7"/>
    <w:rsid w:val="003837F4"/>
    <w:rsid w:val="0038386B"/>
    <w:rsid w:val="00383939"/>
    <w:rsid w:val="003839C0"/>
    <w:rsid w:val="00383AFE"/>
    <w:rsid w:val="00383B73"/>
    <w:rsid w:val="00383B9D"/>
    <w:rsid w:val="00383BEE"/>
    <w:rsid w:val="00383C46"/>
    <w:rsid w:val="0038410D"/>
    <w:rsid w:val="003841B4"/>
    <w:rsid w:val="003841E4"/>
    <w:rsid w:val="003843A1"/>
    <w:rsid w:val="003843E6"/>
    <w:rsid w:val="003844A4"/>
    <w:rsid w:val="003844C1"/>
    <w:rsid w:val="003845F0"/>
    <w:rsid w:val="003846D8"/>
    <w:rsid w:val="003846EB"/>
    <w:rsid w:val="00384A8A"/>
    <w:rsid w:val="00384B12"/>
    <w:rsid w:val="00384D14"/>
    <w:rsid w:val="00384DBB"/>
    <w:rsid w:val="00384E79"/>
    <w:rsid w:val="00384F48"/>
    <w:rsid w:val="00384F5C"/>
    <w:rsid w:val="00384F84"/>
    <w:rsid w:val="00384FEE"/>
    <w:rsid w:val="00385001"/>
    <w:rsid w:val="0038523D"/>
    <w:rsid w:val="003852E9"/>
    <w:rsid w:val="0038538E"/>
    <w:rsid w:val="003853ED"/>
    <w:rsid w:val="00385466"/>
    <w:rsid w:val="003857D3"/>
    <w:rsid w:val="00385B6B"/>
    <w:rsid w:val="00385D9A"/>
    <w:rsid w:val="00385E2A"/>
    <w:rsid w:val="00385E78"/>
    <w:rsid w:val="00385EA6"/>
    <w:rsid w:val="00385FF7"/>
    <w:rsid w:val="00386002"/>
    <w:rsid w:val="0038603B"/>
    <w:rsid w:val="00386074"/>
    <w:rsid w:val="00386080"/>
    <w:rsid w:val="00386090"/>
    <w:rsid w:val="003860AF"/>
    <w:rsid w:val="003860C2"/>
    <w:rsid w:val="003861C4"/>
    <w:rsid w:val="00386240"/>
    <w:rsid w:val="003863C4"/>
    <w:rsid w:val="003863C7"/>
    <w:rsid w:val="003864A5"/>
    <w:rsid w:val="00386533"/>
    <w:rsid w:val="00386590"/>
    <w:rsid w:val="003865BF"/>
    <w:rsid w:val="00386787"/>
    <w:rsid w:val="00386822"/>
    <w:rsid w:val="0038683B"/>
    <w:rsid w:val="003868AD"/>
    <w:rsid w:val="00386971"/>
    <w:rsid w:val="003869E0"/>
    <w:rsid w:val="00386A69"/>
    <w:rsid w:val="00386B91"/>
    <w:rsid w:val="00386C9F"/>
    <w:rsid w:val="00386CB4"/>
    <w:rsid w:val="00386DCB"/>
    <w:rsid w:val="00386F28"/>
    <w:rsid w:val="00386F49"/>
    <w:rsid w:val="00386F76"/>
    <w:rsid w:val="00386FF8"/>
    <w:rsid w:val="00387282"/>
    <w:rsid w:val="003873D1"/>
    <w:rsid w:val="00387402"/>
    <w:rsid w:val="0038741A"/>
    <w:rsid w:val="0038776E"/>
    <w:rsid w:val="0038790A"/>
    <w:rsid w:val="003879EA"/>
    <w:rsid w:val="00387A36"/>
    <w:rsid w:val="00387A48"/>
    <w:rsid w:val="00387A98"/>
    <w:rsid w:val="00387B7A"/>
    <w:rsid w:val="00387C2D"/>
    <w:rsid w:val="00387C59"/>
    <w:rsid w:val="00387DAA"/>
    <w:rsid w:val="00387E52"/>
    <w:rsid w:val="00387EB7"/>
    <w:rsid w:val="00387EF3"/>
    <w:rsid w:val="00387F26"/>
    <w:rsid w:val="00387FA0"/>
    <w:rsid w:val="00387FBC"/>
    <w:rsid w:val="0039008F"/>
    <w:rsid w:val="003902FA"/>
    <w:rsid w:val="0039033F"/>
    <w:rsid w:val="0039040D"/>
    <w:rsid w:val="003904AC"/>
    <w:rsid w:val="0039061F"/>
    <w:rsid w:val="00390646"/>
    <w:rsid w:val="0039065F"/>
    <w:rsid w:val="003906A2"/>
    <w:rsid w:val="0039070B"/>
    <w:rsid w:val="0039079D"/>
    <w:rsid w:val="00390842"/>
    <w:rsid w:val="00390847"/>
    <w:rsid w:val="003908FB"/>
    <w:rsid w:val="00390A5A"/>
    <w:rsid w:val="00390B9D"/>
    <w:rsid w:val="00390DA6"/>
    <w:rsid w:val="00390E01"/>
    <w:rsid w:val="00390E2A"/>
    <w:rsid w:val="00390FA7"/>
    <w:rsid w:val="0039108B"/>
    <w:rsid w:val="00391155"/>
    <w:rsid w:val="00391213"/>
    <w:rsid w:val="00391255"/>
    <w:rsid w:val="00391267"/>
    <w:rsid w:val="00391361"/>
    <w:rsid w:val="00391445"/>
    <w:rsid w:val="0039170E"/>
    <w:rsid w:val="0039179F"/>
    <w:rsid w:val="00391801"/>
    <w:rsid w:val="00391809"/>
    <w:rsid w:val="0039181B"/>
    <w:rsid w:val="00391862"/>
    <w:rsid w:val="0039186D"/>
    <w:rsid w:val="003918F5"/>
    <w:rsid w:val="00391C2E"/>
    <w:rsid w:val="00391C70"/>
    <w:rsid w:val="00391FFD"/>
    <w:rsid w:val="00392107"/>
    <w:rsid w:val="003921D3"/>
    <w:rsid w:val="003922DB"/>
    <w:rsid w:val="003922EB"/>
    <w:rsid w:val="00392319"/>
    <w:rsid w:val="003923FD"/>
    <w:rsid w:val="0039244B"/>
    <w:rsid w:val="003924F6"/>
    <w:rsid w:val="003925A3"/>
    <w:rsid w:val="003927B7"/>
    <w:rsid w:val="003928D0"/>
    <w:rsid w:val="00392907"/>
    <w:rsid w:val="003929B3"/>
    <w:rsid w:val="003929CF"/>
    <w:rsid w:val="003929E2"/>
    <w:rsid w:val="003929F1"/>
    <w:rsid w:val="00392AB4"/>
    <w:rsid w:val="00392B2F"/>
    <w:rsid w:val="00392BA2"/>
    <w:rsid w:val="00392BEF"/>
    <w:rsid w:val="00392D10"/>
    <w:rsid w:val="00392D48"/>
    <w:rsid w:val="00392F0E"/>
    <w:rsid w:val="00392F34"/>
    <w:rsid w:val="00392F40"/>
    <w:rsid w:val="00393126"/>
    <w:rsid w:val="00393160"/>
    <w:rsid w:val="003931A9"/>
    <w:rsid w:val="003931F3"/>
    <w:rsid w:val="003932B4"/>
    <w:rsid w:val="00393313"/>
    <w:rsid w:val="003933F7"/>
    <w:rsid w:val="003935A5"/>
    <w:rsid w:val="003935AF"/>
    <w:rsid w:val="003937AA"/>
    <w:rsid w:val="0039380A"/>
    <w:rsid w:val="0039382E"/>
    <w:rsid w:val="00393897"/>
    <w:rsid w:val="00393B20"/>
    <w:rsid w:val="00393B57"/>
    <w:rsid w:val="00393E28"/>
    <w:rsid w:val="00393ECB"/>
    <w:rsid w:val="00393F35"/>
    <w:rsid w:val="00393F7E"/>
    <w:rsid w:val="00394156"/>
    <w:rsid w:val="003941A7"/>
    <w:rsid w:val="003941AC"/>
    <w:rsid w:val="00394398"/>
    <w:rsid w:val="0039456D"/>
    <w:rsid w:val="0039458E"/>
    <w:rsid w:val="00394598"/>
    <w:rsid w:val="00394717"/>
    <w:rsid w:val="00394796"/>
    <w:rsid w:val="0039485E"/>
    <w:rsid w:val="00394975"/>
    <w:rsid w:val="003949D5"/>
    <w:rsid w:val="00394A84"/>
    <w:rsid w:val="00394B24"/>
    <w:rsid w:val="00394C33"/>
    <w:rsid w:val="00394D37"/>
    <w:rsid w:val="00394FCD"/>
    <w:rsid w:val="00395085"/>
    <w:rsid w:val="00395160"/>
    <w:rsid w:val="00395308"/>
    <w:rsid w:val="0039541B"/>
    <w:rsid w:val="00395558"/>
    <w:rsid w:val="00395654"/>
    <w:rsid w:val="00395668"/>
    <w:rsid w:val="003956D0"/>
    <w:rsid w:val="00395725"/>
    <w:rsid w:val="00395728"/>
    <w:rsid w:val="003957EC"/>
    <w:rsid w:val="003959FD"/>
    <w:rsid w:val="00395ADB"/>
    <w:rsid w:val="00395B30"/>
    <w:rsid w:val="00395BFF"/>
    <w:rsid w:val="00395E70"/>
    <w:rsid w:val="00395E9A"/>
    <w:rsid w:val="0039607C"/>
    <w:rsid w:val="00396200"/>
    <w:rsid w:val="00396203"/>
    <w:rsid w:val="00396249"/>
    <w:rsid w:val="003962A1"/>
    <w:rsid w:val="003963B7"/>
    <w:rsid w:val="003963ED"/>
    <w:rsid w:val="003964AD"/>
    <w:rsid w:val="003964AF"/>
    <w:rsid w:val="003965B8"/>
    <w:rsid w:val="00396925"/>
    <w:rsid w:val="00396942"/>
    <w:rsid w:val="00396B01"/>
    <w:rsid w:val="00396B12"/>
    <w:rsid w:val="00396BC9"/>
    <w:rsid w:val="00396C73"/>
    <w:rsid w:val="00396CAF"/>
    <w:rsid w:val="00396CC6"/>
    <w:rsid w:val="00396DA7"/>
    <w:rsid w:val="00396E6D"/>
    <w:rsid w:val="00396E81"/>
    <w:rsid w:val="00396F79"/>
    <w:rsid w:val="003970BD"/>
    <w:rsid w:val="003970F6"/>
    <w:rsid w:val="0039713E"/>
    <w:rsid w:val="0039727E"/>
    <w:rsid w:val="00397473"/>
    <w:rsid w:val="003974AC"/>
    <w:rsid w:val="003974CE"/>
    <w:rsid w:val="0039751C"/>
    <w:rsid w:val="003975F5"/>
    <w:rsid w:val="00397608"/>
    <w:rsid w:val="0039772C"/>
    <w:rsid w:val="0039793B"/>
    <w:rsid w:val="00397A3E"/>
    <w:rsid w:val="00397A53"/>
    <w:rsid w:val="00397A5D"/>
    <w:rsid w:val="00397AA1"/>
    <w:rsid w:val="00397BD8"/>
    <w:rsid w:val="00397BFD"/>
    <w:rsid w:val="00397C10"/>
    <w:rsid w:val="00397D3A"/>
    <w:rsid w:val="00397DDE"/>
    <w:rsid w:val="00397FD7"/>
    <w:rsid w:val="003A00D5"/>
    <w:rsid w:val="003A0344"/>
    <w:rsid w:val="003A036B"/>
    <w:rsid w:val="003A0381"/>
    <w:rsid w:val="003A0578"/>
    <w:rsid w:val="003A0594"/>
    <w:rsid w:val="003A0598"/>
    <w:rsid w:val="003A07E8"/>
    <w:rsid w:val="003A082E"/>
    <w:rsid w:val="003A093D"/>
    <w:rsid w:val="003A0951"/>
    <w:rsid w:val="003A09E3"/>
    <w:rsid w:val="003A0D32"/>
    <w:rsid w:val="003A0DDE"/>
    <w:rsid w:val="003A0FD5"/>
    <w:rsid w:val="003A0FF8"/>
    <w:rsid w:val="003A10A9"/>
    <w:rsid w:val="003A118A"/>
    <w:rsid w:val="003A1254"/>
    <w:rsid w:val="003A1280"/>
    <w:rsid w:val="003A12E7"/>
    <w:rsid w:val="003A1321"/>
    <w:rsid w:val="003A13F4"/>
    <w:rsid w:val="003A165D"/>
    <w:rsid w:val="003A1670"/>
    <w:rsid w:val="003A16EA"/>
    <w:rsid w:val="003A16F6"/>
    <w:rsid w:val="003A1784"/>
    <w:rsid w:val="003A17D5"/>
    <w:rsid w:val="003A18A9"/>
    <w:rsid w:val="003A1A7E"/>
    <w:rsid w:val="003A1B9A"/>
    <w:rsid w:val="003A1C6B"/>
    <w:rsid w:val="003A1E45"/>
    <w:rsid w:val="003A1ED1"/>
    <w:rsid w:val="003A1EE2"/>
    <w:rsid w:val="003A245E"/>
    <w:rsid w:val="003A24C7"/>
    <w:rsid w:val="003A2526"/>
    <w:rsid w:val="003A27CE"/>
    <w:rsid w:val="003A27D4"/>
    <w:rsid w:val="003A28C5"/>
    <w:rsid w:val="003A2934"/>
    <w:rsid w:val="003A2BFE"/>
    <w:rsid w:val="003A2C1D"/>
    <w:rsid w:val="003A2C32"/>
    <w:rsid w:val="003A2CDA"/>
    <w:rsid w:val="003A2DF6"/>
    <w:rsid w:val="003A2E22"/>
    <w:rsid w:val="003A2F71"/>
    <w:rsid w:val="003A302D"/>
    <w:rsid w:val="003A3215"/>
    <w:rsid w:val="003A3230"/>
    <w:rsid w:val="003A3296"/>
    <w:rsid w:val="003A3316"/>
    <w:rsid w:val="003A36E8"/>
    <w:rsid w:val="003A3711"/>
    <w:rsid w:val="003A372D"/>
    <w:rsid w:val="003A373E"/>
    <w:rsid w:val="003A3743"/>
    <w:rsid w:val="003A375A"/>
    <w:rsid w:val="003A38D8"/>
    <w:rsid w:val="003A3B16"/>
    <w:rsid w:val="003A3E0D"/>
    <w:rsid w:val="003A3F39"/>
    <w:rsid w:val="003A3FA2"/>
    <w:rsid w:val="003A40ED"/>
    <w:rsid w:val="003A417D"/>
    <w:rsid w:val="003A4486"/>
    <w:rsid w:val="003A449C"/>
    <w:rsid w:val="003A44FF"/>
    <w:rsid w:val="003A45E5"/>
    <w:rsid w:val="003A4710"/>
    <w:rsid w:val="003A47FC"/>
    <w:rsid w:val="003A484F"/>
    <w:rsid w:val="003A485B"/>
    <w:rsid w:val="003A48E5"/>
    <w:rsid w:val="003A494E"/>
    <w:rsid w:val="003A49F4"/>
    <w:rsid w:val="003A4A13"/>
    <w:rsid w:val="003A4A2B"/>
    <w:rsid w:val="003A4A4B"/>
    <w:rsid w:val="003A4A71"/>
    <w:rsid w:val="003A4A8C"/>
    <w:rsid w:val="003A4BED"/>
    <w:rsid w:val="003A4C86"/>
    <w:rsid w:val="003A4D6B"/>
    <w:rsid w:val="003A4E45"/>
    <w:rsid w:val="003A4E48"/>
    <w:rsid w:val="003A4E56"/>
    <w:rsid w:val="003A4FEB"/>
    <w:rsid w:val="003A502F"/>
    <w:rsid w:val="003A51A9"/>
    <w:rsid w:val="003A51AE"/>
    <w:rsid w:val="003A51CA"/>
    <w:rsid w:val="003A525E"/>
    <w:rsid w:val="003A5311"/>
    <w:rsid w:val="003A540D"/>
    <w:rsid w:val="003A54EC"/>
    <w:rsid w:val="003A5514"/>
    <w:rsid w:val="003A551C"/>
    <w:rsid w:val="003A5573"/>
    <w:rsid w:val="003A55AC"/>
    <w:rsid w:val="003A55E1"/>
    <w:rsid w:val="003A5630"/>
    <w:rsid w:val="003A5645"/>
    <w:rsid w:val="003A5710"/>
    <w:rsid w:val="003A5762"/>
    <w:rsid w:val="003A58F8"/>
    <w:rsid w:val="003A5D1A"/>
    <w:rsid w:val="003A5DDB"/>
    <w:rsid w:val="003A5DE0"/>
    <w:rsid w:val="003A5DE4"/>
    <w:rsid w:val="003A5F04"/>
    <w:rsid w:val="003A62C5"/>
    <w:rsid w:val="003A633C"/>
    <w:rsid w:val="003A6451"/>
    <w:rsid w:val="003A64E8"/>
    <w:rsid w:val="003A65F2"/>
    <w:rsid w:val="003A667A"/>
    <w:rsid w:val="003A670B"/>
    <w:rsid w:val="003A6885"/>
    <w:rsid w:val="003A68DB"/>
    <w:rsid w:val="003A6A67"/>
    <w:rsid w:val="003A6C3A"/>
    <w:rsid w:val="003A6CE2"/>
    <w:rsid w:val="003A6EB0"/>
    <w:rsid w:val="003A700B"/>
    <w:rsid w:val="003A7169"/>
    <w:rsid w:val="003A7199"/>
    <w:rsid w:val="003A726D"/>
    <w:rsid w:val="003A7276"/>
    <w:rsid w:val="003A74D9"/>
    <w:rsid w:val="003A762E"/>
    <w:rsid w:val="003A7655"/>
    <w:rsid w:val="003A76D1"/>
    <w:rsid w:val="003A777A"/>
    <w:rsid w:val="003A7875"/>
    <w:rsid w:val="003A788B"/>
    <w:rsid w:val="003A78A3"/>
    <w:rsid w:val="003A7904"/>
    <w:rsid w:val="003A7955"/>
    <w:rsid w:val="003A7967"/>
    <w:rsid w:val="003A79AE"/>
    <w:rsid w:val="003A79C3"/>
    <w:rsid w:val="003A7A68"/>
    <w:rsid w:val="003A7CEB"/>
    <w:rsid w:val="003A7D0A"/>
    <w:rsid w:val="003A7F74"/>
    <w:rsid w:val="003A7F77"/>
    <w:rsid w:val="003B0030"/>
    <w:rsid w:val="003B0093"/>
    <w:rsid w:val="003B0097"/>
    <w:rsid w:val="003B00A4"/>
    <w:rsid w:val="003B023D"/>
    <w:rsid w:val="003B0330"/>
    <w:rsid w:val="003B0944"/>
    <w:rsid w:val="003B09BD"/>
    <w:rsid w:val="003B0B10"/>
    <w:rsid w:val="003B0C34"/>
    <w:rsid w:val="003B0C81"/>
    <w:rsid w:val="003B0C8B"/>
    <w:rsid w:val="003B0D28"/>
    <w:rsid w:val="003B0D76"/>
    <w:rsid w:val="003B0E26"/>
    <w:rsid w:val="003B0F9E"/>
    <w:rsid w:val="003B0FA2"/>
    <w:rsid w:val="003B0FD2"/>
    <w:rsid w:val="003B0FD9"/>
    <w:rsid w:val="003B101A"/>
    <w:rsid w:val="003B108E"/>
    <w:rsid w:val="003B10B2"/>
    <w:rsid w:val="003B10DF"/>
    <w:rsid w:val="003B10F0"/>
    <w:rsid w:val="003B11BB"/>
    <w:rsid w:val="003B1387"/>
    <w:rsid w:val="003B1482"/>
    <w:rsid w:val="003B180E"/>
    <w:rsid w:val="003B1A14"/>
    <w:rsid w:val="003B1A8D"/>
    <w:rsid w:val="003B1A98"/>
    <w:rsid w:val="003B1AE1"/>
    <w:rsid w:val="003B1B03"/>
    <w:rsid w:val="003B1BCE"/>
    <w:rsid w:val="003B1C74"/>
    <w:rsid w:val="003B1D4D"/>
    <w:rsid w:val="003B1FBC"/>
    <w:rsid w:val="003B215C"/>
    <w:rsid w:val="003B2206"/>
    <w:rsid w:val="003B22AC"/>
    <w:rsid w:val="003B2352"/>
    <w:rsid w:val="003B2389"/>
    <w:rsid w:val="003B23B4"/>
    <w:rsid w:val="003B23E0"/>
    <w:rsid w:val="003B23F9"/>
    <w:rsid w:val="003B2421"/>
    <w:rsid w:val="003B2642"/>
    <w:rsid w:val="003B2776"/>
    <w:rsid w:val="003B277D"/>
    <w:rsid w:val="003B2780"/>
    <w:rsid w:val="003B2820"/>
    <w:rsid w:val="003B283E"/>
    <w:rsid w:val="003B285F"/>
    <w:rsid w:val="003B28BB"/>
    <w:rsid w:val="003B296F"/>
    <w:rsid w:val="003B29E2"/>
    <w:rsid w:val="003B2AC9"/>
    <w:rsid w:val="003B2B52"/>
    <w:rsid w:val="003B2BA3"/>
    <w:rsid w:val="003B2C7C"/>
    <w:rsid w:val="003B2CF6"/>
    <w:rsid w:val="003B2E54"/>
    <w:rsid w:val="003B2EC5"/>
    <w:rsid w:val="003B2F65"/>
    <w:rsid w:val="003B3028"/>
    <w:rsid w:val="003B302C"/>
    <w:rsid w:val="003B302E"/>
    <w:rsid w:val="003B304F"/>
    <w:rsid w:val="003B310D"/>
    <w:rsid w:val="003B3110"/>
    <w:rsid w:val="003B311B"/>
    <w:rsid w:val="003B31F6"/>
    <w:rsid w:val="003B3228"/>
    <w:rsid w:val="003B331A"/>
    <w:rsid w:val="003B3379"/>
    <w:rsid w:val="003B35EB"/>
    <w:rsid w:val="003B35F0"/>
    <w:rsid w:val="003B39C9"/>
    <w:rsid w:val="003B3A3F"/>
    <w:rsid w:val="003B3AAA"/>
    <w:rsid w:val="003B3C47"/>
    <w:rsid w:val="003B3C54"/>
    <w:rsid w:val="003B3DAD"/>
    <w:rsid w:val="003B3DF9"/>
    <w:rsid w:val="003B3E54"/>
    <w:rsid w:val="003B3E87"/>
    <w:rsid w:val="003B3F96"/>
    <w:rsid w:val="003B3FBE"/>
    <w:rsid w:val="003B3FC9"/>
    <w:rsid w:val="003B4042"/>
    <w:rsid w:val="003B4103"/>
    <w:rsid w:val="003B412F"/>
    <w:rsid w:val="003B4192"/>
    <w:rsid w:val="003B43AF"/>
    <w:rsid w:val="003B43D1"/>
    <w:rsid w:val="003B4460"/>
    <w:rsid w:val="003B4597"/>
    <w:rsid w:val="003B48A6"/>
    <w:rsid w:val="003B490E"/>
    <w:rsid w:val="003B49BA"/>
    <w:rsid w:val="003B4A51"/>
    <w:rsid w:val="003B4AF3"/>
    <w:rsid w:val="003B4BEE"/>
    <w:rsid w:val="003B4C15"/>
    <w:rsid w:val="003B4CCC"/>
    <w:rsid w:val="003B4D71"/>
    <w:rsid w:val="003B4FD4"/>
    <w:rsid w:val="003B5114"/>
    <w:rsid w:val="003B523F"/>
    <w:rsid w:val="003B5328"/>
    <w:rsid w:val="003B55F2"/>
    <w:rsid w:val="003B5811"/>
    <w:rsid w:val="003B5979"/>
    <w:rsid w:val="003B59DA"/>
    <w:rsid w:val="003B59E0"/>
    <w:rsid w:val="003B5A92"/>
    <w:rsid w:val="003B5B38"/>
    <w:rsid w:val="003B5D47"/>
    <w:rsid w:val="003B5DA6"/>
    <w:rsid w:val="003B5DC2"/>
    <w:rsid w:val="003B5DC6"/>
    <w:rsid w:val="003B5E33"/>
    <w:rsid w:val="003B5FE6"/>
    <w:rsid w:val="003B606B"/>
    <w:rsid w:val="003B606F"/>
    <w:rsid w:val="003B607F"/>
    <w:rsid w:val="003B60D8"/>
    <w:rsid w:val="003B61EC"/>
    <w:rsid w:val="003B6230"/>
    <w:rsid w:val="003B627E"/>
    <w:rsid w:val="003B62F0"/>
    <w:rsid w:val="003B6365"/>
    <w:rsid w:val="003B65C0"/>
    <w:rsid w:val="003B6606"/>
    <w:rsid w:val="003B66BC"/>
    <w:rsid w:val="003B66E7"/>
    <w:rsid w:val="003B6785"/>
    <w:rsid w:val="003B6840"/>
    <w:rsid w:val="003B6937"/>
    <w:rsid w:val="003B6B1E"/>
    <w:rsid w:val="003B6B99"/>
    <w:rsid w:val="003B6C4D"/>
    <w:rsid w:val="003B6CDD"/>
    <w:rsid w:val="003B6E29"/>
    <w:rsid w:val="003B6EA7"/>
    <w:rsid w:val="003B6F00"/>
    <w:rsid w:val="003B6F90"/>
    <w:rsid w:val="003B6FA4"/>
    <w:rsid w:val="003B6FC4"/>
    <w:rsid w:val="003B7046"/>
    <w:rsid w:val="003B70BE"/>
    <w:rsid w:val="003B716F"/>
    <w:rsid w:val="003B7188"/>
    <w:rsid w:val="003B724F"/>
    <w:rsid w:val="003B7300"/>
    <w:rsid w:val="003B7364"/>
    <w:rsid w:val="003B7449"/>
    <w:rsid w:val="003B746F"/>
    <w:rsid w:val="003B750B"/>
    <w:rsid w:val="003B7523"/>
    <w:rsid w:val="003B7591"/>
    <w:rsid w:val="003B75A3"/>
    <w:rsid w:val="003B768A"/>
    <w:rsid w:val="003B76B5"/>
    <w:rsid w:val="003B76E8"/>
    <w:rsid w:val="003B777E"/>
    <w:rsid w:val="003B77D5"/>
    <w:rsid w:val="003B7E00"/>
    <w:rsid w:val="003B7E5C"/>
    <w:rsid w:val="003B7E85"/>
    <w:rsid w:val="003B7F17"/>
    <w:rsid w:val="003B7F44"/>
    <w:rsid w:val="003B7F72"/>
    <w:rsid w:val="003C0016"/>
    <w:rsid w:val="003C00B5"/>
    <w:rsid w:val="003C0188"/>
    <w:rsid w:val="003C028D"/>
    <w:rsid w:val="003C038D"/>
    <w:rsid w:val="003C0480"/>
    <w:rsid w:val="003C04F8"/>
    <w:rsid w:val="003C05DE"/>
    <w:rsid w:val="003C0657"/>
    <w:rsid w:val="003C06FE"/>
    <w:rsid w:val="003C082C"/>
    <w:rsid w:val="003C0863"/>
    <w:rsid w:val="003C0A88"/>
    <w:rsid w:val="003C0A96"/>
    <w:rsid w:val="003C0ACD"/>
    <w:rsid w:val="003C0C17"/>
    <w:rsid w:val="003C0C2E"/>
    <w:rsid w:val="003C0C81"/>
    <w:rsid w:val="003C0EE9"/>
    <w:rsid w:val="003C0F53"/>
    <w:rsid w:val="003C0F58"/>
    <w:rsid w:val="003C0FC6"/>
    <w:rsid w:val="003C105C"/>
    <w:rsid w:val="003C109D"/>
    <w:rsid w:val="003C10E2"/>
    <w:rsid w:val="003C12AF"/>
    <w:rsid w:val="003C1310"/>
    <w:rsid w:val="003C1390"/>
    <w:rsid w:val="003C15A1"/>
    <w:rsid w:val="003C15A8"/>
    <w:rsid w:val="003C163B"/>
    <w:rsid w:val="003C1752"/>
    <w:rsid w:val="003C1798"/>
    <w:rsid w:val="003C1874"/>
    <w:rsid w:val="003C18D5"/>
    <w:rsid w:val="003C1A10"/>
    <w:rsid w:val="003C1AA1"/>
    <w:rsid w:val="003C1B24"/>
    <w:rsid w:val="003C1BE7"/>
    <w:rsid w:val="003C1BEA"/>
    <w:rsid w:val="003C1CAC"/>
    <w:rsid w:val="003C1DA3"/>
    <w:rsid w:val="003C1FE3"/>
    <w:rsid w:val="003C1FF5"/>
    <w:rsid w:val="003C21C8"/>
    <w:rsid w:val="003C25F5"/>
    <w:rsid w:val="003C2665"/>
    <w:rsid w:val="003C269B"/>
    <w:rsid w:val="003C26F0"/>
    <w:rsid w:val="003C2847"/>
    <w:rsid w:val="003C284B"/>
    <w:rsid w:val="003C2854"/>
    <w:rsid w:val="003C28FA"/>
    <w:rsid w:val="003C2900"/>
    <w:rsid w:val="003C293F"/>
    <w:rsid w:val="003C29E8"/>
    <w:rsid w:val="003C2AD6"/>
    <w:rsid w:val="003C2BEB"/>
    <w:rsid w:val="003C2C36"/>
    <w:rsid w:val="003C2CEE"/>
    <w:rsid w:val="003C2D04"/>
    <w:rsid w:val="003C2D07"/>
    <w:rsid w:val="003C2E46"/>
    <w:rsid w:val="003C2E6F"/>
    <w:rsid w:val="003C2EA8"/>
    <w:rsid w:val="003C2F91"/>
    <w:rsid w:val="003C2FB1"/>
    <w:rsid w:val="003C2FE5"/>
    <w:rsid w:val="003C30EB"/>
    <w:rsid w:val="003C3213"/>
    <w:rsid w:val="003C33EB"/>
    <w:rsid w:val="003C34C7"/>
    <w:rsid w:val="003C34CD"/>
    <w:rsid w:val="003C357A"/>
    <w:rsid w:val="003C370A"/>
    <w:rsid w:val="003C3829"/>
    <w:rsid w:val="003C390D"/>
    <w:rsid w:val="003C3944"/>
    <w:rsid w:val="003C3A3E"/>
    <w:rsid w:val="003C3A5C"/>
    <w:rsid w:val="003C3A97"/>
    <w:rsid w:val="003C3B29"/>
    <w:rsid w:val="003C3C01"/>
    <w:rsid w:val="003C3E2E"/>
    <w:rsid w:val="003C3E5C"/>
    <w:rsid w:val="003C4142"/>
    <w:rsid w:val="003C4386"/>
    <w:rsid w:val="003C43D7"/>
    <w:rsid w:val="003C43D9"/>
    <w:rsid w:val="003C4478"/>
    <w:rsid w:val="003C44E2"/>
    <w:rsid w:val="003C4522"/>
    <w:rsid w:val="003C45E9"/>
    <w:rsid w:val="003C46D1"/>
    <w:rsid w:val="003C4773"/>
    <w:rsid w:val="003C4885"/>
    <w:rsid w:val="003C4955"/>
    <w:rsid w:val="003C49AC"/>
    <w:rsid w:val="003C4A47"/>
    <w:rsid w:val="003C4BE4"/>
    <w:rsid w:val="003C4DC1"/>
    <w:rsid w:val="003C4DE4"/>
    <w:rsid w:val="003C4E48"/>
    <w:rsid w:val="003C4EE6"/>
    <w:rsid w:val="003C508A"/>
    <w:rsid w:val="003C53D1"/>
    <w:rsid w:val="003C5626"/>
    <w:rsid w:val="003C5730"/>
    <w:rsid w:val="003C5882"/>
    <w:rsid w:val="003C5955"/>
    <w:rsid w:val="003C5A38"/>
    <w:rsid w:val="003C5A88"/>
    <w:rsid w:val="003C5B0E"/>
    <w:rsid w:val="003C5B2C"/>
    <w:rsid w:val="003C5F0E"/>
    <w:rsid w:val="003C63AC"/>
    <w:rsid w:val="003C63DA"/>
    <w:rsid w:val="003C640F"/>
    <w:rsid w:val="003C6494"/>
    <w:rsid w:val="003C64FD"/>
    <w:rsid w:val="003C6741"/>
    <w:rsid w:val="003C675F"/>
    <w:rsid w:val="003C67C9"/>
    <w:rsid w:val="003C69AA"/>
    <w:rsid w:val="003C6C26"/>
    <w:rsid w:val="003C6C77"/>
    <w:rsid w:val="003C6E38"/>
    <w:rsid w:val="003C6FBA"/>
    <w:rsid w:val="003C701B"/>
    <w:rsid w:val="003C70E0"/>
    <w:rsid w:val="003C7199"/>
    <w:rsid w:val="003C741E"/>
    <w:rsid w:val="003C753F"/>
    <w:rsid w:val="003C755D"/>
    <w:rsid w:val="003C757A"/>
    <w:rsid w:val="003C76CD"/>
    <w:rsid w:val="003C76D2"/>
    <w:rsid w:val="003C76FB"/>
    <w:rsid w:val="003C7743"/>
    <w:rsid w:val="003C77CE"/>
    <w:rsid w:val="003C7856"/>
    <w:rsid w:val="003C79A8"/>
    <w:rsid w:val="003C7C13"/>
    <w:rsid w:val="003C7C3C"/>
    <w:rsid w:val="003C7DB2"/>
    <w:rsid w:val="003C7E5F"/>
    <w:rsid w:val="003C7E97"/>
    <w:rsid w:val="003D01F2"/>
    <w:rsid w:val="003D02A1"/>
    <w:rsid w:val="003D05A1"/>
    <w:rsid w:val="003D05E0"/>
    <w:rsid w:val="003D064C"/>
    <w:rsid w:val="003D0675"/>
    <w:rsid w:val="003D06C1"/>
    <w:rsid w:val="003D06EF"/>
    <w:rsid w:val="003D0961"/>
    <w:rsid w:val="003D0AF4"/>
    <w:rsid w:val="003D0C96"/>
    <w:rsid w:val="003D0CC2"/>
    <w:rsid w:val="003D0D3F"/>
    <w:rsid w:val="003D0D79"/>
    <w:rsid w:val="003D0D7C"/>
    <w:rsid w:val="003D0ECD"/>
    <w:rsid w:val="003D0F70"/>
    <w:rsid w:val="003D0F97"/>
    <w:rsid w:val="003D102A"/>
    <w:rsid w:val="003D1031"/>
    <w:rsid w:val="003D1074"/>
    <w:rsid w:val="003D1162"/>
    <w:rsid w:val="003D142C"/>
    <w:rsid w:val="003D146A"/>
    <w:rsid w:val="003D1605"/>
    <w:rsid w:val="003D176C"/>
    <w:rsid w:val="003D18BB"/>
    <w:rsid w:val="003D1998"/>
    <w:rsid w:val="003D19A6"/>
    <w:rsid w:val="003D1A80"/>
    <w:rsid w:val="003D1BB5"/>
    <w:rsid w:val="003D1BD7"/>
    <w:rsid w:val="003D1CA2"/>
    <w:rsid w:val="003D1E1F"/>
    <w:rsid w:val="003D1F0A"/>
    <w:rsid w:val="003D1F5B"/>
    <w:rsid w:val="003D1FE2"/>
    <w:rsid w:val="003D2060"/>
    <w:rsid w:val="003D206E"/>
    <w:rsid w:val="003D2194"/>
    <w:rsid w:val="003D21B3"/>
    <w:rsid w:val="003D21DC"/>
    <w:rsid w:val="003D2316"/>
    <w:rsid w:val="003D234A"/>
    <w:rsid w:val="003D235A"/>
    <w:rsid w:val="003D2367"/>
    <w:rsid w:val="003D263A"/>
    <w:rsid w:val="003D2BE0"/>
    <w:rsid w:val="003D2C38"/>
    <w:rsid w:val="003D2CB4"/>
    <w:rsid w:val="003D2CC3"/>
    <w:rsid w:val="003D2D8B"/>
    <w:rsid w:val="003D2D92"/>
    <w:rsid w:val="003D2E7F"/>
    <w:rsid w:val="003D2F63"/>
    <w:rsid w:val="003D306F"/>
    <w:rsid w:val="003D31FE"/>
    <w:rsid w:val="003D3324"/>
    <w:rsid w:val="003D339F"/>
    <w:rsid w:val="003D3491"/>
    <w:rsid w:val="003D353E"/>
    <w:rsid w:val="003D35A4"/>
    <w:rsid w:val="003D3678"/>
    <w:rsid w:val="003D368F"/>
    <w:rsid w:val="003D3767"/>
    <w:rsid w:val="003D3798"/>
    <w:rsid w:val="003D384B"/>
    <w:rsid w:val="003D387B"/>
    <w:rsid w:val="003D3A20"/>
    <w:rsid w:val="003D3D79"/>
    <w:rsid w:val="003D3E54"/>
    <w:rsid w:val="003D3F67"/>
    <w:rsid w:val="003D3F7A"/>
    <w:rsid w:val="003D4116"/>
    <w:rsid w:val="003D415F"/>
    <w:rsid w:val="003D41E2"/>
    <w:rsid w:val="003D4298"/>
    <w:rsid w:val="003D4371"/>
    <w:rsid w:val="003D4478"/>
    <w:rsid w:val="003D459C"/>
    <w:rsid w:val="003D4654"/>
    <w:rsid w:val="003D48D3"/>
    <w:rsid w:val="003D49CE"/>
    <w:rsid w:val="003D4B95"/>
    <w:rsid w:val="003D4BE1"/>
    <w:rsid w:val="003D4D58"/>
    <w:rsid w:val="003D4E7F"/>
    <w:rsid w:val="003D4F74"/>
    <w:rsid w:val="003D4FA3"/>
    <w:rsid w:val="003D5199"/>
    <w:rsid w:val="003D5241"/>
    <w:rsid w:val="003D5300"/>
    <w:rsid w:val="003D53AC"/>
    <w:rsid w:val="003D5531"/>
    <w:rsid w:val="003D55A0"/>
    <w:rsid w:val="003D56DD"/>
    <w:rsid w:val="003D5766"/>
    <w:rsid w:val="003D58B8"/>
    <w:rsid w:val="003D58F7"/>
    <w:rsid w:val="003D5947"/>
    <w:rsid w:val="003D59C5"/>
    <w:rsid w:val="003D5B58"/>
    <w:rsid w:val="003D5B67"/>
    <w:rsid w:val="003D5BEF"/>
    <w:rsid w:val="003D5C48"/>
    <w:rsid w:val="003D5CC7"/>
    <w:rsid w:val="003D5D14"/>
    <w:rsid w:val="003D5D3B"/>
    <w:rsid w:val="003D5DEF"/>
    <w:rsid w:val="003D5E87"/>
    <w:rsid w:val="003D5F63"/>
    <w:rsid w:val="003D5F8C"/>
    <w:rsid w:val="003D6056"/>
    <w:rsid w:val="003D605D"/>
    <w:rsid w:val="003D6065"/>
    <w:rsid w:val="003D6081"/>
    <w:rsid w:val="003D608A"/>
    <w:rsid w:val="003D611C"/>
    <w:rsid w:val="003D6122"/>
    <w:rsid w:val="003D61BD"/>
    <w:rsid w:val="003D6273"/>
    <w:rsid w:val="003D643A"/>
    <w:rsid w:val="003D64A3"/>
    <w:rsid w:val="003D662A"/>
    <w:rsid w:val="003D663E"/>
    <w:rsid w:val="003D665C"/>
    <w:rsid w:val="003D66BB"/>
    <w:rsid w:val="003D6857"/>
    <w:rsid w:val="003D69EA"/>
    <w:rsid w:val="003D6A83"/>
    <w:rsid w:val="003D6C4C"/>
    <w:rsid w:val="003D6C9A"/>
    <w:rsid w:val="003D6CEB"/>
    <w:rsid w:val="003D6DAD"/>
    <w:rsid w:val="003D6F37"/>
    <w:rsid w:val="003D6FE1"/>
    <w:rsid w:val="003D7002"/>
    <w:rsid w:val="003D7017"/>
    <w:rsid w:val="003D719E"/>
    <w:rsid w:val="003D7271"/>
    <w:rsid w:val="003D72FF"/>
    <w:rsid w:val="003D732E"/>
    <w:rsid w:val="003D7373"/>
    <w:rsid w:val="003D745A"/>
    <w:rsid w:val="003D74B0"/>
    <w:rsid w:val="003D75C0"/>
    <w:rsid w:val="003D770F"/>
    <w:rsid w:val="003D79AC"/>
    <w:rsid w:val="003D7B7D"/>
    <w:rsid w:val="003D7D96"/>
    <w:rsid w:val="003D7DB0"/>
    <w:rsid w:val="003D7E64"/>
    <w:rsid w:val="003D7EC0"/>
    <w:rsid w:val="003E007B"/>
    <w:rsid w:val="003E01E9"/>
    <w:rsid w:val="003E023C"/>
    <w:rsid w:val="003E029E"/>
    <w:rsid w:val="003E037F"/>
    <w:rsid w:val="003E0455"/>
    <w:rsid w:val="003E0566"/>
    <w:rsid w:val="003E063C"/>
    <w:rsid w:val="003E0655"/>
    <w:rsid w:val="003E06AA"/>
    <w:rsid w:val="003E07C1"/>
    <w:rsid w:val="003E0939"/>
    <w:rsid w:val="003E0B53"/>
    <w:rsid w:val="003E0C5A"/>
    <w:rsid w:val="003E0D3A"/>
    <w:rsid w:val="003E0E74"/>
    <w:rsid w:val="003E0F94"/>
    <w:rsid w:val="003E10F4"/>
    <w:rsid w:val="003E113E"/>
    <w:rsid w:val="003E11C2"/>
    <w:rsid w:val="003E12B1"/>
    <w:rsid w:val="003E138D"/>
    <w:rsid w:val="003E1503"/>
    <w:rsid w:val="003E1542"/>
    <w:rsid w:val="003E1594"/>
    <w:rsid w:val="003E16BD"/>
    <w:rsid w:val="003E1820"/>
    <w:rsid w:val="003E187D"/>
    <w:rsid w:val="003E18A7"/>
    <w:rsid w:val="003E18B9"/>
    <w:rsid w:val="003E1931"/>
    <w:rsid w:val="003E1947"/>
    <w:rsid w:val="003E19F3"/>
    <w:rsid w:val="003E1B23"/>
    <w:rsid w:val="003E1D83"/>
    <w:rsid w:val="003E1E84"/>
    <w:rsid w:val="003E1FBD"/>
    <w:rsid w:val="003E21ED"/>
    <w:rsid w:val="003E2238"/>
    <w:rsid w:val="003E238D"/>
    <w:rsid w:val="003E23FA"/>
    <w:rsid w:val="003E2594"/>
    <w:rsid w:val="003E25AC"/>
    <w:rsid w:val="003E262A"/>
    <w:rsid w:val="003E26F4"/>
    <w:rsid w:val="003E298D"/>
    <w:rsid w:val="003E2F4B"/>
    <w:rsid w:val="003E2F6A"/>
    <w:rsid w:val="003E304C"/>
    <w:rsid w:val="003E315C"/>
    <w:rsid w:val="003E31E7"/>
    <w:rsid w:val="003E322A"/>
    <w:rsid w:val="003E3290"/>
    <w:rsid w:val="003E329B"/>
    <w:rsid w:val="003E3308"/>
    <w:rsid w:val="003E33E8"/>
    <w:rsid w:val="003E33EC"/>
    <w:rsid w:val="003E34CA"/>
    <w:rsid w:val="003E3794"/>
    <w:rsid w:val="003E3838"/>
    <w:rsid w:val="003E39DD"/>
    <w:rsid w:val="003E3AB4"/>
    <w:rsid w:val="003E3AE0"/>
    <w:rsid w:val="003E3BC5"/>
    <w:rsid w:val="003E3C39"/>
    <w:rsid w:val="003E3E5E"/>
    <w:rsid w:val="003E3E7B"/>
    <w:rsid w:val="003E3EF2"/>
    <w:rsid w:val="003E3F78"/>
    <w:rsid w:val="003E3FC5"/>
    <w:rsid w:val="003E402C"/>
    <w:rsid w:val="003E4114"/>
    <w:rsid w:val="003E4254"/>
    <w:rsid w:val="003E42A8"/>
    <w:rsid w:val="003E45C6"/>
    <w:rsid w:val="003E45D1"/>
    <w:rsid w:val="003E466D"/>
    <w:rsid w:val="003E47B7"/>
    <w:rsid w:val="003E4834"/>
    <w:rsid w:val="003E48DE"/>
    <w:rsid w:val="003E48E2"/>
    <w:rsid w:val="003E49BA"/>
    <w:rsid w:val="003E4B4D"/>
    <w:rsid w:val="003E4B75"/>
    <w:rsid w:val="003E4BC5"/>
    <w:rsid w:val="003E4CA4"/>
    <w:rsid w:val="003E4E32"/>
    <w:rsid w:val="003E4F05"/>
    <w:rsid w:val="003E5037"/>
    <w:rsid w:val="003E5069"/>
    <w:rsid w:val="003E5103"/>
    <w:rsid w:val="003E51A0"/>
    <w:rsid w:val="003E51B1"/>
    <w:rsid w:val="003E51EB"/>
    <w:rsid w:val="003E523D"/>
    <w:rsid w:val="003E548E"/>
    <w:rsid w:val="003E583B"/>
    <w:rsid w:val="003E5854"/>
    <w:rsid w:val="003E5923"/>
    <w:rsid w:val="003E5B1D"/>
    <w:rsid w:val="003E5BD5"/>
    <w:rsid w:val="003E5D5B"/>
    <w:rsid w:val="003E5DB8"/>
    <w:rsid w:val="003E5DFC"/>
    <w:rsid w:val="003E5E0F"/>
    <w:rsid w:val="003E5E28"/>
    <w:rsid w:val="003E5EE9"/>
    <w:rsid w:val="003E6160"/>
    <w:rsid w:val="003E619A"/>
    <w:rsid w:val="003E624B"/>
    <w:rsid w:val="003E63E8"/>
    <w:rsid w:val="003E6485"/>
    <w:rsid w:val="003E6548"/>
    <w:rsid w:val="003E666F"/>
    <w:rsid w:val="003E6693"/>
    <w:rsid w:val="003E67B6"/>
    <w:rsid w:val="003E6911"/>
    <w:rsid w:val="003E6A23"/>
    <w:rsid w:val="003E6AAB"/>
    <w:rsid w:val="003E6B6C"/>
    <w:rsid w:val="003E6D26"/>
    <w:rsid w:val="003E6ED3"/>
    <w:rsid w:val="003E6ED6"/>
    <w:rsid w:val="003E71FC"/>
    <w:rsid w:val="003E7206"/>
    <w:rsid w:val="003E7228"/>
    <w:rsid w:val="003E7250"/>
    <w:rsid w:val="003E739D"/>
    <w:rsid w:val="003E74A4"/>
    <w:rsid w:val="003E779B"/>
    <w:rsid w:val="003E7AF9"/>
    <w:rsid w:val="003E7D1A"/>
    <w:rsid w:val="003E7D5F"/>
    <w:rsid w:val="003E7DA1"/>
    <w:rsid w:val="003F00B8"/>
    <w:rsid w:val="003F0214"/>
    <w:rsid w:val="003F02DC"/>
    <w:rsid w:val="003F0300"/>
    <w:rsid w:val="003F045C"/>
    <w:rsid w:val="003F0789"/>
    <w:rsid w:val="003F08AB"/>
    <w:rsid w:val="003F08E8"/>
    <w:rsid w:val="003F09DE"/>
    <w:rsid w:val="003F09F6"/>
    <w:rsid w:val="003F0ADC"/>
    <w:rsid w:val="003F0AF6"/>
    <w:rsid w:val="003F0B56"/>
    <w:rsid w:val="003F0E17"/>
    <w:rsid w:val="003F0E8A"/>
    <w:rsid w:val="003F0F02"/>
    <w:rsid w:val="003F1070"/>
    <w:rsid w:val="003F10F5"/>
    <w:rsid w:val="003F1292"/>
    <w:rsid w:val="003F12BF"/>
    <w:rsid w:val="003F1445"/>
    <w:rsid w:val="003F14C4"/>
    <w:rsid w:val="003F1524"/>
    <w:rsid w:val="003F1731"/>
    <w:rsid w:val="003F175B"/>
    <w:rsid w:val="003F1884"/>
    <w:rsid w:val="003F1894"/>
    <w:rsid w:val="003F1973"/>
    <w:rsid w:val="003F19B1"/>
    <w:rsid w:val="003F19FA"/>
    <w:rsid w:val="003F1A38"/>
    <w:rsid w:val="003F1A8A"/>
    <w:rsid w:val="003F1AFF"/>
    <w:rsid w:val="003F1B5C"/>
    <w:rsid w:val="003F1BDA"/>
    <w:rsid w:val="003F1CF7"/>
    <w:rsid w:val="003F1D50"/>
    <w:rsid w:val="003F1E5C"/>
    <w:rsid w:val="003F1E84"/>
    <w:rsid w:val="003F1F88"/>
    <w:rsid w:val="003F1F93"/>
    <w:rsid w:val="003F1FB1"/>
    <w:rsid w:val="003F210F"/>
    <w:rsid w:val="003F21B5"/>
    <w:rsid w:val="003F2224"/>
    <w:rsid w:val="003F226C"/>
    <w:rsid w:val="003F22DB"/>
    <w:rsid w:val="003F2584"/>
    <w:rsid w:val="003F2596"/>
    <w:rsid w:val="003F25E9"/>
    <w:rsid w:val="003F2659"/>
    <w:rsid w:val="003F26B6"/>
    <w:rsid w:val="003F2AB8"/>
    <w:rsid w:val="003F2BA7"/>
    <w:rsid w:val="003F2E7E"/>
    <w:rsid w:val="003F2EE1"/>
    <w:rsid w:val="003F2EEB"/>
    <w:rsid w:val="003F2F1B"/>
    <w:rsid w:val="003F31A3"/>
    <w:rsid w:val="003F3313"/>
    <w:rsid w:val="003F33A2"/>
    <w:rsid w:val="003F341F"/>
    <w:rsid w:val="003F3426"/>
    <w:rsid w:val="003F3479"/>
    <w:rsid w:val="003F354B"/>
    <w:rsid w:val="003F357A"/>
    <w:rsid w:val="003F3845"/>
    <w:rsid w:val="003F38CC"/>
    <w:rsid w:val="003F38D2"/>
    <w:rsid w:val="003F39C7"/>
    <w:rsid w:val="003F3C0D"/>
    <w:rsid w:val="003F3ED3"/>
    <w:rsid w:val="003F3F26"/>
    <w:rsid w:val="003F3FD4"/>
    <w:rsid w:val="003F3FE0"/>
    <w:rsid w:val="003F406E"/>
    <w:rsid w:val="003F432C"/>
    <w:rsid w:val="003F4367"/>
    <w:rsid w:val="003F456A"/>
    <w:rsid w:val="003F45E6"/>
    <w:rsid w:val="003F4635"/>
    <w:rsid w:val="003F465B"/>
    <w:rsid w:val="003F4736"/>
    <w:rsid w:val="003F4789"/>
    <w:rsid w:val="003F4859"/>
    <w:rsid w:val="003F48DE"/>
    <w:rsid w:val="003F4A2C"/>
    <w:rsid w:val="003F4AA9"/>
    <w:rsid w:val="003F4B58"/>
    <w:rsid w:val="003F4C9F"/>
    <w:rsid w:val="003F4CC1"/>
    <w:rsid w:val="003F4CCC"/>
    <w:rsid w:val="003F4CEF"/>
    <w:rsid w:val="003F4DFF"/>
    <w:rsid w:val="003F4E8B"/>
    <w:rsid w:val="003F4EB9"/>
    <w:rsid w:val="003F4EF6"/>
    <w:rsid w:val="003F5059"/>
    <w:rsid w:val="003F508B"/>
    <w:rsid w:val="003F50ED"/>
    <w:rsid w:val="003F5260"/>
    <w:rsid w:val="003F5278"/>
    <w:rsid w:val="003F5374"/>
    <w:rsid w:val="003F5427"/>
    <w:rsid w:val="003F54BA"/>
    <w:rsid w:val="003F5529"/>
    <w:rsid w:val="003F56E2"/>
    <w:rsid w:val="003F597C"/>
    <w:rsid w:val="003F599C"/>
    <w:rsid w:val="003F5AFF"/>
    <w:rsid w:val="003F5B4A"/>
    <w:rsid w:val="003F5B55"/>
    <w:rsid w:val="003F5E1F"/>
    <w:rsid w:val="003F5E8C"/>
    <w:rsid w:val="003F5F27"/>
    <w:rsid w:val="003F6061"/>
    <w:rsid w:val="003F60C5"/>
    <w:rsid w:val="003F616F"/>
    <w:rsid w:val="003F61F2"/>
    <w:rsid w:val="003F61F4"/>
    <w:rsid w:val="003F635E"/>
    <w:rsid w:val="003F63B0"/>
    <w:rsid w:val="003F649D"/>
    <w:rsid w:val="003F6502"/>
    <w:rsid w:val="003F6651"/>
    <w:rsid w:val="003F6689"/>
    <w:rsid w:val="003F66E7"/>
    <w:rsid w:val="003F6867"/>
    <w:rsid w:val="003F6892"/>
    <w:rsid w:val="003F6919"/>
    <w:rsid w:val="003F6949"/>
    <w:rsid w:val="003F694D"/>
    <w:rsid w:val="003F6B6E"/>
    <w:rsid w:val="003F6BF7"/>
    <w:rsid w:val="003F6C3B"/>
    <w:rsid w:val="003F6C6F"/>
    <w:rsid w:val="003F6CF9"/>
    <w:rsid w:val="003F6FF0"/>
    <w:rsid w:val="003F726E"/>
    <w:rsid w:val="003F7332"/>
    <w:rsid w:val="003F738E"/>
    <w:rsid w:val="003F741B"/>
    <w:rsid w:val="003F7453"/>
    <w:rsid w:val="003F74D1"/>
    <w:rsid w:val="003F753E"/>
    <w:rsid w:val="003F76AC"/>
    <w:rsid w:val="003F77D1"/>
    <w:rsid w:val="003F7952"/>
    <w:rsid w:val="003F79FC"/>
    <w:rsid w:val="003F79FE"/>
    <w:rsid w:val="003F7A58"/>
    <w:rsid w:val="003F7AF6"/>
    <w:rsid w:val="003F7AFF"/>
    <w:rsid w:val="003F7B47"/>
    <w:rsid w:val="003F7BCD"/>
    <w:rsid w:val="003F7CB2"/>
    <w:rsid w:val="003F7E35"/>
    <w:rsid w:val="003F7E3D"/>
    <w:rsid w:val="003F7E90"/>
    <w:rsid w:val="003F7FAC"/>
    <w:rsid w:val="003F7FDA"/>
    <w:rsid w:val="003F7FFA"/>
    <w:rsid w:val="0040001A"/>
    <w:rsid w:val="00400042"/>
    <w:rsid w:val="00400150"/>
    <w:rsid w:val="004001F6"/>
    <w:rsid w:val="004002BB"/>
    <w:rsid w:val="0040030D"/>
    <w:rsid w:val="0040047D"/>
    <w:rsid w:val="004004EB"/>
    <w:rsid w:val="00400789"/>
    <w:rsid w:val="00400802"/>
    <w:rsid w:val="00400953"/>
    <w:rsid w:val="00400BDB"/>
    <w:rsid w:val="00400C74"/>
    <w:rsid w:val="00400CB7"/>
    <w:rsid w:val="00400D5F"/>
    <w:rsid w:val="004011DA"/>
    <w:rsid w:val="004012D7"/>
    <w:rsid w:val="00401341"/>
    <w:rsid w:val="00401450"/>
    <w:rsid w:val="0040152A"/>
    <w:rsid w:val="00401565"/>
    <w:rsid w:val="00401568"/>
    <w:rsid w:val="004015F7"/>
    <w:rsid w:val="0040160F"/>
    <w:rsid w:val="0040161D"/>
    <w:rsid w:val="00401644"/>
    <w:rsid w:val="0040176F"/>
    <w:rsid w:val="00401817"/>
    <w:rsid w:val="00401867"/>
    <w:rsid w:val="004018C9"/>
    <w:rsid w:val="00401997"/>
    <w:rsid w:val="00401A5B"/>
    <w:rsid w:val="00401AC1"/>
    <w:rsid w:val="00401B49"/>
    <w:rsid w:val="00401C6A"/>
    <w:rsid w:val="00401DD0"/>
    <w:rsid w:val="00401E8C"/>
    <w:rsid w:val="00401E9D"/>
    <w:rsid w:val="00402011"/>
    <w:rsid w:val="00402075"/>
    <w:rsid w:val="00402125"/>
    <w:rsid w:val="004021FD"/>
    <w:rsid w:val="00402264"/>
    <w:rsid w:val="004022CC"/>
    <w:rsid w:val="00402329"/>
    <w:rsid w:val="0040235D"/>
    <w:rsid w:val="0040236B"/>
    <w:rsid w:val="00402426"/>
    <w:rsid w:val="0040244D"/>
    <w:rsid w:val="004025B9"/>
    <w:rsid w:val="0040264B"/>
    <w:rsid w:val="0040269F"/>
    <w:rsid w:val="0040272F"/>
    <w:rsid w:val="0040276F"/>
    <w:rsid w:val="004027CB"/>
    <w:rsid w:val="0040283E"/>
    <w:rsid w:val="004029FA"/>
    <w:rsid w:val="00402A4B"/>
    <w:rsid w:val="00402B06"/>
    <w:rsid w:val="00402B1C"/>
    <w:rsid w:val="00402B8B"/>
    <w:rsid w:val="00402BD1"/>
    <w:rsid w:val="00402BE1"/>
    <w:rsid w:val="00402C1F"/>
    <w:rsid w:val="00402C75"/>
    <w:rsid w:val="00402C92"/>
    <w:rsid w:val="00402D84"/>
    <w:rsid w:val="00402DC3"/>
    <w:rsid w:val="00402DC5"/>
    <w:rsid w:val="00402E5F"/>
    <w:rsid w:val="00402ED1"/>
    <w:rsid w:val="00402F3A"/>
    <w:rsid w:val="004030FA"/>
    <w:rsid w:val="004031C2"/>
    <w:rsid w:val="004031CB"/>
    <w:rsid w:val="0040328F"/>
    <w:rsid w:val="00403347"/>
    <w:rsid w:val="00403383"/>
    <w:rsid w:val="0040345A"/>
    <w:rsid w:val="00403663"/>
    <w:rsid w:val="00403704"/>
    <w:rsid w:val="004037BC"/>
    <w:rsid w:val="004037E9"/>
    <w:rsid w:val="004038BD"/>
    <w:rsid w:val="004038E1"/>
    <w:rsid w:val="00403AA5"/>
    <w:rsid w:val="00403AF3"/>
    <w:rsid w:val="00403B4C"/>
    <w:rsid w:val="00403B95"/>
    <w:rsid w:val="00403BCC"/>
    <w:rsid w:val="00403D00"/>
    <w:rsid w:val="00403D22"/>
    <w:rsid w:val="00403D9A"/>
    <w:rsid w:val="00403DD8"/>
    <w:rsid w:val="00403E1B"/>
    <w:rsid w:val="00403E50"/>
    <w:rsid w:val="00403E68"/>
    <w:rsid w:val="00403E85"/>
    <w:rsid w:val="00403F58"/>
    <w:rsid w:val="00403F9B"/>
    <w:rsid w:val="0040405B"/>
    <w:rsid w:val="00404079"/>
    <w:rsid w:val="004040FF"/>
    <w:rsid w:val="00404297"/>
    <w:rsid w:val="004042AA"/>
    <w:rsid w:val="004043C4"/>
    <w:rsid w:val="0040445C"/>
    <w:rsid w:val="00404474"/>
    <w:rsid w:val="004044BB"/>
    <w:rsid w:val="0040451F"/>
    <w:rsid w:val="00404550"/>
    <w:rsid w:val="004045A2"/>
    <w:rsid w:val="00404648"/>
    <w:rsid w:val="00404735"/>
    <w:rsid w:val="004047EE"/>
    <w:rsid w:val="004048FA"/>
    <w:rsid w:val="00404A35"/>
    <w:rsid w:val="00404AF2"/>
    <w:rsid w:val="00404B98"/>
    <w:rsid w:val="00404C52"/>
    <w:rsid w:val="00404C91"/>
    <w:rsid w:val="00404DBD"/>
    <w:rsid w:val="00404E9F"/>
    <w:rsid w:val="00404F02"/>
    <w:rsid w:val="00404FE5"/>
    <w:rsid w:val="00405103"/>
    <w:rsid w:val="00405150"/>
    <w:rsid w:val="00405195"/>
    <w:rsid w:val="004051B8"/>
    <w:rsid w:val="004052BC"/>
    <w:rsid w:val="00405624"/>
    <w:rsid w:val="00405672"/>
    <w:rsid w:val="00405743"/>
    <w:rsid w:val="0040581D"/>
    <w:rsid w:val="004058A9"/>
    <w:rsid w:val="004058FA"/>
    <w:rsid w:val="00405999"/>
    <w:rsid w:val="00405A82"/>
    <w:rsid w:val="00405B32"/>
    <w:rsid w:val="00405B9A"/>
    <w:rsid w:val="00405C0E"/>
    <w:rsid w:val="00405C22"/>
    <w:rsid w:val="00405DD5"/>
    <w:rsid w:val="00405DEA"/>
    <w:rsid w:val="00405EAF"/>
    <w:rsid w:val="00406301"/>
    <w:rsid w:val="00406413"/>
    <w:rsid w:val="00406508"/>
    <w:rsid w:val="004066BB"/>
    <w:rsid w:val="004066C3"/>
    <w:rsid w:val="00406794"/>
    <w:rsid w:val="004067A7"/>
    <w:rsid w:val="00406B8F"/>
    <w:rsid w:val="00406BA4"/>
    <w:rsid w:val="00406C24"/>
    <w:rsid w:val="00406CD4"/>
    <w:rsid w:val="00406D05"/>
    <w:rsid w:val="00406E55"/>
    <w:rsid w:val="00406E59"/>
    <w:rsid w:val="004070D1"/>
    <w:rsid w:val="00407116"/>
    <w:rsid w:val="00407179"/>
    <w:rsid w:val="004072CE"/>
    <w:rsid w:val="004072E7"/>
    <w:rsid w:val="00407648"/>
    <w:rsid w:val="00407793"/>
    <w:rsid w:val="00407850"/>
    <w:rsid w:val="004079A3"/>
    <w:rsid w:val="00407ABD"/>
    <w:rsid w:val="00407B57"/>
    <w:rsid w:val="00407BE8"/>
    <w:rsid w:val="00407C27"/>
    <w:rsid w:val="00407C6F"/>
    <w:rsid w:val="00407C8E"/>
    <w:rsid w:val="00407C9E"/>
    <w:rsid w:val="00407E34"/>
    <w:rsid w:val="00407E84"/>
    <w:rsid w:val="00407FB9"/>
    <w:rsid w:val="00410164"/>
    <w:rsid w:val="004101EA"/>
    <w:rsid w:val="004102B1"/>
    <w:rsid w:val="0041041A"/>
    <w:rsid w:val="00410448"/>
    <w:rsid w:val="00410517"/>
    <w:rsid w:val="00410520"/>
    <w:rsid w:val="00410652"/>
    <w:rsid w:val="0041068B"/>
    <w:rsid w:val="00410770"/>
    <w:rsid w:val="004107D8"/>
    <w:rsid w:val="00410811"/>
    <w:rsid w:val="004108E8"/>
    <w:rsid w:val="0041093E"/>
    <w:rsid w:val="0041098B"/>
    <w:rsid w:val="00410A7E"/>
    <w:rsid w:val="00410AD6"/>
    <w:rsid w:val="00410AFD"/>
    <w:rsid w:val="00410CC1"/>
    <w:rsid w:val="00410DDB"/>
    <w:rsid w:val="00410FDF"/>
    <w:rsid w:val="004112EF"/>
    <w:rsid w:val="00411351"/>
    <w:rsid w:val="004113A4"/>
    <w:rsid w:val="00411531"/>
    <w:rsid w:val="00411593"/>
    <w:rsid w:val="0041159C"/>
    <w:rsid w:val="004115C9"/>
    <w:rsid w:val="00411616"/>
    <w:rsid w:val="00411723"/>
    <w:rsid w:val="00411740"/>
    <w:rsid w:val="00411842"/>
    <w:rsid w:val="00411948"/>
    <w:rsid w:val="0041195C"/>
    <w:rsid w:val="00411B6B"/>
    <w:rsid w:val="00411B83"/>
    <w:rsid w:val="00411CC3"/>
    <w:rsid w:val="00411CD5"/>
    <w:rsid w:val="00411E48"/>
    <w:rsid w:val="00411E8E"/>
    <w:rsid w:val="004120D1"/>
    <w:rsid w:val="00412229"/>
    <w:rsid w:val="00412323"/>
    <w:rsid w:val="00412553"/>
    <w:rsid w:val="00412870"/>
    <w:rsid w:val="00412931"/>
    <w:rsid w:val="004129B8"/>
    <w:rsid w:val="00412A9F"/>
    <w:rsid w:val="00412ACB"/>
    <w:rsid w:val="00412BBE"/>
    <w:rsid w:val="00412D4F"/>
    <w:rsid w:val="00412D65"/>
    <w:rsid w:val="00412DBF"/>
    <w:rsid w:val="00412E9C"/>
    <w:rsid w:val="00412EA0"/>
    <w:rsid w:val="00412F0B"/>
    <w:rsid w:val="00412F5E"/>
    <w:rsid w:val="00412F7B"/>
    <w:rsid w:val="00412FE5"/>
    <w:rsid w:val="00413053"/>
    <w:rsid w:val="00413087"/>
    <w:rsid w:val="004130B5"/>
    <w:rsid w:val="004131E2"/>
    <w:rsid w:val="004132C5"/>
    <w:rsid w:val="004134B7"/>
    <w:rsid w:val="0041355E"/>
    <w:rsid w:val="0041362D"/>
    <w:rsid w:val="00413639"/>
    <w:rsid w:val="004136B8"/>
    <w:rsid w:val="00413826"/>
    <w:rsid w:val="004138F5"/>
    <w:rsid w:val="0041395F"/>
    <w:rsid w:val="00413AF0"/>
    <w:rsid w:val="00413B63"/>
    <w:rsid w:val="00413BB1"/>
    <w:rsid w:val="00413C15"/>
    <w:rsid w:val="00413C61"/>
    <w:rsid w:val="00413CE4"/>
    <w:rsid w:val="00413ED3"/>
    <w:rsid w:val="0041404B"/>
    <w:rsid w:val="00414075"/>
    <w:rsid w:val="00414076"/>
    <w:rsid w:val="004140D8"/>
    <w:rsid w:val="00414131"/>
    <w:rsid w:val="004141CB"/>
    <w:rsid w:val="00414227"/>
    <w:rsid w:val="00414348"/>
    <w:rsid w:val="004144B9"/>
    <w:rsid w:val="004144D2"/>
    <w:rsid w:val="00414520"/>
    <w:rsid w:val="00414545"/>
    <w:rsid w:val="00414593"/>
    <w:rsid w:val="004145C7"/>
    <w:rsid w:val="0041469E"/>
    <w:rsid w:val="004148F7"/>
    <w:rsid w:val="00414950"/>
    <w:rsid w:val="004149B6"/>
    <w:rsid w:val="00414A6D"/>
    <w:rsid w:val="00414AF9"/>
    <w:rsid w:val="00414B04"/>
    <w:rsid w:val="00414B8A"/>
    <w:rsid w:val="00414C45"/>
    <w:rsid w:val="00414C8B"/>
    <w:rsid w:val="00414CC1"/>
    <w:rsid w:val="00414DA4"/>
    <w:rsid w:val="00414DD7"/>
    <w:rsid w:val="00414EA4"/>
    <w:rsid w:val="00414EEF"/>
    <w:rsid w:val="00415020"/>
    <w:rsid w:val="0041516D"/>
    <w:rsid w:val="0041517D"/>
    <w:rsid w:val="00415410"/>
    <w:rsid w:val="00415482"/>
    <w:rsid w:val="004155BC"/>
    <w:rsid w:val="0041561D"/>
    <w:rsid w:val="0041562D"/>
    <w:rsid w:val="00415787"/>
    <w:rsid w:val="00415835"/>
    <w:rsid w:val="0041598B"/>
    <w:rsid w:val="00415BB9"/>
    <w:rsid w:val="00415BFB"/>
    <w:rsid w:val="00415C48"/>
    <w:rsid w:val="00415C77"/>
    <w:rsid w:val="00415CD9"/>
    <w:rsid w:val="00415D58"/>
    <w:rsid w:val="00415ECA"/>
    <w:rsid w:val="00415F1E"/>
    <w:rsid w:val="00416075"/>
    <w:rsid w:val="004160D8"/>
    <w:rsid w:val="00416109"/>
    <w:rsid w:val="0041616A"/>
    <w:rsid w:val="004161C1"/>
    <w:rsid w:val="0041631F"/>
    <w:rsid w:val="00416414"/>
    <w:rsid w:val="00416501"/>
    <w:rsid w:val="004166B9"/>
    <w:rsid w:val="004168F4"/>
    <w:rsid w:val="00416908"/>
    <w:rsid w:val="00416A85"/>
    <w:rsid w:val="00416AB8"/>
    <w:rsid w:val="00416B02"/>
    <w:rsid w:val="00416C98"/>
    <w:rsid w:val="00416F12"/>
    <w:rsid w:val="00416F77"/>
    <w:rsid w:val="00416FBF"/>
    <w:rsid w:val="004170D4"/>
    <w:rsid w:val="00417275"/>
    <w:rsid w:val="004173F7"/>
    <w:rsid w:val="00417418"/>
    <w:rsid w:val="0041757B"/>
    <w:rsid w:val="004175A7"/>
    <w:rsid w:val="0041760B"/>
    <w:rsid w:val="00417778"/>
    <w:rsid w:val="004177B8"/>
    <w:rsid w:val="00417899"/>
    <w:rsid w:val="00417A08"/>
    <w:rsid w:val="00417A6A"/>
    <w:rsid w:val="00417A7D"/>
    <w:rsid w:val="00417BF3"/>
    <w:rsid w:val="00417C16"/>
    <w:rsid w:val="00417D85"/>
    <w:rsid w:val="0042026A"/>
    <w:rsid w:val="0042035E"/>
    <w:rsid w:val="004203B9"/>
    <w:rsid w:val="004203E6"/>
    <w:rsid w:val="00420419"/>
    <w:rsid w:val="00420702"/>
    <w:rsid w:val="0042077C"/>
    <w:rsid w:val="0042078E"/>
    <w:rsid w:val="00420958"/>
    <w:rsid w:val="004209A1"/>
    <w:rsid w:val="004209E0"/>
    <w:rsid w:val="00420A34"/>
    <w:rsid w:val="00420AA6"/>
    <w:rsid w:val="00420AF7"/>
    <w:rsid w:val="00420C32"/>
    <w:rsid w:val="00420E18"/>
    <w:rsid w:val="00420EA9"/>
    <w:rsid w:val="00420F77"/>
    <w:rsid w:val="00420FB0"/>
    <w:rsid w:val="00420FB6"/>
    <w:rsid w:val="00420FD0"/>
    <w:rsid w:val="00420FE1"/>
    <w:rsid w:val="0042111F"/>
    <w:rsid w:val="00421189"/>
    <w:rsid w:val="00421249"/>
    <w:rsid w:val="004213EA"/>
    <w:rsid w:val="00421408"/>
    <w:rsid w:val="004214D7"/>
    <w:rsid w:val="00421532"/>
    <w:rsid w:val="00421551"/>
    <w:rsid w:val="0042166A"/>
    <w:rsid w:val="0042173C"/>
    <w:rsid w:val="00421752"/>
    <w:rsid w:val="00421808"/>
    <w:rsid w:val="00421813"/>
    <w:rsid w:val="0042184F"/>
    <w:rsid w:val="00421A34"/>
    <w:rsid w:val="00421A84"/>
    <w:rsid w:val="00421AB1"/>
    <w:rsid w:val="00421AE5"/>
    <w:rsid w:val="00421BE3"/>
    <w:rsid w:val="00421BFB"/>
    <w:rsid w:val="00421C2C"/>
    <w:rsid w:val="00421C66"/>
    <w:rsid w:val="00421C98"/>
    <w:rsid w:val="00421D6A"/>
    <w:rsid w:val="00421DE1"/>
    <w:rsid w:val="00421FD7"/>
    <w:rsid w:val="004220E6"/>
    <w:rsid w:val="0042212B"/>
    <w:rsid w:val="00422283"/>
    <w:rsid w:val="00422341"/>
    <w:rsid w:val="0042234E"/>
    <w:rsid w:val="00422396"/>
    <w:rsid w:val="00422481"/>
    <w:rsid w:val="0042259D"/>
    <w:rsid w:val="00422692"/>
    <w:rsid w:val="004226FD"/>
    <w:rsid w:val="00422A13"/>
    <w:rsid w:val="00422B0C"/>
    <w:rsid w:val="00422BA2"/>
    <w:rsid w:val="00422D67"/>
    <w:rsid w:val="00422E68"/>
    <w:rsid w:val="00422ED1"/>
    <w:rsid w:val="00422EF3"/>
    <w:rsid w:val="004230C3"/>
    <w:rsid w:val="00423167"/>
    <w:rsid w:val="0042323E"/>
    <w:rsid w:val="004232DC"/>
    <w:rsid w:val="004232EC"/>
    <w:rsid w:val="00423344"/>
    <w:rsid w:val="0042335D"/>
    <w:rsid w:val="0042336D"/>
    <w:rsid w:val="00423515"/>
    <w:rsid w:val="004235C4"/>
    <w:rsid w:val="0042360E"/>
    <w:rsid w:val="00423726"/>
    <w:rsid w:val="004237A6"/>
    <w:rsid w:val="00423939"/>
    <w:rsid w:val="00423B58"/>
    <w:rsid w:val="00423BA2"/>
    <w:rsid w:val="00423BFF"/>
    <w:rsid w:val="00423D38"/>
    <w:rsid w:val="00423DF6"/>
    <w:rsid w:val="00423E53"/>
    <w:rsid w:val="00423ECC"/>
    <w:rsid w:val="00423F25"/>
    <w:rsid w:val="00423F27"/>
    <w:rsid w:val="00423F4A"/>
    <w:rsid w:val="00423FF1"/>
    <w:rsid w:val="004240CF"/>
    <w:rsid w:val="00424149"/>
    <w:rsid w:val="00424193"/>
    <w:rsid w:val="004241CD"/>
    <w:rsid w:val="004242AA"/>
    <w:rsid w:val="004243C9"/>
    <w:rsid w:val="00424429"/>
    <w:rsid w:val="00424567"/>
    <w:rsid w:val="0042457F"/>
    <w:rsid w:val="0042469F"/>
    <w:rsid w:val="00424721"/>
    <w:rsid w:val="0042480F"/>
    <w:rsid w:val="00424A5A"/>
    <w:rsid w:val="00424C1F"/>
    <w:rsid w:val="00424D5A"/>
    <w:rsid w:val="00424E99"/>
    <w:rsid w:val="00424EC6"/>
    <w:rsid w:val="00424F31"/>
    <w:rsid w:val="00424F5F"/>
    <w:rsid w:val="00424F84"/>
    <w:rsid w:val="00425007"/>
    <w:rsid w:val="00425155"/>
    <w:rsid w:val="00425219"/>
    <w:rsid w:val="004252F2"/>
    <w:rsid w:val="00425450"/>
    <w:rsid w:val="0042551E"/>
    <w:rsid w:val="0042559A"/>
    <w:rsid w:val="00425620"/>
    <w:rsid w:val="004257BE"/>
    <w:rsid w:val="004257EC"/>
    <w:rsid w:val="00425933"/>
    <w:rsid w:val="00425949"/>
    <w:rsid w:val="00425A53"/>
    <w:rsid w:val="00425A89"/>
    <w:rsid w:val="00425C40"/>
    <w:rsid w:val="00425C7F"/>
    <w:rsid w:val="00425DE3"/>
    <w:rsid w:val="00425DEA"/>
    <w:rsid w:val="00425E1C"/>
    <w:rsid w:val="00425EBF"/>
    <w:rsid w:val="00425ED2"/>
    <w:rsid w:val="00425EE9"/>
    <w:rsid w:val="00425F3C"/>
    <w:rsid w:val="00425FB5"/>
    <w:rsid w:val="0042603E"/>
    <w:rsid w:val="004260CE"/>
    <w:rsid w:val="004260DB"/>
    <w:rsid w:val="004260F4"/>
    <w:rsid w:val="004261CC"/>
    <w:rsid w:val="004261EE"/>
    <w:rsid w:val="00426351"/>
    <w:rsid w:val="00426420"/>
    <w:rsid w:val="00426699"/>
    <w:rsid w:val="004266A8"/>
    <w:rsid w:val="0042684C"/>
    <w:rsid w:val="00426880"/>
    <w:rsid w:val="004268D2"/>
    <w:rsid w:val="00426A43"/>
    <w:rsid w:val="00426A4C"/>
    <w:rsid w:val="00426B00"/>
    <w:rsid w:val="00426B5B"/>
    <w:rsid w:val="00426BB9"/>
    <w:rsid w:val="00426C01"/>
    <w:rsid w:val="00426C67"/>
    <w:rsid w:val="00426C99"/>
    <w:rsid w:val="00426E0A"/>
    <w:rsid w:val="00426E8E"/>
    <w:rsid w:val="00426ED5"/>
    <w:rsid w:val="00426EFE"/>
    <w:rsid w:val="004270B2"/>
    <w:rsid w:val="004270CF"/>
    <w:rsid w:val="004271AB"/>
    <w:rsid w:val="004272A4"/>
    <w:rsid w:val="00427400"/>
    <w:rsid w:val="004274D7"/>
    <w:rsid w:val="00427518"/>
    <w:rsid w:val="0042762B"/>
    <w:rsid w:val="0042768E"/>
    <w:rsid w:val="0042773A"/>
    <w:rsid w:val="004279ED"/>
    <w:rsid w:val="004279F6"/>
    <w:rsid w:val="00427A33"/>
    <w:rsid w:val="00427ABC"/>
    <w:rsid w:val="00427CFC"/>
    <w:rsid w:val="00427DC2"/>
    <w:rsid w:val="00427E57"/>
    <w:rsid w:val="00427F05"/>
    <w:rsid w:val="00427F29"/>
    <w:rsid w:val="00427FFE"/>
    <w:rsid w:val="0043002D"/>
    <w:rsid w:val="0043010F"/>
    <w:rsid w:val="0043016C"/>
    <w:rsid w:val="00430209"/>
    <w:rsid w:val="00430269"/>
    <w:rsid w:val="00430270"/>
    <w:rsid w:val="0043030D"/>
    <w:rsid w:val="00430465"/>
    <w:rsid w:val="0043063B"/>
    <w:rsid w:val="0043071A"/>
    <w:rsid w:val="00430774"/>
    <w:rsid w:val="00430AB7"/>
    <w:rsid w:val="00430B62"/>
    <w:rsid w:val="00430D5C"/>
    <w:rsid w:val="00430E09"/>
    <w:rsid w:val="00430E47"/>
    <w:rsid w:val="00430ECE"/>
    <w:rsid w:val="00431048"/>
    <w:rsid w:val="0043112D"/>
    <w:rsid w:val="0043133F"/>
    <w:rsid w:val="0043149D"/>
    <w:rsid w:val="004314CD"/>
    <w:rsid w:val="004314E1"/>
    <w:rsid w:val="004315A6"/>
    <w:rsid w:val="004315D7"/>
    <w:rsid w:val="00431608"/>
    <w:rsid w:val="0043164D"/>
    <w:rsid w:val="00431741"/>
    <w:rsid w:val="0043185C"/>
    <w:rsid w:val="00431871"/>
    <w:rsid w:val="0043189A"/>
    <w:rsid w:val="004318D4"/>
    <w:rsid w:val="00431950"/>
    <w:rsid w:val="004319D0"/>
    <w:rsid w:val="004319E4"/>
    <w:rsid w:val="00431ACB"/>
    <w:rsid w:val="00431AEC"/>
    <w:rsid w:val="00431B1C"/>
    <w:rsid w:val="00431B67"/>
    <w:rsid w:val="00431CDC"/>
    <w:rsid w:val="00431CF0"/>
    <w:rsid w:val="00431D9D"/>
    <w:rsid w:val="00431DA5"/>
    <w:rsid w:val="00431DCF"/>
    <w:rsid w:val="00431E91"/>
    <w:rsid w:val="00431F10"/>
    <w:rsid w:val="00432002"/>
    <w:rsid w:val="00432208"/>
    <w:rsid w:val="0043234F"/>
    <w:rsid w:val="00432529"/>
    <w:rsid w:val="004325E5"/>
    <w:rsid w:val="004326A6"/>
    <w:rsid w:val="0043276B"/>
    <w:rsid w:val="004327D2"/>
    <w:rsid w:val="00432A98"/>
    <w:rsid w:val="00432A9B"/>
    <w:rsid w:val="00432CFB"/>
    <w:rsid w:val="00432D0C"/>
    <w:rsid w:val="00432E49"/>
    <w:rsid w:val="00432F09"/>
    <w:rsid w:val="00432F1C"/>
    <w:rsid w:val="00432F73"/>
    <w:rsid w:val="00432F88"/>
    <w:rsid w:val="00433173"/>
    <w:rsid w:val="004332BE"/>
    <w:rsid w:val="00433345"/>
    <w:rsid w:val="00433431"/>
    <w:rsid w:val="0043345C"/>
    <w:rsid w:val="004334A0"/>
    <w:rsid w:val="00433595"/>
    <w:rsid w:val="004335AA"/>
    <w:rsid w:val="004335FD"/>
    <w:rsid w:val="004337A2"/>
    <w:rsid w:val="004337C8"/>
    <w:rsid w:val="004338FF"/>
    <w:rsid w:val="00433901"/>
    <w:rsid w:val="00433995"/>
    <w:rsid w:val="00433D15"/>
    <w:rsid w:val="00433E07"/>
    <w:rsid w:val="00433E59"/>
    <w:rsid w:val="00433EFB"/>
    <w:rsid w:val="00433FFA"/>
    <w:rsid w:val="004341A6"/>
    <w:rsid w:val="00434384"/>
    <w:rsid w:val="00434441"/>
    <w:rsid w:val="004344A0"/>
    <w:rsid w:val="00434512"/>
    <w:rsid w:val="004345AB"/>
    <w:rsid w:val="004345CC"/>
    <w:rsid w:val="00434841"/>
    <w:rsid w:val="00434897"/>
    <w:rsid w:val="00434953"/>
    <w:rsid w:val="004349F7"/>
    <w:rsid w:val="00434C2B"/>
    <w:rsid w:val="00434C4A"/>
    <w:rsid w:val="00434E07"/>
    <w:rsid w:val="00434E68"/>
    <w:rsid w:val="00434ECB"/>
    <w:rsid w:val="0043501D"/>
    <w:rsid w:val="0043504B"/>
    <w:rsid w:val="00435160"/>
    <w:rsid w:val="00435169"/>
    <w:rsid w:val="004351D9"/>
    <w:rsid w:val="004353B2"/>
    <w:rsid w:val="00435405"/>
    <w:rsid w:val="0043543B"/>
    <w:rsid w:val="0043548D"/>
    <w:rsid w:val="004354AE"/>
    <w:rsid w:val="00435587"/>
    <w:rsid w:val="00435628"/>
    <w:rsid w:val="00435696"/>
    <w:rsid w:val="004356F2"/>
    <w:rsid w:val="004356F5"/>
    <w:rsid w:val="0043574D"/>
    <w:rsid w:val="004358AF"/>
    <w:rsid w:val="004358C8"/>
    <w:rsid w:val="00435B3A"/>
    <w:rsid w:val="00435BBF"/>
    <w:rsid w:val="00435C02"/>
    <w:rsid w:val="00435CAB"/>
    <w:rsid w:val="00435CC0"/>
    <w:rsid w:val="00435D03"/>
    <w:rsid w:val="00435E38"/>
    <w:rsid w:val="00435FDC"/>
    <w:rsid w:val="00436001"/>
    <w:rsid w:val="00436262"/>
    <w:rsid w:val="004362E2"/>
    <w:rsid w:val="004364C8"/>
    <w:rsid w:val="0043656C"/>
    <w:rsid w:val="00436570"/>
    <w:rsid w:val="004365CB"/>
    <w:rsid w:val="00436683"/>
    <w:rsid w:val="004366A0"/>
    <w:rsid w:val="00436744"/>
    <w:rsid w:val="00436768"/>
    <w:rsid w:val="00436908"/>
    <w:rsid w:val="004369B6"/>
    <w:rsid w:val="00436BC4"/>
    <w:rsid w:val="00436BCE"/>
    <w:rsid w:val="00436BF7"/>
    <w:rsid w:val="00436CC2"/>
    <w:rsid w:val="00436D09"/>
    <w:rsid w:val="00436DA4"/>
    <w:rsid w:val="00436E4A"/>
    <w:rsid w:val="00436E55"/>
    <w:rsid w:val="00436F7B"/>
    <w:rsid w:val="00437047"/>
    <w:rsid w:val="004370CA"/>
    <w:rsid w:val="00437159"/>
    <w:rsid w:val="00437187"/>
    <w:rsid w:val="0043724A"/>
    <w:rsid w:val="004372CE"/>
    <w:rsid w:val="004373AF"/>
    <w:rsid w:val="00437484"/>
    <w:rsid w:val="004374C9"/>
    <w:rsid w:val="004374E5"/>
    <w:rsid w:val="00437526"/>
    <w:rsid w:val="004375DF"/>
    <w:rsid w:val="0043761E"/>
    <w:rsid w:val="0043768C"/>
    <w:rsid w:val="004376FC"/>
    <w:rsid w:val="00437876"/>
    <w:rsid w:val="004378A5"/>
    <w:rsid w:val="004378C6"/>
    <w:rsid w:val="00437973"/>
    <w:rsid w:val="004379B9"/>
    <w:rsid w:val="00437A61"/>
    <w:rsid w:val="00437B10"/>
    <w:rsid w:val="00437BC9"/>
    <w:rsid w:val="00437C67"/>
    <w:rsid w:val="00437C6F"/>
    <w:rsid w:val="00437DCC"/>
    <w:rsid w:val="00437E01"/>
    <w:rsid w:val="00437E26"/>
    <w:rsid w:val="00437EBA"/>
    <w:rsid w:val="00437ED8"/>
    <w:rsid w:val="00437FFB"/>
    <w:rsid w:val="0044016A"/>
    <w:rsid w:val="004402B4"/>
    <w:rsid w:val="004402D1"/>
    <w:rsid w:val="00440504"/>
    <w:rsid w:val="00440582"/>
    <w:rsid w:val="004405C1"/>
    <w:rsid w:val="004405C9"/>
    <w:rsid w:val="004405E0"/>
    <w:rsid w:val="00440621"/>
    <w:rsid w:val="00440726"/>
    <w:rsid w:val="0044080E"/>
    <w:rsid w:val="004408DC"/>
    <w:rsid w:val="00440967"/>
    <w:rsid w:val="00440E3E"/>
    <w:rsid w:val="00440E73"/>
    <w:rsid w:val="00440E83"/>
    <w:rsid w:val="00440FE6"/>
    <w:rsid w:val="004410BB"/>
    <w:rsid w:val="0044117C"/>
    <w:rsid w:val="00441180"/>
    <w:rsid w:val="00441342"/>
    <w:rsid w:val="0044137D"/>
    <w:rsid w:val="004414A7"/>
    <w:rsid w:val="0044164B"/>
    <w:rsid w:val="004416A6"/>
    <w:rsid w:val="004416AB"/>
    <w:rsid w:val="004416E1"/>
    <w:rsid w:val="0044174B"/>
    <w:rsid w:val="0044176F"/>
    <w:rsid w:val="0044177C"/>
    <w:rsid w:val="004417B7"/>
    <w:rsid w:val="004418D4"/>
    <w:rsid w:val="004419A0"/>
    <w:rsid w:val="004419A5"/>
    <w:rsid w:val="004419F6"/>
    <w:rsid w:val="00441AC0"/>
    <w:rsid w:val="00441BE1"/>
    <w:rsid w:val="00441C4E"/>
    <w:rsid w:val="00441D03"/>
    <w:rsid w:val="00441D4F"/>
    <w:rsid w:val="00441D93"/>
    <w:rsid w:val="00441DFD"/>
    <w:rsid w:val="00441E6B"/>
    <w:rsid w:val="00441F0B"/>
    <w:rsid w:val="00442057"/>
    <w:rsid w:val="0044215C"/>
    <w:rsid w:val="00442190"/>
    <w:rsid w:val="00442273"/>
    <w:rsid w:val="004422A8"/>
    <w:rsid w:val="00442386"/>
    <w:rsid w:val="00442497"/>
    <w:rsid w:val="00442654"/>
    <w:rsid w:val="004427DE"/>
    <w:rsid w:val="00442883"/>
    <w:rsid w:val="004428B2"/>
    <w:rsid w:val="0044292F"/>
    <w:rsid w:val="00442941"/>
    <w:rsid w:val="00442977"/>
    <w:rsid w:val="00442BBD"/>
    <w:rsid w:val="00442BC5"/>
    <w:rsid w:val="00442C66"/>
    <w:rsid w:val="00442C9F"/>
    <w:rsid w:val="00442DED"/>
    <w:rsid w:val="00442E90"/>
    <w:rsid w:val="00443028"/>
    <w:rsid w:val="0044305F"/>
    <w:rsid w:val="004430B4"/>
    <w:rsid w:val="00443383"/>
    <w:rsid w:val="004435CC"/>
    <w:rsid w:val="004436A8"/>
    <w:rsid w:val="0044371D"/>
    <w:rsid w:val="00443732"/>
    <w:rsid w:val="0044375C"/>
    <w:rsid w:val="004437AE"/>
    <w:rsid w:val="00443866"/>
    <w:rsid w:val="00443923"/>
    <w:rsid w:val="00443983"/>
    <w:rsid w:val="00443B18"/>
    <w:rsid w:val="00443C28"/>
    <w:rsid w:val="00443D3C"/>
    <w:rsid w:val="00443E79"/>
    <w:rsid w:val="00443EA6"/>
    <w:rsid w:val="00443EE9"/>
    <w:rsid w:val="0044401D"/>
    <w:rsid w:val="00444023"/>
    <w:rsid w:val="0044402C"/>
    <w:rsid w:val="0044407E"/>
    <w:rsid w:val="0044408D"/>
    <w:rsid w:val="0044424F"/>
    <w:rsid w:val="0044435C"/>
    <w:rsid w:val="004443FA"/>
    <w:rsid w:val="004444E1"/>
    <w:rsid w:val="00444529"/>
    <w:rsid w:val="0044464C"/>
    <w:rsid w:val="00444923"/>
    <w:rsid w:val="004449D5"/>
    <w:rsid w:val="00444AC4"/>
    <w:rsid w:val="00444C80"/>
    <w:rsid w:val="00444CBD"/>
    <w:rsid w:val="00444CD3"/>
    <w:rsid w:val="00444E7C"/>
    <w:rsid w:val="00444FA7"/>
    <w:rsid w:val="0044519A"/>
    <w:rsid w:val="00445255"/>
    <w:rsid w:val="00445298"/>
    <w:rsid w:val="004452E7"/>
    <w:rsid w:val="004453A6"/>
    <w:rsid w:val="004453DC"/>
    <w:rsid w:val="004453E1"/>
    <w:rsid w:val="00445414"/>
    <w:rsid w:val="0044541C"/>
    <w:rsid w:val="004454AA"/>
    <w:rsid w:val="0044558B"/>
    <w:rsid w:val="004456C0"/>
    <w:rsid w:val="0044576A"/>
    <w:rsid w:val="004457DB"/>
    <w:rsid w:val="00445816"/>
    <w:rsid w:val="00445855"/>
    <w:rsid w:val="00445A1A"/>
    <w:rsid w:val="00445A1B"/>
    <w:rsid w:val="00445A70"/>
    <w:rsid w:val="00445A81"/>
    <w:rsid w:val="00445C35"/>
    <w:rsid w:val="00445E07"/>
    <w:rsid w:val="00445ED1"/>
    <w:rsid w:val="004461F2"/>
    <w:rsid w:val="00446377"/>
    <w:rsid w:val="00446421"/>
    <w:rsid w:val="004464A7"/>
    <w:rsid w:val="004465E6"/>
    <w:rsid w:val="00446667"/>
    <w:rsid w:val="0044667E"/>
    <w:rsid w:val="004467E0"/>
    <w:rsid w:val="00446A87"/>
    <w:rsid w:val="00446BA9"/>
    <w:rsid w:val="00446C01"/>
    <w:rsid w:val="00446C7F"/>
    <w:rsid w:val="00446DC9"/>
    <w:rsid w:val="00446E1A"/>
    <w:rsid w:val="00446E3C"/>
    <w:rsid w:val="00446FB5"/>
    <w:rsid w:val="00447153"/>
    <w:rsid w:val="004471C8"/>
    <w:rsid w:val="004472A4"/>
    <w:rsid w:val="004472A9"/>
    <w:rsid w:val="0044742E"/>
    <w:rsid w:val="00447477"/>
    <w:rsid w:val="0044752B"/>
    <w:rsid w:val="004476BB"/>
    <w:rsid w:val="0044775E"/>
    <w:rsid w:val="00447815"/>
    <w:rsid w:val="0044785C"/>
    <w:rsid w:val="00447893"/>
    <w:rsid w:val="0044793B"/>
    <w:rsid w:val="00447A1B"/>
    <w:rsid w:val="00447A52"/>
    <w:rsid w:val="00447C34"/>
    <w:rsid w:val="00447D79"/>
    <w:rsid w:val="00447E6F"/>
    <w:rsid w:val="00447FDE"/>
    <w:rsid w:val="0045005F"/>
    <w:rsid w:val="0045015E"/>
    <w:rsid w:val="0045031F"/>
    <w:rsid w:val="0045039A"/>
    <w:rsid w:val="0045056B"/>
    <w:rsid w:val="004506A1"/>
    <w:rsid w:val="004507E9"/>
    <w:rsid w:val="004507F4"/>
    <w:rsid w:val="0045087D"/>
    <w:rsid w:val="004509E3"/>
    <w:rsid w:val="004509E9"/>
    <w:rsid w:val="00450A81"/>
    <w:rsid w:val="00450D4B"/>
    <w:rsid w:val="00450E65"/>
    <w:rsid w:val="0045102B"/>
    <w:rsid w:val="004512A3"/>
    <w:rsid w:val="00451335"/>
    <w:rsid w:val="00451510"/>
    <w:rsid w:val="004516EC"/>
    <w:rsid w:val="0045177A"/>
    <w:rsid w:val="0045199C"/>
    <w:rsid w:val="004519D7"/>
    <w:rsid w:val="004519E3"/>
    <w:rsid w:val="00451AD9"/>
    <w:rsid w:val="00451C25"/>
    <w:rsid w:val="00451C63"/>
    <w:rsid w:val="00451CC8"/>
    <w:rsid w:val="00451D49"/>
    <w:rsid w:val="00451DD9"/>
    <w:rsid w:val="00451E10"/>
    <w:rsid w:val="00451F6B"/>
    <w:rsid w:val="0045207C"/>
    <w:rsid w:val="00452166"/>
    <w:rsid w:val="004521FA"/>
    <w:rsid w:val="00452204"/>
    <w:rsid w:val="00452258"/>
    <w:rsid w:val="0045225C"/>
    <w:rsid w:val="00452534"/>
    <w:rsid w:val="004525EB"/>
    <w:rsid w:val="00452601"/>
    <w:rsid w:val="00452674"/>
    <w:rsid w:val="00452719"/>
    <w:rsid w:val="004527E9"/>
    <w:rsid w:val="0045284A"/>
    <w:rsid w:val="004528B1"/>
    <w:rsid w:val="00452A9A"/>
    <w:rsid w:val="00452AAB"/>
    <w:rsid w:val="00452BA1"/>
    <w:rsid w:val="00452BD2"/>
    <w:rsid w:val="00452DE3"/>
    <w:rsid w:val="00452DF7"/>
    <w:rsid w:val="00452E73"/>
    <w:rsid w:val="00452F12"/>
    <w:rsid w:val="00452F3F"/>
    <w:rsid w:val="00452FBB"/>
    <w:rsid w:val="00453162"/>
    <w:rsid w:val="0045326B"/>
    <w:rsid w:val="00453281"/>
    <w:rsid w:val="004532F4"/>
    <w:rsid w:val="0045332F"/>
    <w:rsid w:val="00453527"/>
    <w:rsid w:val="0045363C"/>
    <w:rsid w:val="004538CA"/>
    <w:rsid w:val="004539CF"/>
    <w:rsid w:val="00453C71"/>
    <w:rsid w:val="00453D17"/>
    <w:rsid w:val="00453D26"/>
    <w:rsid w:val="00453D2D"/>
    <w:rsid w:val="00453E10"/>
    <w:rsid w:val="004540B4"/>
    <w:rsid w:val="00454280"/>
    <w:rsid w:val="0045434D"/>
    <w:rsid w:val="00454356"/>
    <w:rsid w:val="004544A0"/>
    <w:rsid w:val="00454635"/>
    <w:rsid w:val="004546B3"/>
    <w:rsid w:val="00454704"/>
    <w:rsid w:val="00454774"/>
    <w:rsid w:val="00454825"/>
    <w:rsid w:val="0045482B"/>
    <w:rsid w:val="00454834"/>
    <w:rsid w:val="00454841"/>
    <w:rsid w:val="00454872"/>
    <w:rsid w:val="004548B0"/>
    <w:rsid w:val="004548DE"/>
    <w:rsid w:val="004548E5"/>
    <w:rsid w:val="00454969"/>
    <w:rsid w:val="00454A21"/>
    <w:rsid w:val="00454AEB"/>
    <w:rsid w:val="00454C51"/>
    <w:rsid w:val="00454DA3"/>
    <w:rsid w:val="00454DDA"/>
    <w:rsid w:val="00454E88"/>
    <w:rsid w:val="00454ED0"/>
    <w:rsid w:val="00454F1D"/>
    <w:rsid w:val="00454F4C"/>
    <w:rsid w:val="0045505B"/>
    <w:rsid w:val="004550BF"/>
    <w:rsid w:val="004551FB"/>
    <w:rsid w:val="004553A3"/>
    <w:rsid w:val="00455526"/>
    <w:rsid w:val="00455541"/>
    <w:rsid w:val="004556BF"/>
    <w:rsid w:val="004556C7"/>
    <w:rsid w:val="004556E5"/>
    <w:rsid w:val="00455743"/>
    <w:rsid w:val="00455756"/>
    <w:rsid w:val="0045578E"/>
    <w:rsid w:val="004557CD"/>
    <w:rsid w:val="00455806"/>
    <w:rsid w:val="00455943"/>
    <w:rsid w:val="004559FF"/>
    <w:rsid w:val="00455A12"/>
    <w:rsid w:val="00455A5C"/>
    <w:rsid w:val="00455B59"/>
    <w:rsid w:val="00455D57"/>
    <w:rsid w:val="00455DE7"/>
    <w:rsid w:val="00455DEC"/>
    <w:rsid w:val="00455F49"/>
    <w:rsid w:val="0045617A"/>
    <w:rsid w:val="0045636F"/>
    <w:rsid w:val="004563B0"/>
    <w:rsid w:val="004563C1"/>
    <w:rsid w:val="004565B5"/>
    <w:rsid w:val="0045662A"/>
    <w:rsid w:val="004566B3"/>
    <w:rsid w:val="0045670E"/>
    <w:rsid w:val="00456860"/>
    <w:rsid w:val="00456965"/>
    <w:rsid w:val="00456B78"/>
    <w:rsid w:val="00456B86"/>
    <w:rsid w:val="00456CE4"/>
    <w:rsid w:val="00456D46"/>
    <w:rsid w:val="00456D54"/>
    <w:rsid w:val="00456D79"/>
    <w:rsid w:val="00456E2A"/>
    <w:rsid w:val="004571B8"/>
    <w:rsid w:val="004571C6"/>
    <w:rsid w:val="004571D0"/>
    <w:rsid w:val="00457262"/>
    <w:rsid w:val="004572FA"/>
    <w:rsid w:val="004573C8"/>
    <w:rsid w:val="0045748E"/>
    <w:rsid w:val="004576FD"/>
    <w:rsid w:val="00457872"/>
    <w:rsid w:val="00457938"/>
    <w:rsid w:val="00457949"/>
    <w:rsid w:val="00457C3A"/>
    <w:rsid w:val="00457C66"/>
    <w:rsid w:val="00457CAF"/>
    <w:rsid w:val="00457D7B"/>
    <w:rsid w:val="00457DB9"/>
    <w:rsid w:val="00457E76"/>
    <w:rsid w:val="00457EAA"/>
    <w:rsid w:val="00457F72"/>
    <w:rsid w:val="00457FFE"/>
    <w:rsid w:val="00460056"/>
    <w:rsid w:val="0046005C"/>
    <w:rsid w:val="004600AA"/>
    <w:rsid w:val="00460233"/>
    <w:rsid w:val="00460277"/>
    <w:rsid w:val="00460314"/>
    <w:rsid w:val="00460375"/>
    <w:rsid w:val="00460384"/>
    <w:rsid w:val="004603B5"/>
    <w:rsid w:val="004604EB"/>
    <w:rsid w:val="00460506"/>
    <w:rsid w:val="00460513"/>
    <w:rsid w:val="0046057F"/>
    <w:rsid w:val="00460613"/>
    <w:rsid w:val="0046073C"/>
    <w:rsid w:val="00460772"/>
    <w:rsid w:val="004607C0"/>
    <w:rsid w:val="00460976"/>
    <w:rsid w:val="00460A41"/>
    <w:rsid w:val="00460ACC"/>
    <w:rsid w:val="00460DD7"/>
    <w:rsid w:val="00460DE8"/>
    <w:rsid w:val="00460DF3"/>
    <w:rsid w:val="00460E23"/>
    <w:rsid w:val="00461030"/>
    <w:rsid w:val="00461105"/>
    <w:rsid w:val="00461322"/>
    <w:rsid w:val="00461610"/>
    <w:rsid w:val="00461620"/>
    <w:rsid w:val="00461639"/>
    <w:rsid w:val="00461668"/>
    <w:rsid w:val="004617B9"/>
    <w:rsid w:val="00461834"/>
    <w:rsid w:val="004618C6"/>
    <w:rsid w:val="00461A92"/>
    <w:rsid w:val="00461B18"/>
    <w:rsid w:val="00461BA0"/>
    <w:rsid w:val="00461BC3"/>
    <w:rsid w:val="00461D3B"/>
    <w:rsid w:val="00461DBE"/>
    <w:rsid w:val="00461DE7"/>
    <w:rsid w:val="00461E3F"/>
    <w:rsid w:val="00462010"/>
    <w:rsid w:val="004620EE"/>
    <w:rsid w:val="00462111"/>
    <w:rsid w:val="004621B1"/>
    <w:rsid w:val="00462360"/>
    <w:rsid w:val="00462374"/>
    <w:rsid w:val="00462499"/>
    <w:rsid w:val="004624A9"/>
    <w:rsid w:val="00462517"/>
    <w:rsid w:val="004625C9"/>
    <w:rsid w:val="004625F3"/>
    <w:rsid w:val="004626F8"/>
    <w:rsid w:val="00462782"/>
    <w:rsid w:val="00462950"/>
    <w:rsid w:val="00462AE5"/>
    <w:rsid w:val="00462B1D"/>
    <w:rsid w:val="00462B6B"/>
    <w:rsid w:val="00462BFC"/>
    <w:rsid w:val="00462C06"/>
    <w:rsid w:val="00462CD6"/>
    <w:rsid w:val="00462D03"/>
    <w:rsid w:val="00462D11"/>
    <w:rsid w:val="00462EEE"/>
    <w:rsid w:val="00463041"/>
    <w:rsid w:val="00463101"/>
    <w:rsid w:val="0046314B"/>
    <w:rsid w:val="0046330B"/>
    <w:rsid w:val="004633BE"/>
    <w:rsid w:val="004633D3"/>
    <w:rsid w:val="004636C1"/>
    <w:rsid w:val="00463705"/>
    <w:rsid w:val="0046375F"/>
    <w:rsid w:val="0046395A"/>
    <w:rsid w:val="00463A0F"/>
    <w:rsid w:val="00463A1F"/>
    <w:rsid w:val="00463AF7"/>
    <w:rsid w:val="00463B0B"/>
    <w:rsid w:val="00463BA4"/>
    <w:rsid w:val="00463BFE"/>
    <w:rsid w:val="00463C69"/>
    <w:rsid w:val="00463D93"/>
    <w:rsid w:val="00463DFE"/>
    <w:rsid w:val="00463EBC"/>
    <w:rsid w:val="00463F64"/>
    <w:rsid w:val="0046403D"/>
    <w:rsid w:val="00464102"/>
    <w:rsid w:val="00464224"/>
    <w:rsid w:val="004643CC"/>
    <w:rsid w:val="004644CE"/>
    <w:rsid w:val="004645DA"/>
    <w:rsid w:val="004646EB"/>
    <w:rsid w:val="0046470F"/>
    <w:rsid w:val="0046472E"/>
    <w:rsid w:val="00464AF5"/>
    <w:rsid w:val="00464BE7"/>
    <w:rsid w:val="00464C64"/>
    <w:rsid w:val="00464C85"/>
    <w:rsid w:val="00464D4A"/>
    <w:rsid w:val="00464D62"/>
    <w:rsid w:val="00464DAC"/>
    <w:rsid w:val="00464DD8"/>
    <w:rsid w:val="00464ECC"/>
    <w:rsid w:val="00464F90"/>
    <w:rsid w:val="00464FB1"/>
    <w:rsid w:val="00464FBD"/>
    <w:rsid w:val="00464FD2"/>
    <w:rsid w:val="0046500F"/>
    <w:rsid w:val="00465032"/>
    <w:rsid w:val="004650AE"/>
    <w:rsid w:val="004650D7"/>
    <w:rsid w:val="00465165"/>
    <w:rsid w:val="004651E8"/>
    <w:rsid w:val="004651F5"/>
    <w:rsid w:val="00465339"/>
    <w:rsid w:val="004653C5"/>
    <w:rsid w:val="004654AF"/>
    <w:rsid w:val="0046552B"/>
    <w:rsid w:val="00465555"/>
    <w:rsid w:val="004655CE"/>
    <w:rsid w:val="0046596E"/>
    <w:rsid w:val="00465AD3"/>
    <w:rsid w:val="00465D59"/>
    <w:rsid w:val="00465D5E"/>
    <w:rsid w:val="00465F20"/>
    <w:rsid w:val="00465F69"/>
    <w:rsid w:val="0046614A"/>
    <w:rsid w:val="00466192"/>
    <w:rsid w:val="00466227"/>
    <w:rsid w:val="00466293"/>
    <w:rsid w:val="004662AD"/>
    <w:rsid w:val="0046645E"/>
    <w:rsid w:val="00466569"/>
    <w:rsid w:val="004665A0"/>
    <w:rsid w:val="00466665"/>
    <w:rsid w:val="00466891"/>
    <w:rsid w:val="0046689E"/>
    <w:rsid w:val="00466976"/>
    <w:rsid w:val="004669C2"/>
    <w:rsid w:val="00466AAC"/>
    <w:rsid w:val="00466B81"/>
    <w:rsid w:val="00466DCC"/>
    <w:rsid w:val="00466E0C"/>
    <w:rsid w:val="00466E35"/>
    <w:rsid w:val="00466E4D"/>
    <w:rsid w:val="00466E99"/>
    <w:rsid w:val="004670FD"/>
    <w:rsid w:val="004671FB"/>
    <w:rsid w:val="004672C8"/>
    <w:rsid w:val="004673D6"/>
    <w:rsid w:val="00467455"/>
    <w:rsid w:val="00467495"/>
    <w:rsid w:val="00467559"/>
    <w:rsid w:val="0046756E"/>
    <w:rsid w:val="004675FB"/>
    <w:rsid w:val="00467670"/>
    <w:rsid w:val="004676FC"/>
    <w:rsid w:val="00467731"/>
    <w:rsid w:val="00467742"/>
    <w:rsid w:val="0046775C"/>
    <w:rsid w:val="00467875"/>
    <w:rsid w:val="00467884"/>
    <w:rsid w:val="004678C9"/>
    <w:rsid w:val="004679CC"/>
    <w:rsid w:val="00467BC6"/>
    <w:rsid w:val="00467C86"/>
    <w:rsid w:val="00467C99"/>
    <w:rsid w:val="00467D43"/>
    <w:rsid w:val="00467E46"/>
    <w:rsid w:val="00467F12"/>
    <w:rsid w:val="00467F5C"/>
    <w:rsid w:val="0047002B"/>
    <w:rsid w:val="00470095"/>
    <w:rsid w:val="004701C0"/>
    <w:rsid w:val="004702DC"/>
    <w:rsid w:val="004705FB"/>
    <w:rsid w:val="00470786"/>
    <w:rsid w:val="004707CC"/>
    <w:rsid w:val="00470880"/>
    <w:rsid w:val="004708C1"/>
    <w:rsid w:val="00470B17"/>
    <w:rsid w:val="00470BDD"/>
    <w:rsid w:val="00470D21"/>
    <w:rsid w:val="00470D46"/>
    <w:rsid w:val="00470EC1"/>
    <w:rsid w:val="00470F63"/>
    <w:rsid w:val="00471096"/>
    <w:rsid w:val="00471281"/>
    <w:rsid w:val="0047128B"/>
    <w:rsid w:val="0047129B"/>
    <w:rsid w:val="004713C7"/>
    <w:rsid w:val="00471542"/>
    <w:rsid w:val="004716A9"/>
    <w:rsid w:val="004716F8"/>
    <w:rsid w:val="0047176E"/>
    <w:rsid w:val="00471888"/>
    <w:rsid w:val="0047188A"/>
    <w:rsid w:val="004718AA"/>
    <w:rsid w:val="004718F6"/>
    <w:rsid w:val="00471947"/>
    <w:rsid w:val="00471951"/>
    <w:rsid w:val="004719E5"/>
    <w:rsid w:val="00471BA9"/>
    <w:rsid w:val="00471D26"/>
    <w:rsid w:val="00471D43"/>
    <w:rsid w:val="00471E1B"/>
    <w:rsid w:val="00471FE6"/>
    <w:rsid w:val="00472070"/>
    <w:rsid w:val="00472091"/>
    <w:rsid w:val="004720DD"/>
    <w:rsid w:val="00472374"/>
    <w:rsid w:val="00472428"/>
    <w:rsid w:val="00472444"/>
    <w:rsid w:val="00472449"/>
    <w:rsid w:val="004724F9"/>
    <w:rsid w:val="0047281B"/>
    <w:rsid w:val="0047298C"/>
    <w:rsid w:val="00472A80"/>
    <w:rsid w:val="00472B24"/>
    <w:rsid w:val="00472B97"/>
    <w:rsid w:val="00472CDD"/>
    <w:rsid w:val="00472D74"/>
    <w:rsid w:val="00472DD9"/>
    <w:rsid w:val="00472E27"/>
    <w:rsid w:val="00472F7C"/>
    <w:rsid w:val="0047305E"/>
    <w:rsid w:val="0047306F"/>
    <w:rsid w:val="004731BF"/>
    <w:rsid w:val="004731E3"/>
    <w:rsid w:val="0047321E"/>
    <w:rsid w:val="004733E3"/>
    <w:rsid w:val="004734F3"/>
    <w:rsid w:val="00473614"/>
    <w:rsid w:val="0047361E"/>
    <w:rsid w:val="00473675"/>
    <w:rsid w:val="00473692"/>
    <w:rsid w:val="00473735"/>
    <w:rsid w:val="0047377A"/>
    <w:rsid w:val="004737F8"/>
    <w:rsid w:val="00473829"/>
    <w:rsid w:val="00473912"/>
    <w:rsid w:val="00473977"/>
    <w:rsid w:val="004739D5"/>
    <w:rsid w:val="00473EF4"/>
    <w:rsid w:val="00473F74"/>
    <w:rsid w:val="00473FB3"/>
    <w:rsid w:val="00473FC8"/>
    <w:rsid w:val="00474017"/>
    <w:rsid w:val="00474034"/>
    <w:rsid w:val="00474099"/>
    <w:rsid w:val="0047409A"/>
    <w:rsid w:val="004741CC"/>
    <w:rsid w:val="0047425A"/>
    <w:rsid w:val="00474333"/>
    <w:rsid w:val="00474496"/>
    <w:rsid w:val="0047451B"/>
    <w:rsid w:val="0047461F"/>
    <w:rsid w:val="00474643"/>
    <w:rsid w:val="004747D9"/>
    <w:rsid w:val="0047488C"/>
    <w:rsid w:val="0047489D"/>
    <w:rsid w:val="0047490E"/>
    <w:rsid w:val="004749CB"/>
    <w:rsid w:val="00474A68"/>
    <w:rsid w:val="00474B67"/>
    <w:rsid w:val="00474BEE"/>
    <w:rsid w:val="00474D07"/>
    <w:rsid w:val="00474E85"/>
    <w:rsid w:val="00474F3C"/>
    <w:rsid w:val="004751C8"/>
    <w:rsid w:val="004751D5"/>
    <w:rsid w:val="00475296"/>
    <w:rsid w:val="004752C9"/>
    <w:rsid w:val="004753C9"/>
    <w:rsid w:val="00475450"/>
    <w:rsid w:val="00475473"/>
    <w:rsid w:val="00475503"/>
    <w:rsid w:val="004756CF"/>
    <w:rsid w:val="004758FD"/>
    <w:rsid w:val="00475913"/>
    <w:rsid w:val="00475977"/>
    <w:rsid w:val="00475A32"/>
    <w:rsid w:val="00475A45"/>
    <w:rsid w:val="00475A6E"/>
    <w:rsid w:val="00475B02"/>
    <w:rsid w:val="00475B1C"/>
    <w:rsid w:val="00475BF7"/>
    <w:rsid w:val="00475C5D"/>
    <w:rsid w:val="00475DB8"/>
    <w:rsid w:val="00475E24"/>
    <w:rsid w:val="00476135"/>
    <w:rsid w:val="00476258"/>
    <w:rsid w:val="00476314"/>
    <w:rsid w:val="00476369"/>
    <w:rsid w:val="004763A9"/>
    <w:rsid w:val="004763ED"/>
    <w:rsid w:val="0047649C"/>
    <w:rsid w:val="00476507"/>
    <w:rsid w:val="0047677D"/>
    <w:rsid w:val="0047678D"/>
    <w:rsid w:val="004767A2"/>
    <w:rsid w:val="0047688E"/>
    <w:rsid w:val="0047691A"/>
    <w:rsid w:val="00476996"/>
    <w:rsid w:val="00476B44"/>
    <w:rsid w:val="00476B5C"/>
    <w:rsid w:val="00476B78"/>
    <w:rsid w:val="00476B79"/>
    <w:rsid w:val="00476CDF"/>
    <w:rsid w:val="00476E19"/>
    <w:rsid w:val="00476FE8"/>
    <w:rsid w:val="00477024"/>
    <w:rsid w:val="004770E6"/>
    <w:rsid w:val="0047712B"/>
    <w:rsid w:val="00477230"/>
    <w:rsid w:val="00477248"/>
    <w:rsid w:val="00477412"/>
    <w:rsid w:val="00477422"/>
    <w:rsid w:val="00477450"/>
    <w:rsid w:val="00477472"/>
    <w:rsid w:val="004775B6"/>
    <w:rsid w:val="004775E5"/>
    <w:rsid w:val="00477616"/>
    <w:rsid w:val="004776A9"/>
    <w:rsid w:val="00477883"/>
    <w:rsid w:val="004778F9"/>
    <w:rsid w:val="00477A04"/>
    <w:rsid w:val="00477B6A"/>
    <w:rsid w:val="00477CFA"/>
    <w:rsid w:val="00477D37"/>
    <w:rsid w:val="00477D3E"/>
    <w:rsid w:val="00477ED0"/>
    <w:rsid w:val="00477F22"/>
    <w:rsid w:val="00480075"/>
    <w:rsid w:val="00480136"/>
    <w:rsid w:val="0048034E"/>
    <w:rsid w:val="004803CB"/>
    <w:rsid w:val="004803E7"/>
    <w:rsid w:val="0048044B"/>
    <w:rsid w:val="0048044D"/>
    <w:rsid w:val="004804DB"/>
    <w:rsid w:val="00480533"/>
    <w:rsid w:val="00480578"/>
    <w:rsid w:val="004805A7"/>
    <w:rsid w:val="0048061C"/>
    <w:rsid w:val="004807A4"/>
    <w:rsid w:val="004808F3"/>
    <w:rsid w:val="004809B6"/>
    <w:rsid w:val="00480A3C"/>
    <w:rsid w:val="00480A98"/>
    <w:rsid w:val="00480CCF"/>
    <w:rsid w:val="00480D95"/>
    <w:rsid w:val="00480DA0"/>
    <w:rsid w:val="00480DCC"/>
    <w:rsid w:val="00480E17"/>
    <w:rsid w:val="004810BE"/>
    <w:rsid w:val="004811E3"/>
    <w:rsid w:val="00481352"/>
    <w:rsid w:val="004813B6"/>
    <w:rsid w:val="0048144A"/>
    <w:rsid w:val="004814D3"/>
    <w:rsid w:val="00481681"/>
    <w:rsid w:val="00481941"/>
    <w:rsid w:val="00481954"/>
    <w:rsid w:val="00481A4D"/>
    <w:rsid w:val="00481AA5"/>
    <w:rsid w:val="00481AAC"/>
    <w:rsid w:val="00481C57"/>
    <w:rsid w:val="00481C62"/>
    <w:rsid w:val="00481D36"/>
    <w:rsid w:val="00481D70"/>
    <w:rsid w:val="00481DE7"/>
    <w:rsid w:val="00481EC2"/>
    <w:rsid w:val="00481F18"/>
    <w:rsid w:val="00482075"/>
    <w:rsid w:val="00482102"/>
    <w:rsid w:val="004821DE"/>
    <w:rsid w:val="004822C9"/>
    <w:rsid w:val="004822F3"/>
    <w:rsid w:val="0048231F"/>
    <w:rsid w:val="00482368"/>
    <w:rsid w:val="004823A4"/>
    <w:rsid w:val="004825B3"/>
    <w:rsid w:val="004825F0"/>
    <w:rsid w:val="0048263C"/>
    <w:rsid w:val="00482743"/>
    <w:rsid w:val="0048274D"/>
    <w:rsid w:val="004827DC"/>
    <w:rsid w:val="00482808"/>
    <w:rsid w:val="00482885"/>
    <w:rsid w:val="00482A05"/>
    <w:rsid w:val="00482A36"/>
    <w:rsid w:val="00482A4B"/>
    <w:rsid w:val="00482B59"/>
    <w:rsid w:val="00482C3F"/>
    <w:rsid w:val="00482C4A"/>
    <w:rsid w:val="00482CEF"/>
    <w:rsid w:val="00482CF8"/>
    <w:rsid w:val="00482D0D"/>
    <w:rsid w:val="00482D3C"/>
    <w:rsid w:val="00482E7A"/>
    <w:rsid w:val="00482FEB"/>
    <w:rsid w:val="00483152"/>
    <w:rsid w:val="004831E4"/>
    <w:rsid w:val="004832EC"/>
    <w:rsid w:val="00483352"/>
    <w:rsid w:val="004834DB"/>
    <w:rsid w:val="00483681"/>
    <w:rsid w:val="00483685"/>
    <w:rsid w:val="00483735"/>
    <w:rsid w:val="0048374A"/>
    <w:rsid w:val="00483785"/>
    <w:rsid w:val="004837B7"/>
    <w:rsid w:val="00483840"/>
    <w:rsid w:val="00483896"/>
    <w:rsid w:val="004838BD"/>
    <w:rsid w:val="0048397E"/>
    <w:rsid w:val="00483986"/>
    <w:rsid w:val="00483A11"/>
    <w:rsid w:val="00483AD9"/>
    <w:rsid w:val="00483B9A"/>
    <w:rsid w:val="00483C51"/>
    <w:rsid w:val="00483DF8"/>
    <w:rsid w:val="00483F1C"/>
    <w:rsid w:val="00483FE5"/>
    <w:rsid w:val="00483FF0"/>
    <w:rsid w:val="00484046"/>
    <w:rsid w:val="00484124"/>
    <w:rsid w:val="0048420A"/>
    <w:rsid w:val="00484268"/>
    <w:rsid w:val="004843D6"/>
    <w:rsid w:val="00484428"/>
    <w:rsid w:val="0048445E"/>
    <w:rsid w:val="00484692"/>
    <w:rsid w:val="00484761"/>
    <w:rsid w:val="004847D0"/>
    <w:rsid w:val="00484833"/>
    <w:rsid w:val="004848A2"/>
    <w:rsid w:val="004848BA"/>
    <w:rsid w:val="00484913"/>
    <w:rsid w:val="004849B4"/>
    <w:rsid w:val="00484A10"/>
    <w:rsid w:val="00484A96"/>
    <w:rsid w:val="00484AB3"/>
    <w:rsid w:val="00484CB7"/>
    <w:rsid w:val="00484D63"/>
    <w:rsid w:val="00484DB7"/>
    <w:rsid w:val="00484E9B"/>
    <w:rsid w:val="00485293"/>
    <w:rsid w:val="0048529B"/>
    <w:rsid w:val="00485385"/>
    <w:rsid w:val="004853B5"/>
    <w:rsid w:val="004857A4"/>
    <w:rsid w:val="004857FE"/>
    <w:rsid w:val="0048582F"/>
    <w:rsid w:val="00485857"/>
    <w:rsid w:val="004858E7"/>
    <w:rsid w:val="00485B99"/>
    <w:rsid w:val="00485BDA"/>
    <w:rsid w:val="00485C0C"/>
    <w:rsid w:val="00485C27"/>
    <w:rsid w:val="00485E0F"/>
    <w:rsid w:val="00485E1A"/>
    <w:rsid w:val="00485E73"/>
    <w:rsid w:val="00485FF0"/>
    <w:rsid w:val="0048602B"/>
    <w:rsid w:val="00486072"/>
    <w:rsid w:val="004860A3"/>
    <w:rsid w:val="00486133"/>
    <w:rsid w:val="00486198"/>
    <w:rsid w:val="0048624A"/>
    <w:rsid w:val="00486349"/>
    <w:rsid w:val="0048636D"/>
    <w:rsid w:val="00486607"/>
    <w:rsid w:val="00486636"/>
    <w:rsid w:val="0048663B"/>
    <w:rsid w:val="00486650"/>
    <w:rsid w:val="004866DF"/>
    <w:rsid w:val="00486702"/>
    <w:rsid w:val="00486717"/>
    <w:rsid w:val="00486736"/>
    <w:rsid w:val="0048674B"/>
    <w:rsid w:val="00486870"/>
    <w:rsid w:val="004869B9"/>
    <w:rsid w:val="00486A2A"/>
    <w:rsid w:val="00486BE4"/>
    <w:rsid w:val="00486C1B"/>
    <w:rsid w:val="00486C74"/>
    <w:rsid w:val="00486CDA"/>
    <w:rsid w:val="00486D4C"/>
    <w:rsid w:val="00486D5B"/>
    <w:rsid w:val="00486E3E"/>
    <w:rsid w:val="00486ED8"/>
    <w:rsid w:val="00486FDC"/>
    <w:rsid w:val="004870F2"/>
    <w:rsid w:val="0048714F"/>
    <w:rsid w:val="00487160"/>
    <w:rsid w:val="00487225"/>
    <w:rsid w:val="004873E1"/>
    <w:rsid w:val="0048753D"/>
    <w:rsid w:val="0048754E"/>
    <w:rsid w:val="00487598"/>
    <w:rsid w:val="00487674"/>
    <w:rsid w:val="00487756"/>
    <w:rsid w:val="0048780D"/>
    <w:rsid w:val="00487857"/>
    <w:rsid w:val="004878B9"/>
    <w:rsid w:val="004879EB"/>
    <w:rsid w:val="00487A27"/>
    <w:rsid w:val="00487B51"/>
    <w:rsid w:val="00487CB3"/>
    <w:rsid w:val="00487F45"/>
    <w:rsid w:val="00487FFE"/>
    <w:rsid w:val="00490093"/>
    <w:rsid w:val="0049032C"/>
    <w:rsid w:val="00490435"/>
    <w:rsid w:val="00490463"/>
    <w:rsid w:val="004905DF"/>
    <w:rsid w:val="00490604"/>
    <w:rsid w:val="00490676"/>
    <w:rsid w:val="00490715"/>
    <w:rsid w:val="0049085D"/>
    <w:rsid w:val="0049087D"/>
    <w:rsid w:val="004908BE"/>
    <w:rsid w:val="004909D7"/>
    <w:rsid w:val="00490A11"/>
    <w:rsid w:val="00490BBF"/>
    <w:rsid w:val="00490C37"/>
    <w:rsid w:val="00490C57"/>
    <w:rsid w:val="00490E29"/>
    <w:rsid w:val="00490E92"/>
    <w:rsid w:val="00491061"/>
    <w:rsid w:val="00491090"/>
    <w:rsid w:val="00491261"/>
    <w:rsid w:val="004912AE"/>
    <w:rsid w:val="004913BD"/>
    <w:rsid w:val="004913C8"/>
    <w:rsid w:val="004913F8"/>
    <w:rsid w:val="004915F3"/>
    <w:rsid w:val="00491690"/>
    <w:rsid w:val="004916B3"/>
    <w:rsid w:val="004916B6"/>
    <w:rsid w:val="0049178C"/>
    <w:rsid w:val="004917C6"/>
    <w:rsid w:val="0049182B"/>
    <w:rsid w:val="00491A4D"/>
    <w:rsid w:val="00491A78"/>
    <w:rsid w:val="00491B8E"/>
    <w:rsid w:val="00491C3E"/>
    <w:rsid w:val="00492028"/>
    <w:rsid w:val="00492165"/>
    <w:rsid w:val="0049229C"/>
    <w:rsid w:val="00492355"/>
    <w:rsid w:val="004923B9"/>
    <w:rsid w:val="004923C2"/>
    <w:rsid w:val="004924FF"/>
    <w:rsid w:val="00492649"/>
    <w:rsid w:val="004927D4"/>
    <w:rsid w:val="004927E4"/>
    <w:rsid w:val="004929A2"/>
    <w:rsid w:val="00492A1C"/>
    <w:rsid w:val="00492A83"/>
    <w:rsid w:val="00492ACB"/>
    <w:rsid w:val="00492C26"/>
    <w:rsid w:val="00492CB9"/>
    <w:rsid w:val="00492D8E"/>
    <w:rsid w:val="00492DF2"/>
    <w:rsid w:val="0049302A"/>
    <w:rsid w:val="004930DE"/>
    <w:rsid w:val="004930E2"/>
    <w:rsid w:val="00493157"/>
    <w:rsid w:val="004931DA"/>
    <w:rsid w:val="0049334D"/>
    <w:rsid w:val="004933F9"/>
    <w:rsid w:val="00493421"/>
    <w:rsid w:val="00493481"/>
    <w:rsid w:val="00493497"/>
    <w:rsid w:val="00493595"/>
    <w:rsid w:val="0049377E"/>
    <w:rsid w:val="004937D0"/>
    <w:rsid w:val="00493930"/>
    <w:rsid w:val="004939B8"/>
    <w:rsid w:val="00493ACA"/>
    <w:rsid w:val="00493AE4"/>
    <w:rsid w:val="00493AF9"/>
    <w:rsid w:val="00493C9E"/>
    <w:rsid w:val="00493CC6"/>
    <w:rsid w:val="00493CD0"/>
    <w:rsid w:val="00493D8A"/>
    <w:rsid w:val="00493DD7"/>
    <w:rsid w:val="00493EE9"/>
    <w:rsid w:val="00493F56"/>
    <w:rsid w:val="004940EC"/>
    <w:rsid w:val="00494257"/>
    <w:rsid w:val="00494289"/>
    <w:rsid w:val="0049437F"/>
    <w:rsid w:val="004943BF"/>
    <w:rsid w:val="00494409"/>
    <w:rsid w:val="0049445C"/>
    <w:rsid w:val="00494639"/>
    <w:rsid w:val="004947CD"/>
    <w:rsid w:val="004948FA"/>
    <w:rsid w:val="004948FB"/>
    <w:rsid w:val="00494A0B"/>
    <w:rsid w:val="00494B28"/>
    <w:rsid w:val="00494B5B"/>
    <w:rsid w:val="00494B84"/>
    <w:rsid w:val="00494C35"/>
    <w:rsid w:val="00494CF1"/>
    <w:rsid w:val="00494D2A"/>
    <w:rsid w:val="00494E05"/>
    <w:rsid w:val="00494E64"/>
    <w:rsid w:val="00494EAD"/>
    <w:rsid w:val="00494EC9"/>
    <w:rsid w:val="00494ECD"/>
    <w:rsid w:val="00494F4A"/>
    <w:rsid w:val="00494FBC"/>
    <w:rsid w:val="00495041"/>
    <w:rsid w:val="004951C1"/>
    <w:rsid w:val="0049528C"/>
    <w:rsid w:val="004952C6"/>
    <w:rsid w:val="004952D1"/>
    <w:rsid w:val="00495490"/>
    <w:rsid w:val="00495508"/>
    <w:rsid w:val="0049559A"/>
    <w:rsid w:val="00495676"/>
    <w:rsid w:val="0049575A"/>
    <w:rsid w:val="004957FA"/>
    <w:rsid w:val="004958CD"/>
    <w:rsid w:val="004958F5"/>
    <w:rsid w:val="0049590B"/>
    <w:rsid w:val="00495913"/>
    <w:rsid w:val="00495937"/>
    <w:rsid w:val="00495A01"/>
    <w:rsid w:val="00495A29"/>
    <w:rsid w:val="00495B91"/>
    <w:rsid w:val="00495BDA"/>
    <w:rsid w:val="00495BDD"/>
    <w:rsid w:val="00495BFC"/>
    <w:rsid w:val="00495E27"/>
    <w:rsid w:val="00495ED1"/>
    <w:rsid w:val="00495FFB"/>
    <w:rsid w:val="0049604E"/>
    <w:rsid w:val="004960E7"/>
    <w:rsid w:val="00496360"/>
    <w:rsid w:val="0049636C"/>
    <w:rsid w:val="00496372"/>
    <w:rsid w:val="0049639D"/>
    <w:rsid w:val="004964E7"/>
    <w:rsid w:val="004964F9"/>
    <w:rsid w:val="00496586"/>
    <w:rsid w:val="0049667F"/>
    <w:rsid w:val="00496736"/>
    <w:rsid w:val="0049677E"/>
    <w:rsid w:val="00496804"/>
    <w:rsid w:val="00496852"/>
    <w:rsid w:val="00496870"/>
    <w:rsid w:val="0049699D"/>
    <w:rsid w:val="00496B13"/>
    <w:rsid w:val="00496C66"/>
    <w:rsid w:val="00496C7F"/>
    <w:rsid w:val="00496D51"/>
    <w:rsid w:val="00496D5D"/>
    <w:rsid w:val="004970EE"/>
    <w:rsid w:val="004971E1"/>
    <w:rsid w:val="004971F8"/>
    <w:rsid w:val="0049720C"/>
    <w:rsid w:val="0049731F"/>
    <w:rsid w:val="00497365"/>
    <w:rsid w:val="004973B1"/>
    <w:rsid w:val="004974DB"/>
    <w:rsid w:val="00497703"/>
    <w:rsid w:val="0049776F"/>
    <w:rsid w:val="00497B5E"/>
    <w:rsid w:val="00497BEC"/>
    <w:rsid w:val="00497C29"/>
    <w:rsid w:val="00497C2E"/>
    <w:rsid w:val="00497C86"/>
    <w:rsid w:val="00497D7C"/>
    <w:rsid w:val="00497E7C"/>
    <w:rsid w:val="00497FC2"/>
    <w:rsid w:val="00497FF6"/>
    <w:rsid w:val="004A007C"/>
    <w:rsid w:val="004A017C"/>
    <w:rsid w:val="004A038C"/>
    <w:rsid w:val="004A0398"/>
    <w:rsid w:val="004A055C"/>
    <w:rsid w:val="004A0742"/>
    <w:rsid w:val="004A0766"/>
    <w:rsid w:val="004A08ED"/>
    <w:rsid w:val="004A0B3B"/>
    <w:rsid w:val="004A0BD8"/>
    <w:rsid w:val="004A0C8E"/>
    <w:rsid w:val="004A0DCC"/>
    <w:rsid w:val="004A0DDD"/>
    <w:rsid w:val="004A0F3C"/>
    <w:rsid w:val="004A0F82"/>
    <w:rsid w:val="004A100A"/>
    <w:rsid w:val="004A1026"/>
    <w:rsid w:val="004A12BA"/>
    <w:rsid w:val="004A12BC"/>
    <w:rsid w:val="004A132A"/>
    <w:rsid w:val="004A13E7"/>
    <w:rsid w:val="004A1408"/>
    <w:rsid w:val="004A141F"/>
    <w:rsid w:val="004A1440"/>
    <w:rsid w:val="004A14CA"/>
    <w:rsid w:val="004A14D9"/>
    <w:rsid w:val="004A15D8"/>
    <w:rsid w:val="004A1665"/>
    <w:rsid w:val="004A1681"/>
    <w:rsid w:val="004A1697"/>
    <w:rsid w:val="004A175F"/>
    <w:rsid w:val="004A17E8"/>
    <w:rsid w:val="004A18B8"/>
    <w:rsid w:val="004A19B3"/>
    <w:rsid w:val="004A19F3"/>
    <w:rsid w:val="004A1BB0"/>
    <w:rsid w:val="004A1C40"/>
    <w:rsid w:val="004A1D9F"/>
    <w:rsid w:val="004A1DB6"/>
    <w:rsid w:val="004A1E7E"/>
    <w:rsid w:val="004A1F51"/>
    <w:rsid w:val="004A2062"/>
    <w:rsid w:val="004A209B"/>
    <w:rsid w:val="004A212F"/>
    <w:rsid w:val="004A214B"/>
    <w:rsid w:val="004A2204"/>
    <w:rsid w:val="004A229A"/>
    <w:rsid w:val="004A234A"/>
    <w:rsid w:val="004A23D9"/>
    <w:rsid w:val="004A2466"/>
    <w:rsid w:val="004A25E6"/>
    <w:rsid w:val="004A2624"/>
    <w:rsid w:val="004A2706"/>
    <w:rsid w:val="004A2743"/>
    <w:rsid w:val="004A278C"/>
    <w:rsid w:val="004A27C8"/>
    <w:rsid w:val="004A2858"/>
    <w:rsid w:val="004A28D5"/>
    <w:rsid w:val="004A291D"/>
    <w:rsid w:val="004A2940"/>
    <w:rsid w:val="004A29F2"/>
    <w:rsid w:val="004A2AD6"/>
    <w:rsid w:val="004A2B45"/>
    <w:rsid w:val="004A2C07"/>
    <w:rsid w:val="004A2DBC"/>
    <w:rsid w:val="004A30B4"/>
    <w:rsid w:val="004A32AC"/>
    <w:rsid w:val="004A343F"/>
    <w:rsid w:val="004A36C7"/>
    <w:rsid w:val="004A395A"/>
    <w:rsid w:val="004A396C"/>
    <w:rsid w:val="004A399F"/>
    <w:rsid w:val="004A39CE"/>
    <w:rsid w:val="004A3B09"/>
    <w:rsid w:val="004A3BAC"/>
    <w:rsid w:val="004A3DD6"/>
    <w:rsid w:val="004A3FA3"/>
    <w:rsid w:val="004A3FDA"/>
    <w:rsid w:val="004A40DA"/>
    <w:rsid w:val="004A4294"/>
    <w:rsid w:val="004A42B2"/>
    <w:rsid w:val="004A431D"/>
    <w:rsid w:val="004A43F0"/>
    <w:rsid w:val="004A44FB"/>
    <w:rsid w:val="004A45EB"/>
    <w:rsid w:val="004A4635"/>
    <w:rsid w:val="004A465D"/>
    <w:rsid w:val="004A4663"/>
    <w:rsid w:val="004A466E"/>
    <w:rsid w:val="004A46BD"/>
    <w:rsid w:val="004A4712"/>
    <w:rsid w:val="004A481F"/>
    <w:rsid w:val="004A4920"/>
    <w:rsid w:val="004A49C1"/>
    <w:rsid w:val="004A49F0"/>
    <w:rsid w:val="004A4A11"/>
    <w:rsid w:val="004A4B71"/>
    <w:rsid w:val="004A4BEA"/>
    <w:rsid w:val="004A4CB0"/>
    <w:rsid w:val="004A4D91"/>
    <w:rsid w:val="004A4DEE"/>
    <w:rsid w:val="004A4E78"/>
    <w:rsid w:val="004A4EC2"/>
    <w:rsid w:val="004A4F70"/>
    <w:rsid w:val="004A5008"/>
    <w:rsid w:val="004A50C4"/>
    <w:rsid w:val="004A523E"/>
    <w:rsid w:val="004A5371"/>
    <w:rsid w:val="004A54C0"/>
    <w:rsid w:val="004A54EF"/>
    <w:rsid w:val="004A5564"/>
    <w:rsid w:val="004A5772"/>
    <w:rsid w:val="004A57DF"/>
    <w:rsid w:val="004A588B"/>
    <w:rsid w:val="004A58AD"/>
    <w:rsid w:val="004A5902"/>
    <w:rsid w:val="004A593E"/>
    <w:rsid w:val="004A5A33"/>
    <w:rsid w:val="004A5A35"/>
    <w:rsid w:val="004A5A89"/>
    <w:rsid w:val="004A5AD3"/>
    <w:rsid w:val="004A5CC9"/>
    <w:rsid w:val="004A5D32"/>
    <w:rsid w:val="004A5D8B"/>
    <w:rsid w:val="004A5EFA"/>
    <w:rsid w:val="004A5F9A"/>
    <w:rsid w:val="004A62A7"/>
    <w:rsid w:val="004A6340"/>
    <w:rsid w:val="004A635C"/>
    <w:rsid w:val="004A6365"/>
    <w:rsid w:val="004A636D"/>
    <w:rsid w:val="004A63AE"/>
    <w:rsid w:val="004A6406"/>
    <w:rsid w:val="004A6503"/>
    <w:rsid w:val="004A6558"/>
    <w:rsid w:val="004A6602"/>
    <w:rsid w:val="004A6611"/>
    <w:rsid w:val="004A662F"/>
    <w:rsid w:val="004A6809"/>
    <w:rsid w:val="004A68E4"/>
    <w:rsid w:val="004A6AB6"/>
    <w:rsid w:val="004A6B3A"/>
    <w:rsid w:val="004A6C6E"/>
    <w:rsid w:val="004A6CD6"/>
    <w:rsid w:val="004A6E02"/>
    <w:rsid w:val="004A6E37"/>
    <w:rsid w:val="004A6EFC"/>
    <w:rsid w:val="004A6FB0"/>
    <w:rsid w:val="004A7023"/>
    <w:rsid w:val="004A7262"/>
    <w:rsid w:val="004A72F8"/>
    <w:rsid w:val="004A7325"/>
    <w:rsid w:val="004A7392"/>
    <w:rsid w:val="004A7512"/>
    <w:rsid w:val="004A7537"/>
    <w:rsid w:val="004A754B"/>
    <w:rsid w:val="004A7588"/>
    <w:rsid w:val="004A75C5"/>
    <w:rsid w:val="004A7718"/>
    <w:rsid w:val="004A77BC"/>
    <w:rsid w:val="004A77EC"/>
    <w:rsid w:val="004A78D8"/>
    <w:rsid w:val="004A7978"/>
    <w:rsid w:val="004A7A8C"/>
    <w:rsid w:val="004A7AB8"/>
    <w:rsid w:val="004A7CFA"/>
    <w:rsid w:val="004A7D67"/>
    <w:rsid w:val="004A7F81"/>
    <w:rsid w:val="004B00FD"/>
    <w:rsid w:val="004B0156"/>
    <w:rsid w:val="004B01A2"/>
    <w:rsid w:val="004B01E3"/>
    <w:rsid w:val="004B0208"/>
    <w:rsid w:val="004B02BD"/>
    <w:rsid w:val="004B0350"/>
    <w:rsid w:val="004B040B"/>
    <w:rsid w:val="004B0460"/>
    <w:rsid w:val="004B053C"/>
    <w:rsid w:val="004B06E4"/>
    <w:rsid w:val="004B0771"/>
    <w:rsid w:val="004B0784"/>
    <w:rsid w:val="004B07E1"/>
    <w:rsid w:val="004B09F0"/>
    <w:rsid w:val="004B0A2E"/>
    <w:rsid w:val="004B0A44"/>
    <w:rsid w:val="004B0B66"/>
    <w:rsid w:val="004B0C3B"/>
    <w:rsid w:val="004B0DE0"/>
    <w:rsid w:val="004B0F2D"/>
    <w:rsid w:val="004B101F"/>
    <w:rsid w:val="004B10C3"/>
    <w:rsid w:val="004B10DD"/>
    <w:rsid w:val="004B1146"/>
    <w:rsid w:val="004B1225"/>
    <w:rsid w:val="004B1296"/>
    <w:rsid w:val="004B1418"/>
    <w:rsid w:val="004B143B"/>
    <w:rsid w:val="004B1494"/>
    <w:rsid w:val="004B156F"/>
    <w:rsid w:val="004B15B5"/>
    <w:rsid w:val="004B16F2"/>
    <w:rsid w:val="004B1729"/>
    <w:rsid w:val="004B1880"/>
    <w:rsid w:val="004B18EB"/>
    <w:rsid w:val="004B1950"/>
    <w:rsid w:val="004B1AA8"/>
    <w:rsid w:val="004B1E28"/>
    <w:rsid w:val="004B1E48"/>
    <w:rsid w:val="004B2089"/>
    <w:rsid w:val="004B20CE"/>
    <w:rsid w:val="004B221F"/>
    <w:rsid w:val="004B2298"/>
    <w:rsid w:val="004B22D9"/>
    <w:rsid w:val="004B2360"/>
    <w:rsid w:val="004B2566"/>
    <w:rsid w:val="004B26BF"/>
    <w:rsid w:val="004B28F7"/>
    <w:rsid w:val="004B2971"/>
    <w:rsid w:val="004B2C42"/>
    <w:rsid w:val="004B2CC2"/>
    <w:rsid w:val="004B2CD0"/>
    <w:rsid w:val="004B2F59"/>
    <w:rsid w:val="004B3096"/>
    <w:rsid w:val="004B3177"/>
    <w:rsid w:val="004B3253"/>
    <w:rsid w:val="004B3338"/>
    <w:rsid w:val="004B3398"/>
    <w:rsid w:val="004B350D"/>
    <w:rsid w:val="004B353E"/>
    <w:rsid w:val="004B364A"/>
    <w:rsid w:val="004B3891"/>
    <w:rsid w:val="004B3C69"/>
    <w:rsid w:val="004B3CF7"/>
    <w:rsid w:val="004B3D6B"/>
    <w:rsid w:val="004B3DEC"/>
    <w:rsid w:val="004B3E0E"/>
    <w:rsid w:val="004B3E91"/>
    <w:rsid w:val="004B3F58"/>
    <w:rsid w:val="004B4069"/>
    <w:rsid w:val="004B4129"/>
    <w:rsid w:val="004B4257"/>
    <w:rsid w:val="004B432D"/>
    <w:rsid w:val="004B437A"/>
    <w:rsid w:val="004B44E4"/>
    <w:rsid w:val="004B45A0"/>
    <w:rsid w:val="004B45F5"/>
    <w:rsid w:val="004B47BA"/>
    <w:rsid w:val="004B4826"/>
    <w:rsid w:val="004B482C"/>
    <w:rsid w:val="004B488B"/>
    <w:rsid w:val="004B497B"/>
    <w:rsid w:val="004B4B61"/>
    <w:rsid w:val="004B4BD2"/>
    <w:rsid w:val="004B4BF0"/>
    <w:rsid w:val="004B4D01"/>
    <w:rsid w:val="004B4D3B"/>
    <w:rsid w:val="004B4E25"/>
    <w:rsid w:val="004B4E51"/>
    <w:rsid w:val="004B4E71"/>
    <w:rsid w:val="004B4F86"/>
    <w:rsid w:val="004B5054"/>
    <w:rsid w:val="004B50C0"/>
    <w:rsid w:val="004B51A9"/>
    <w:rsid w:val="004B51FA"/>
    <w:rsid w:val="004B53CC"/>
    <w:rsid w:val="004B5519"/>
    <w:rsid w:val="004B55CD"/>
    <w:rsid w:val="004B5629"/>
    <w:rsid w:val="004B5703"/>
    <w:rsid w:val="004B5730"/>
    <w:rsid w:val="004B575C"/>
    <w:rsid w:val="004B578F"/>
    <w:rsid w:val="004B57C5"/>
    <w:rsid w:val="004B5ADA"/>
    <w:rsid w:val="004B5D5E"/>
    <w:rsid w:val="004B5D78"/>
    <w:rsid w:val="004B5DCC"/>
    <w:rsid w:val="004B5E68"/>
    <w:rsid w:val="004B5F81"/>
    <w:rsid w:val="004B5FC3"/>
    <w:rsid w:val="004B5FE5"/>
    <w:rsid w:val="004B60D4"/>
    <w:rsid w:val="004B6209"/>
    <w:rsid w:val="004B6258"/>
    <w:rsid w:val="004B63EF"/>
    <w:rsid w:val="004B6537"/>
    <w:rsid w:val="004B667B"/>
    <w:rsid w:val="004B66D2"/>
    <w:rsid w:val="004B6710"/>
    <w:rsid w:val="004B67B1"/>
    <w:rsid w:val="004B6810"/>
    <w:rsid w:val="004B68CC"/>
    <w:rsid w:val="004B68CE"/>
    <w:rsid w:val="004B68E4"/>
    <w:rsid w:val="004B6C9B"/>
    <w:rsid w:val="004B6C9F"/>
    <w:rsid w:val="004B6CD0"/>
    <w:rsid w:val="004B6D5E"/>
    <w:rsid w:val="004B6E11"/>
    <w:rsid w:val="004B716B"/>
    <w:rsid w:val="004B71DE"/>
    <w:rsid w:val="004B7324"/>
    <w:rsid w:val="004B735B"/>
    <w:rsid w:val="004B73D7"/>
    <w:rsid w:val="004B746A"/>
    <w:rsid w:val="004B74EF"/>
    <w:rsid w:val="004B756D"/>
    <w:rsid w:val="004B75A2"/>
    <w:rsid w:val="004B7792"/>
    <w:rsid w:val="004B77AD"/>
    <w:rsid w:val="004B77C2"/>
    <w:rsid w:val="004B7898"/>
    <w:rsid w:val="004B78B9"/>
    <w:rsid w:val="004B79D1"/>
    <w:rsid w:val="004B7A17"/>
    <w:rsid w:val="004B7B42"/>
    <w:rsid w:val="004B7BC7"/>
    <w:rsid w:val="004B7C5C"/>
    <w:rsid w:val="004B7CC1"/>
    <w:rsid w:val="004B7E29"/>
    <w:rsid w:val="004B7E8D"/>
    <w:rsid w:val="004B7F54"/>
    <w:rsid w:val="004B7FED"/>
    <w:rsid w:val="004C0025"/>
    <w:rsid w:val="004C00C1"/>
    <w:rsid w:val="004C0239"/>
    <w:rsid w:val="004C024C"/>
    <w:rsid w:val="004C0356"/>
    <w:rsid w:val="004C03BF"/>
    <w:rsid w:val="004C051D"/>
    <w:rsid w:val="004C0526"/>
    <w:rsid w:val="004C055A"/>
    <w:rsid w:val="004C0749"/>
    <w:rsid w:val="004C0C54"/>
    <w:rsid w:val="004C0D97"/>
    <w:rsid w:val="004C0E72"/>
    <w:rsid w:val="004C0EFD"/>
    <w:rsid w:val="004C0F53"/>
    <w:rsid w:val="004C0FD3"/>
    <w:rsid w:val="004C10E9"/>
    <w:rsid w:val="004C1276"/>
    <w:rsid w:val="004C144C"/>
    <w:rsid w:val="004C146F"/>
    <w:rsid w:val="004C148F"/>
    <w:rsid w:val="004C1520"/>
    <w:rsid w:val="004C153D"/>
    <w:rsid w:val="004C15E2"/>
    <w:rsid w:val="004C1803"/>
    <w:rsid w:val="004C1817"/>
    <w:rsid w:val="004C1970"/>
    <w:rsid w:val="004C19EE"/>
    <w:rsid w:val="004C1A39"/>
    <w:rsid w:val="004C1B49"/>
    <w:rsid w:val="004C1CB9"/>
    <w:rsid w:val="004C1CDB"/>
    <w:rsid w:val="004C1CEB"/>
    <w:rsid w:val="004C1D05"/>
    <w:rsid w:val="004C2029"/>
    <w:rsid w:val="004C2176"/>
    <w:rsid w:val="004C2324"/>
    <w:rsid w:val="004C2336"/>
    <w:rsid w:val="004C2522"/>
    <w:rsid w:val="004C2580"/>
    <w:rsid w:val="004C2616"/>
    <w:rsid w:val="004C2664"/>
    <w:rsid w:val="004C270E"/>
    <w:rsid w:val="004C2773"/>
    <w:rsid w:val="004C28A8"/>
    <w:rsid w:val="004C2A4B"/>
    <w:rsid w:val="004C2A69"/>
    <w:rsid w:val="004C2AC4"/>
    <w:rsid w:val="004C2AD8"/>
    <w:rsid w:val="004C2B05"/>
    <w:rsid w:val="004C2B5B"/>
    <w:rsid w:val="004C2C36"/>
    <w:rsid w:val="004C2C77"/>
    <w:rsid w:val="004C2F5F"/>
    <w:rsid w:val="004C2FB9"/>
    <w:rsid w:val="004C2FD2"/>
    <w:rsid w:val="004C2FEE"/>
    <w:rsid w:val="004C305A"/>
    <w:rsid w:val="004C318F"/>
    <w:rsid w:val="004C32DC"/>
    <w:rsid w:val="004C3392"/>
    <w:rsid w:val="004C3406"/>
    <w:rsid w:val="004C34C3"/>
    <w:rsid w:val="004C36C3"/>
    <w:rsid w:val="004C37E4"/>
    <w:rsid w:val="004C397C"/>
    <w:rsid w:val="004C3A02"/>
    <w:rsid w:val="004C3B4F"/>
    <w:rsid w:val="004C3B80"/>
    <w:rsid w:val="004C3BC2"/>
    <w:rsid w:val="004C3E68"/>
    <w:rsid w:val="004C3EBD"/>
    <w:rsid w:val="004C406D"/>
    <w:rsid w:val="004C40AA"/>
    <w:rsid w:val="004C4156"/>
    <w:rsid w:val="004C43B3"/>
    <w:rsid w:val="004C4424"/>
    <w:rsid w:val="004C4474"/>
    <w:rsid w:val="004C44CD"/>
    <w:rsid w:val="004C44E7"/>
    <w:rsid w:val="004C4699"/>
    <w:rsid w:val="004C46CE"/>
    <w:rsid w:val="004C471E"/>
    <w:rsid w:val="004C4739"/>
    <w:rsid w:val="004C47EC"/>
    <w:rsid w:val="004C4908"/>
    <w:rsid w:val="004C4AD6"/>
    <w:rsid w:val="004C4AF9"/>
    <w:rsid w:val="004C4B81"/>
    <w:rsid w:val="004C4D81"/>
    <w:rsid w:val="004C4FD5"/>
    <w:rsid w:val="004C5134"/>
    <w:rsid w:val="004C5176"/>
    <w:rsid w:val="004C51D0"/>
    <w:rsid w:val="004C51EF"/>
    <w:rsid w:val="004C52BF"/>
    <w:rsid w:val="004C52DD"/>
    <w:rsid w:val="004C52E1"/>
    <w:rsid w:val="004C539C"/>
    <w:rsid w:val="004C53AE"/>
    <w:rsid w:val="004C54A7"/>
    <w:rsid w:val="004C550E"/>
    <w:rsid w:val="004C56C4"/>
    <w:rsid w:val="004C571A"/>
    <w:rsid w:val="004C57DF"/>
    <w:rsid w:val="004C57E1"/>
    <w:rsid w:val="004C5AB7"/>
    <w:rsid w:val="004C5ADB"/>
    <w:rsid w:val="004C5B68"/>
    <w:rsid w:val="004C5C0B"/>
    <w:rsid w:val="004C5CE7"/>
    <w:rsid w:val="004C5D74"/>
    <w:rsid w:val="004C5EE2"/>
    <w:rsid w:val="004C5F1A"/>
    <w:rsid w:val="004C5F2C"/>
    <w:rsid w:val="004C5F62"/>
    <w:rsid w:val="004C5F7F"/>
    <w:rsid w:val="004C607D"/>
    <w:rsid w:val="004C613C"/>
    <w:rsid w:val="004C614E"/>
    <w:rsid w:val="004C61D7"/>
    <w:rsid w:val="004C6216"/>
    <w:rsid w:val="004C6244"/>
    <w:rsid w:val="004C62A7"/>
    <w:rsid w:val="004C63D6"/>
    <w:rsid w:val="004C63DD"/>
    <w:rsid w:val="004C6432"/>
    <w:rsid w:val="004C6489"/>
    <w:rsid w:val="004C64F5"/>
    <w:rsid w:val="004C674D"/>
    <w:rsid w:val="004C6801"/>
    <w:rsid w:val="004C6956"/>
    <w:rsid w:val="004C69D7"/>
    <w:rsid w:val="004C69E3"/>
    <w:rsid w:val="004C6A93"/>
    <w:rsid w:val="004C6AA4"/>
    <w:rsid w:val="004C6AB7"/>
    <w:rsid w:val="004C6EE3"/>
    <w:rsid w:val="004C6EE5"/>
    <w:rsid w:val="004C6F4D"/>
    <w:rsid w:val="004C705C"/>
    <w:rsid w:val="004C7097"/>
    <w:rsid w:val="004C7197"/>
    <w:rsid w:val="004C7244"/>
    <w:rsid w:val="004C732A"/>
    <w:rsid w:val="004C7461"/>
    <w:rsid w:val="004C74AD"/>
    <w:rsid w:val="004C74FD"/>
    <w:rsid w:val="004C75D6"/>
    <w:rsid w:val="004C75F8"/>
    <w:rsid w:val="004C763C"/>
    <w:rsid w:val="004C7660"/>
    <w:rsid w:val="004C78AD"/>
    <w:rsid w:val="004C78C4"/>
    <w:rsid w:val="004C79F6"/>
    <w:rsid w:val="004C7A98"/>
    <w:rsid w:val="004C7AAF"/>
    <w:rsid w:val="004C7BAE"/>
    <w:rsid w:val="004C7D68"/>
    <w:rsid w:val="004C7DDB"/>
    <w:rsid w:val="004C7E85"/>
    <w:rsid w:val="004C7F88"/>
    <w:rsid w:val="004C7F9C"/>
    <w:rsid w:val="004D0053"/>
    <w:rsid w:val="004D008B"/>
    <w:rsid w:val="004D01F0"/>
    <w:rsid w:val="004D0247"/>
    <w:rsid w:val="004D0290"/>
    <w:rsid w:val="004D0330"/>
    <w:rsid w:val="004D04F3"/>
    <w:rsid w:val="004D0536"/>
    <w:rsid w:val="004D05C5"/>
    <w:rsid w:val="004D0618"/>
    <w:rsid w:val="004D064B"/>
    <w:rsid w:val="004D0675"/>
    <w:rsid w:val="004D06F5"/>
    <w:rsid w:val="004D0704"/>
    <w:rsid w:val="004D071A"/>
    <w:rsid w:val="004D0AAC"/>
    <w:rsid w:val="004D0B2F"/>
    <w:rsid w:val="004D0E72"/>
    <w:rsid w:val="004D0EB8"/>
    <w:rsid w:val="004D0EBE"/>
    <w:rsid w:val="004D0F57"/>
    <w:rsid w:val="004D0F5B"/>
    <w:rsid w:val="004D0F5F"/>
    <w:rsid w:val="004D1051"/>
    <w:rsid w:val="004D10ED"/>
    <w:rsid w:val="004D113F"/>
    <w:rsid w:val="004D1203"/>
    <w:rsid w:val="004D123A"/>
    <w:rsid w:val="004D13F1"/>
    <w:rsid w:val="004D1416"/>
    <w:rsid w:val="004D147C"/>
    <w:rsid w:val="004D159E"/>
    <w:rsid w:val="004D15EF"/>
    <w:rsid w:val="004D17FB"/>
    <w:rsid w:val="004D1871"/>
    <w:rsid w:val="004D189E"/>
    <w:rsid w:val="004D1ADF"/>
    <w:rsid w:val="004D1AF0"/>
    <w:rsid w:val="004D1B4E"/>
    <w:rsid w:val="004D1B51"/>
    <w:rsid w:val="004D1DD7"/>
    <w:rsid w:val="004D1E37"/>
    <w:rsid w:val="004D1E60"/>
    <w:rsid w:val="004D1EA2"/>
    <w:rsid w:val="004D1F57"/>
    <w:rsid w:val="004D218E"/>
    <w:rsid w:val="004D21C7"/>
    <w:rsid w:val="004D22EE"/>
    <w:rsid w:val="004D26CF"/>
    <w:rsid w:val="004D277A"/>
    <w:rsid w:val="004D27F0"/>
    <w:rsid w:val="004D2952"/>
    <w:rsid w:val="004D2A57"/>
    <w:rsid w:val="004D2B1D"/>
    <w:rsid w:val="004D2B69"/>
    <w:rsid w:val="004D2B72"/>
    <w:rsid w:val="004D2B7C"/>
    <w:rsid w:val="004D2C43"/>
    <w:rsid w:val="004D2CD8"/>
    <w:rsid w:val="004D2F9E"/>
    <w:rsid w:val="004D3036"/>
    <w:rsid w:val="004D312E"/>
    <w:rsid w:val="004D31E4"/>
    <w:rsid w:val="004D31E9"/>
    <w:rsid w:val="004D326E"/>
    <w:rsid w:val="004D327C"/>
    <w:rsid w:val="004D3379"/>
    <w:rsid w:val="004D344F"/>
    <w:rsid w:val="004D3478"/>
    <w:rsid w:val="004D369B"/>
    <w:rsid w:val="004D37BE"/>
    <w:rsid w:val="004D37E3"/>
    <w:rsid w:val="004D3808"/>
    <w:rsid w:val="004D3A94"/>
    <w:rsid w:val="004D3B06"/>
    <w:rsid w:val="004D3B8D"/>
    <w:rsid w:val="004D3BC1"/>
    <w:rsid w:val="004D3BEB"/>
    <w:rsid w:val="004D3C4C"/>
    <w:rsid w:val="004D3DCA"/>
    <w:rsid w:val="004D3E8A"/>
    <w:rsid w:val="004D3EDC"/>
    <w:rsid w:val="004D3FEB"/>
    <w:rsid w:val="004D40E1"/>
    <w:rsid w:val="004D4127"/>
    <w:rsid w:val="004D42DE"/>
    <w:rsid w:val="004D4318"/>
    <w:rsid w:val="004D4385"/>
    <w:rsid w:val="004D43FB"/>
    <w:rsid w:val="004D442D"/>
    <w:rsid w:val="004D4612"/>
    <w:rsid w:val="004D4701"/>
    <w:rsid w:val="004D482A"/>
    <w:rsid w:val="004D49FC"/>
    <w:rsid w:val="004D4B37"/>
    <w:rsid w:val="004D4B56"/>
    <w:rsid w:val="004D4B6E"/>
    <w:rsid w:val="004D4B9C"/>
    <w:rsid w:val="004D4CB4"/>
    <w:rsid w:val="004D4E2D"/>
    <w:rsid w:val="004D4E85"/>
    <w:rsid w:val="004D511F"/>
    <w:rsid w:val="004D5259"/>
    <w:rsid w:val="004D5377"/>
    <w:rsid w:val="004D53CC"/>
    <w:rsid w:val="004D53FE"/>
    <w:rsid w:val="004D5467"/>
    <w:rsid w:val="004D572B"/>
    <w:rsid w:val="004D5760"/>
    <w:rsid w:val="004D578F"/>
    <w:rsid w:val="004D57EC"/>
    <w:rsid w:val="004D58B2"/>
    <w:rsid w:val="004D5BBC"/>
    <w:rsid w:val="004D5D71"/>
    <w:rsid w:val="004D5DCC"/>
    <w:rsid w:val="004D5DCF"/>
    <w:rsid w:val="004D5DEA"/>
    <w:rsid w:val="004D5DF6"/>
    <w:rsid w:val="004D5EE7"/>
    <w:rsid w:val="004D6053"/>
    <w:rsid w:val="004D6098"/>
    <w:rsid w:val="004D60E2"/>
    <w:rsid w:val="004D60ED"/>
    <w:rsid w:val="004D614F"/>
    <w:rsid w:val="004D6157"/>
    <w:rsid w:val="004D61DC"/>
    <w:rsid w:val="004D62A7"/>
    <w:rsid w:val="004D633A"/>
    <w:rsid w:val="004D6435"/>
    <w:rsid w:val="004D65A1"/>
    <w:rsid w:val="004D6631"/>
    <w:rsid w:val="004D664B"/>
    <w:rsid w:val="004D6652"/>
    <w:rsid w:val="004D669C"/>
    <w:rsid w:val="004D66DA"/>
    <w:rsid w:val="004D66F6"/>
    <w:rsid w:val="004D673A"/>
    <w:rsid w:val="004D678C"/>
    <w:rsid w:val="004D683D"/>
    <w:rsid w:val="004D6844"/>
    <w:rsid w:val="004D685A"/>
    <w:rsid w:val="004D696D"/>
    <w:rsid w:val="004D6986"/>
    <w:rsid w:val="004D6A13"/>
    <w:rsid w:val="004D6AAE"/>
    <w:rsid w:val="004D6ABA"/>
    <w:rsid w:val="004D6AC5"/>
    <w:rsid w:val="004D6AE0"/>
    <w:rsid w:val="004D6B41"/>
    <w:rsid w:val="004D6BA3"/>
    <w:rsid w:val="004D6C9F"/>
    <w:rsid w:val="004D6D0F"/>
    <w:rsid w:val="004D6E06"/>
    <w:rsid w:val="004D6EE0"/>
    <w:rsid w:val="004D6F22"/>
    <w:rsid w:val="004D6F7C"/>
    <w:rsid w:val="004D7005"/>
    <w:rsid w:val="004D703A"/>
    <w:rsid w:val="004D7095"/>
    <w:rsid w:val="004D70D8"/>
    <w:rsid w:val="004D71BA"/>
    <w:rsid w:val="004D7208"/>
    <w:rsid w:val="004D7230"/>
    <w:rsid w:val="004D7447"/>
    <w:rsid w:val="004D74B2"/>
    <w:rsid w:val="004D7620"/>
    <w:rsid w:val="004D7637"/>
    <w:rsid w:val="004D7682"/>
    <w:rsid w:val="004D7791"/>
    <w:rsid w:val="004D7816"/>
    <w:rsid w:val="004D7902"/>
    <w:rsid w:val="004D7A72"/>
    <w:rsid w:val="004D7AB6"/>
    <w:rsid w:val="004D7B01"/>
    <w:rsid w:val="004D7B7B"/>
    <w:rsid w:val="004D7BE0"/>
    <w:rsid w:val="004D7D18"/>
    <w:rsid w:val="004D7E0A"/>
    <w:rsid w:val="004D7E89"/>
    <w:rsid w:val="004D7E95"/>
    <w:rsid w:val="004D7FF1"/>
    <w:rsid w:val="004E0097"/>
    <w:rsid w:val="004E0100"/>
    <w:rsid w:val="004E01C0"/>
    <w:rsid w:val="004E0422"/>
    <w:rsid w:val="004E04B5"/>
    <w:rsid w:val="004E066B"/>
    <w:rsid w:val="004E06E4"/>
    <w:rsid w:val="004E0723"/>
    <w:rsid w:val="004E0772"/>
    <w:rsid w:val="004E07EA"/>
    <w:rsid w:val="004E07F1"/>
    <w:rsid w:val="004E08FC"/>
    <w:rsid w:val="004E0A50"/>
    <w:rsid w:val="004E0A55"/>
    <w:rsid w:val="004E0BA5"/>
    <w:rsid w:val="004E0BBC"/>
    <w:rsid w:val="004E0C20"/>
    <w:rsid w:val="004E0C5F"/>
    <w:rsid w:val="004E0DDC"/>
    <w:rsid w:val="004E0E10"/>
    <w:rsid w:val="004E102E"/>
    <w:rsid w:val="004E10AC"/>
    <w:rsid w:val="004E1209"/>
    <w:rsid w:val="004E1224"/>
    <w:rsid w:val="004E1252"/>
    <w:rsid w:val="004E128C"/>
    <w:rsid w:val="004E151B"/>
    <w:rsid w:val="004E1574"/>
    <w:rsid w:val="004E1646"/>
    <w:rsid w:val="004E1726"/>
    <w:rsid w:val="004E1764"/>
    <w:rsid w:val="004E17E1"/>
    <w:rsid w:val="004E1AE0"/>
    <w:rsid w:val="004E1BE6"/>
    <w:rsid w:val="004E1C08"/>
    <w:rsid w:val="004E1C26"/>
    <w:rsid w:val="004E1D2F"/>
    <w:rsid w:val="004E1E89"/>
    <w:rsid w:val="004E1F29"/>
    <w:rsid w:val="004E2131"/>
    <w:rsid w:val="004E214E"/>
    <w:rsid w:val="004E23DA"/>
    <w:rsid w:val="004E2440"/>
    <w:rsid w:val="004E2607"/>
    <w:rsid w:val="004E2833"/>
    <w:rsid w:val="004E28CB"/>
    <w:rsid w:val="004E292A"/>
    <w:rsid w:val="004E2936"/>
    <w:rsid w:val="004E2A4D"/>
    <w:rsid w:val="004E2BFE"/>
    <w:rsid w:val="004E2C2E"/>
    <w:rsid w:val="004E2C41"/>
    <w:rsid w:val="004E2D3D"/>
    <w:rsid w:val="004E2D4B"/>
    <w:rsid w:val="004E2E58"/>
    <w:rsid w:val="004E2E7E"/>
    <w:rsid w:val="004E2EA0"/>
    <w:rsid w:val="004E31E4"/>
    <w:rsid w:val="004E3586"/>
    <w:rsid w:val="004E35A0"/>
    <w:rsid w:val="004E365E"/>
    <w:rsid w:val="004E38F5"/>
    <w:rsid w:val="004E39C8"/>
    <w:rsid w:val="004E3B53"/>
    <w:rsid w:val="004E3CBC"/>
    <w:rsid w:val="004E3E4B"/>
    <w:rsid w:val="004E3F31"/>
    <w:rsid w:val="004E4068"/>
    <w:rsid w:val="004E40FB"/>
    <w:rsid w:val="004E41BA"/>
    <w:rsid w:val="004E41C4"/>
    <w:rsid w:val="004E4202"/>
    <w:rsid w:val="004E459B"/>
    <w:rsid w:val="004E4764"/>
    <w:rsid w:val="004E476C"/>
    <w:rsid w:val="004E4900"/>
    <w:rsid w:val="004E4A11"/>
    <w:rsid w:val="004E4A23"/>
    <w:rsid w:val="004E4BFC"/>
    <w:rsid w:val="004E4D8B"/>
    <w:rsid w:val="004E4E48"/>
    <w:rsid w:val="004E4EEE"/>
    <w:rsid w:val="004E5040"/>
    <w:rsid w:val="004E5131"/>
    <w:rsid w:val="004E51F0"/>
    <w:rsid w:val="004E522F"/>
    <w:rsid w:val="004E5253"/>
    <w:rsid w:val="004E55A7"/>
    <w:rsid w:val="004E55D7"/>
    <w:rsid w:val="004E56DF"/>
    <w:rsid w:val="004E5811"/>
    <w:rsid w:val="004E591E"/>
    <w:rsid w:val="004E597A"/>
    <w:rsid w:val="004E5B39"/>
    <w:rsid w:val="004E5B48"/>
    <w:rsid w:val="004E5B6C"/>
    <w:rsid w:val="004E5C3E"/>
    <w:rsid w:val="004E5DFF"/>
    <w:rsid w:val="004E5E58"/>
    <w:rsid w:val="004E5F5C"/>
    <w:rsid w:val="004E5F62"/>
    <w:rsid w:val="004E60EA"/>
    <w:rsid w:val="004E6284"/>
    <w:rsid w:val="004E637E"/>
    <w:rsid w:val="004E641F"/>
    <w:rsid w:val="004E6505"/>
    <w:rsid w:val="004E6672"/>
    <w:rsid w:val="004E669E"/>
    <w:rsid w:val="004E678A"/>
    <w:rsid w:val="004E6808"/>
    <w:rsid w:val="004E6959"/>
    <w:rsid w:val="004E6A5A"/>
    <w:rsid w:val="004E6BF3"/>
    <w:rsid w:val="004E6C63"/>
    <w:rsid w:val="004E6CDE"/>
    <w:rsid w:val="004E6F3D"/>
    <w:rsid w:val="004E72CF"/>
    <w:rsid w:val="004E747F"/>
    <w:rsid w:val="004E7508"/>
    <w:rsid w:val="004E75C0"/>
    <w:rsid w:val="004E7634"/>
    <w:rsid w:val="004E7686"/>
    <w:rsid w:val="004E76A5"/>
    <w:rsid w:val="004E76C7"/>
    <w:rsid w:val="004E7860"/>
    <w:rsid w:val="004E78EC"/>
    <w:rsid w:val="004E791F"/>
    <w:rsid w:val="004E7D2E"/>
    <w:rsid w:val="004E7F1C"/>
    <w:rsid w:val="004F01FB"/>
    <w:rsid w:val="004F02A4"/>
    <w:rsid w:val="004F02C7"/>
    <w:rsid w:val="004F02E2"/>
    <w:rsid w:val="004F0313"/>
    <w:rsid w:val="004F035A"/>
    <w:rsid w:val="004F0467"/>
    <w:rsid w:val="004F04C8"/>
    <w:rsid w:val="004F0544"/>
    <w:rsid w:val="004F0566"/>
    <w:rsid w:val="004F05B5"/>
    <w:rsid w:val="004F07FA"/>
    <w:rsid w:val="004F0A15"/>
    <w:rsid w:val="004F0AE2"/>
    <w:rsid w:val="004F0B61"/>
    <w:rsid w:val="004F0D55"/>
    <w:rsid w:val="004F1045"/>
    <w:rsid w:val="004F1100"/>
    <w:rsid w:val="004F11DC"/>
    <w:rsid w:val="004F124F"/>
    <w:rsid w:val="004F12DF"/>
    <w:rsid w:val="004F1399"/>
    <w:rsid w:val="004F14AB"/>
    <w:rsid w:val="004F151B"/>
    <w:rsid w:val="004F15A8"/>
    <w:rsid w:val="004F15CB"/>
    <w:rsid w:val="004F15D0"/>
    <w:rsid w:val="004F15D6"/>
    <w:rsid w:val="004F164E"/>
    <w:rsid w:val="004F17CB"/>
    <w:rsid w:val="004F181F"/>
    <w:rsid w:val="004F19A0"/>
    <w:rsid w:val="004F1ACA"/>
    <w:rsid w:val="004F1B7F"/>
    <w:rsid w:val="004F1C23"/>
    <w:rsid w:val="004F1C42"/>
    <w:rsid w:val="004F1C65"/>
    <w:rsid w:val="004F1E1E"/>
    <w:rsid w:val="004F1E4D"/>
    <w:rsid w:val="004F1EA4"/>
    <w:rsid w:val="004F1FC0"/>
    <w:rsid w:val="004F20F6"/>
    <w:rsid w:val="004F212E"/>
    <w:rsid w:val="004F2227"/>
    <w:rsid w:val="004F229E"/>
    <w:rsid w:val="004F2340"/>
    <w:rsid w:val="004F2362"/>
    <w:rsid w:val="004F23AC"/>
    <w:rsid w:val="004F241F"/>
    <w:rsid w:val="004F2455"/>
    <w:rsid w:val="004F24FB"/>
    <w:rsid w:val="004F2571"/>
    <w:rsid w:val="004F25C2"/>
    <w:rsid w:val="004F25D2"/>
    <w:rsid w:val="004F2714"/>
    <w:rsid w:val="004F28C1"/>
    <w:rsid w:val="004F2AD6"/>
    <w:rsid w:val="004F2B1F"/>
    <w:rsid w:val="004F2D12"/>
    <w:rsid w:val="004F2D76"/>
    <w:rsid w:val="004F2D7E"/>
    <w:rsid w:val="004F2D80"/>
    <w:rsid w:val="004F2FDE"/>
    <w:rsid w:val="004F3206"/>
    <w:rsid w:val="004F32A8"/>
    <w:rsid w:val="004F353C"/>
    <w:rsid w:val="004F3587"/>
    <w:rsid w:val="004F3606"/>
    <w:rsid w:val="004F36B3"/>
    <w:rsid w:val="004F3889"/>
    <w:rsid w:val="004F38A6"/>
    <w:rsid w:val="004F3966"/>
    <w:rsid w:val="004F399C"/>
    <w:rsid w:val="004F3A1B"/>
    <w:rsid w:val="004F3A2E"/>
    <w:rsid w:val="004F3BF6"/>
    <w:rsid w:val="004F3CBC"/>
    <w:rsid w:val="004F4030"/>
    <w:rsid w:val="004F419A"/>
    <w:rsid w:val="004F436F"/>
    <w:rsid w:val="004F44AA"/>
    <w:rsid w:val="004F45B5"/>
    <w:rsid w:val="004F46C1"/>
    <w:rsid w:val="004F471D"/>
    <w:rsid w:val="004F47B4"/>
    <w:rsid w:val="004F49C3"/>
    <w:rsid w:val="004F4A20"/>
    <w:rsid w:val="004F4A4B"/>
    <w:rsid w:val="004F4A81"/>
    <w:rsid w:val="004F4BEC"/>
    <w:rsid w:val="004F4CF2"/>
    <w:rsid w:val="004F4D4A"/>
    <w:rsid w:val="004F4D8D"/>
    <w:rsid w:val="004F4DAA"/>
    <w:rsid w:val="004F4E1B"/>
    <w:rsid w:val="004F4E95"/>
    <w:rsid w:val="004F4EED"/>
    <w:rsid w:val="004F4FB9"/>
    <w:rsid w:val="004F4FE3"/>
    <w:rsid w:val="004F5056"/>
    <w:rsid w:val="004F50DC"/>
    <w:rsid w:val="004F53CD"/>
    <w:rsid w:val="004F549D"/>
    <w:rsid w:val="004F5551"/>
    <w:rsid w:val="004F561B"/>
    <w:rsid w:val="004F5755"/>
    <w:rsid w:val="004F5987"/>
    <w:rsid w:val="004F5AC2"/>
    <w:rsid w:val="004F5B28"/>
    <w:rsid w:val="004F5B2E"/>
    <w:rsid w:val="004F5CEB"/>
    <w:rsid w:val="004F5D88"/>
    <w:rsid w:val="004F5D95"/>
    <w:rsid w:val="004F5DD8"/>
    <w:rsid w:val="004F5E41"/>
    <w:rsid w:val="004F5E54"/>
    <w:rsid w:val="004F6190"/>
    <w:rsid w:val="004F619E"/>
    <w:rsid w:val="004F623F"/>
    <w:rsid w:val="004F62AB"/>
    <w:rsid w:val="004F62F3"/>
    <w:rsid w:val="004F63D0"/>
    <w:rsid w:val="004F657D"/>
    <w:rsid w:val="004F664E"/>
    <w:rsid w:val="004F66A0"/>
    <w:rsid w:val="004F67FD"/>
    <w:rsid w:val="004F6807"/>
    <w:rsid w:val="004F6826"/>
    <w:rsid w:val="004F69F5"/>
    <w:rsid w:val="004F6ABE"/>
    <w:rsid w:val="004F6ACA"/>
    <w:rsid w:val="004F6B3A"/>
    <w:rsid w:val="004F6BA4"/>
    <w:rsid w:val="004F6C89"/>
    <w:rsid w:val="004F6D21"/>
    <w:rsid w:val="004F6D43"/>
    <w:rsid w:val="004F6D97"/>
    <w:rsid w:val="004F6DB7"/>
    <w:rsid w:val="004F6E9D"/>
    <w:rsid w:val="004F6FEE"/>
    <w:rsid w:val="004F7030"/>
    <w:rsid w:val="004F71D1"/>
    <w:rsid w:val="004F7224"/>
    <w:rsid w:val="004F7236"/>
    <w:rsid w:val="004F727F"/>
    <w:rsid w:val="004F728D"/>
    <w:rsid w:val="004F7411"/>
    <w:rsid w:val="004F750C"/>
    <w:rsid w:val="004F755D"/>
    <w:rsid w:val="004F758A"/>
    <w:rsid w:val="004F768B"/>
    <w:rsid w:val="004F7691"/>
    <w:rsid w:val="004F7722"/>
    <w:rsid w:val="004F77A8"/>
    <w:rsid w:val="004F785E"/>
    <w:rsid w:val="004F7865"/>
    <w:rsid w:val="004F7934"/>
    <w:rsid w:val="004F794D"/>
    <w:rsid w:val="004F7A43"/>
    <w:rsid w:val="004F7A87"/>
    <w:rsid w:val="004F7B85"/>
    <w:rsid w:val="004F7B9E"/>
    <w:rsid w:val="004F7C10"/>
    <w:rsid w:val="004F7C5B"/>
    <w:rsid w:val="004F7C80"/>
    <w:rsid w:val="00500191"/>
    <w:rsid w:val="005002C6"/>
    <w:rsid w:val="0050030E"/>
    <w:rsid w:val="00500322"/>
    <w:rsid w:val="00500335"/>
    <w:rsid w:val="00500378"/>
    <w:rsid w:val="005003D1"/>
    <w:rsid w:val="0050043B"/>
    <w:rsid w:val="005004C0"/>
    <w:rsid w:val="005004D0"/>
    <w:rsid w:val="005004D8"/>
    <w:rsid w:val="0050055A"/>
    <w:rsid w:val="00500564"/>
    <w:rsid w:val="005005B4"/>
    <w:rsid w:val="0050061A"/>
    <w:rsid w:val="0050070B"/>
    <w:rsid w:val="0050085A"/>
    <w:rsid w:val="0050094E"/>
    <w:rsid w:val="005009EA"/>
    <w:rsid w:val="00500A33"/>
    <w:rsid w:val="00500AB8"/>
    <w:rsid w:val="00500B24"/>
    <w:rsid w:val="00500BCE"/>
    <w:rsid w:val="00500C9D"/>
    <w:rsid w:val="00500CA0"/>
    <w:rsid w:val="00500D76"/>
    <w:rsid w:val="00500D84"/>
    <w:rsid w:val="00500DA3"/>
    <w:rsid w:val="00500E70"/>
    <w:rsid w:val="00500E9E"/>
    <w:rsid w:val="00500EB8"/>
    <w:rsid w:val="00500F9E"/>
    <w:rsid w:val="00501181"/>
    <w:rsid w:val="005011F8"/>
    <w:rsid w:val="005013EA"/>
    <w:rsid w:val="0050146B"/>
    <w:rsid w:val="005014A8"/>
    <w:rsid w:val="005014C5"/>
    <w:rsid w:val="00501546"/>
    <w:rsid w:val="00501620"/>
    <w:rsid w:val="00501744"/>
    <w:rsid w:val="0050179F"/>
    <w:rsid w:val="005017DF"/>
    <w:rsid w:val="00501886"/>
    <w:rsid w:val="005018BD"/>
    <w:rsid w:val="00501B48"/>
    <w:rsid w:val="00501B64"/>
    <w:rsid w:val="00501BFC"/>
    <w:rsid w:val="00501C62"/>
    <w:rsid w:val="00501D08"/>
    <w:rsid w:val="00501EFF"/>
    <w:rsid w:val="00501F6F"/>
    <w:rsid w:val="00501F7B"/>
    <w:rsid w:val="0050231A"/>
    <w:rsid w:val="005023E6"/>
    <w:rsid w:val="005024E4"/>
    <w:rsid w:val="005025AC"/>
    <w:rsid w:val="0050263A"/>
    <w:rsid w:val="00502642"/>
    <w:rsid w:val="005026C8"/>
    <w:rsid w:val="0050275D"/>
    <w:rsid w:val="0050280D"/>
    <w:rsid w:val="00502A74"/>
    <w:rsid w:val="00502A89"/>
    <w:rsid w:val="00502C34"/>
    <w:rsid w:val="00502C5C"/>
    <w:rsid w:val="00502D26"/>
    <w:rsid w:val="00502DC4"/>
    <w:rsid w:val="00502E44"/>
    <w:rsid w:val="00502EAE"/>
    <w:rsid w:val="00502FEF"/>
    <w:rsid w:val="00503056"/>
    <w:rsid w:val="00503102"/>
    <w:rsid w:val="005031E0"/>
    <w:rsid w:val="005032CD"/>
    <w:rsid w:val="005034EB"/>
    <w:rsid w:val="005035D6"/>
    <w:rsid w:val="00503773"/>
    <w:rsid w:val="005037A6"/>
    <w:rsid w:val="0050388B"/>
    <w:rsid w:val="00503915"/>
    <w:rsid w:val="00503986"/>
    <w:rsid w:val="00503987"/>
    <w:rsid w:val="0050398B"/>
    <w:rsid w:val="00503A6A"/>
    <w:rsid w:val="00503B6E"/>
    <w:rsid w:val="00503BC6"/>
    <w:rsid w:val="00503BD4"/>
    <w:rsid w:val="00503C02"/>
    <w:rsid w:val="00503F32"/>
    <w:rsid w:val="00503F3E"/>
    <w:rsid w:val="00503F6B"/>
    <w:rsid w:val="00504070"/>
    <w:rsid w:val="0050410C"/>
    <w:rsid w:val="0050420E"/>
    <w:rsid w:val="00504289"/>
    <w:rsid w:val="005042C1"/>
    <w:rsid w:val="005044FF"/>
    <w:rsid w:val="00504607"/>
    <w:rsid w:val="005047B7"/>
    <w:rsid w:val="005049BE"/>
    <w:rsid w:val="00504AD9"/>
    <w:rsid w:val="00504B1B"/>
    <w:rsid w:val="00504C5D"/>
    <w:rsid w:val="00504CBE"/>
    <w:rsid w:val="00504CD1"/>
    <w:rsid w:val="00504D47"/>
    <w:rsid w:val="00504DB3"/>
    <w:rsid w:val="00504E4A"/>
    <w:rsid w:val="00504E5B"/>
    <w:rsid w:val="00504E6E"/>
    <w:rsid w:val="00504F3D"/>
    <w:rsid w:val="005050BE"/>
    <w:rsid w:val="005050F7"/>
    <w:rsid w:val="005052A0"/>
    <w:rsid w:val="00505337"/>
    <w:rsid w:val="005053B6"/>
    <w:rsid w:val="005053D6"/>
    <w:rsid w:val="0050542C"/>
    <w:rsid w:val="00505463"/>
    <w:rsid w:val="005054A1"/>
    <w:rsid w:val="00505551"/>
    <w:rsid w:val="005055D2"/>
    <w:rsid w:val="005056EC"/>
    <w:rsid w:val="005057B3"/>
    <w:rsid w:val="005057C2"/>
    <w:rsid w:val="005058A9"/>
    <w:rsid w:val="00505977"/>
    <w:rsid w:val="00505A2A"/>
    <w:rsid w:val="00505D80"/>
    <w:rsid w:val="00505E8B"/>
    <w:rsid w:val="00505F1F"/>
    <w:rsid w:val="00505FD8"/>
    <w:rsid w:val="00506067"/>
    <w:rsid w:val="0050607A"/>
    <w:rsid w:val="00506095"/>
    <w:rsid w:val="00506302"/>
    <w:rsid w:val="00506334"/>
    <w:rsid w:val="005063C3"/>
    <w:rsid w:val="005063E2"/>
    <w:rsid w:val="00506484"/>
    <w:rsid w:val="005064BB"/>
    <w:rsid w:val="005064DF"/>
    <w:rsid w:val="005066C5"/>
    <w:rsid w:val="0050674F"/>
    <w:rsid w:val="0050675C"/>
    <w:rsid w:val="0050685A"/>
    <w:rsid w:val="005068D2"/>
    <w:rsid w:val="005068E8"/>
    <w:rsid w:val="00506917"/>
    <w:rsid w:val="005069DA"/>
    <w:rsid w:val="00506AC3"/>
    <w:rsid w:val="00506AF4"/>
    <w:rsid w:val="00506BE3"/>
    <w:rsid w:val="00506BF3"/>
    <w:rsid w:val="00506D1E"/>
    <w:rsid w:val="00506D55"/>
    <w:rsid w:val="00506DD6"/>
    <w:rsid w:val="00506E97"/>
    <w:rsid w:val="00506EF0"/>
    <w:rsid w:val="00506F3D"/>
    <w:rsid w:val="00506F48"/>
    <w:rsid w:val="00506F6E"/>
    <w:rsid w:val="00506F9B"/>
    <w:rsid w:val="00507308"/>
    <w:rsid w:val="0050746B"/>
    <w:rsid w:val="0050749C"/>
    <w:rsid w:val="005074BC"/>
    <w:rsid w:val="005074C6"/>
    <w:rsid w:val="00507514"/>
    <w:rsid w:val="0050783F"/>
    <w:rsid w:val="00507868"/>
    <w:rsid w:val="00507954"/>
    <w:rsid w:val="00507A97"/>
    <w:rsid w:val="00507B8F"/>
    <w:rsid w:val="00507BC4"/>
    <w:rsid w:val="00507BF1"/>
    <w:rsid w:val="00507C3C"/>
    <w:rsid w:val="00507C6C"/>
    <w:rsid w:val="00507D01"/>
    <w:rsid w:val="00507D82"/>
    <w:rsid w:val="00507DDE"/>
    <w:rsid w:val="00507E3E"/>
    <w:rsid w:val="00507EBE"/>
    <w:rsid w:val="00507EFF"/>
    <w:rsid w:val="00507FC9"/>
    <w:rsid w:val="005100FB"/>
    <w:rsid w:val="00510117"/>
    <w:rsid w:val="005101DB"/>
    <w:rsid w:val="0051036B"/>
    <w:rsid w:val="0051037E"/>
    <w:rsid w:val="005103CD"/>
    <w:rsid w:val="00510497"/>
    <w:rsid w:val="005104BB"/>
    <w:rsid w:val="005104C3"/>
    <w:rsid w:val="00510759"/>
    <w:rsid w:val="00510776"/>
    <w:rsid w:val="005107DD"/>
    <w:rsid w:val="005107E2"/>
    <w:rsid w:val="00510874"/>
    <w:rsid w:val="005109EE"/>
    <w:rsid w:val="00510B3C"/>
    <w:rsid w:val="00510C4D"/>
    <w:rsid w:val="00510CA0"/>
    <w:rsid w:val="00510D1E"/>
    <w:rsid w:val="00510D21"/>
    <w:rsid w:val="00510D58"/>
    <w:rsid w:val="00510DA8"/>
    <w:rsid w:val="00510F03"/>
    <w:rsid w:val="00510F72"/>
    <w:rsid w:val="00510F9A"/>
    <w:rsid w:val="00510FF9"/>
    <w:rsid w:val="00511157"/>
    <w:rsid w:val="00511172"/>
    <w:rsid w:val="005112BE"/>
    <w:rsid w:val="00511343"/>
    <w:rsid w:val="00511348"/>
    <w:rsid w:val="00511427"/>
    <w:rsid w:val="00511440"/>
    <w:rsid w:val="0051149D"/>
    <w:rsid w:val="0051167B"/>
    <w:rsid w:val="00511742"/>
    <w:rsid w:val="00511792"/>
    <w:rsid w:val="005118BC"/>
    <w:rsid w:val="00511959"/>
    <w:rsid w:val="00511B08"/>
    <w:rsid w:val="00511C42"/>
    <w:rsid w:val="00511D07"/>
    <w:rsid w:val="00511DDA"/>
    <w:rsid w:val="00511E01"/>
    <w:rsid w:val="00511E80"/>
    <w:rsid w:val="00511EA6"/>
    <w:rsid w:val="00511F25"/>
    <w:rsid w:val="00511F3F"/>
    <w:rsid w:val="00512024"/>
    <w:rsid w:val="005121FE"/>
    <w:rsid w:val="00512240"/>
    <w:rsid w:val="0051235B"/>
    <w:rsid w:val="00512497"/>
    <w:rsid w:val="00512613"/>
    <w:rsid w:val="0051266A"/>
    <w:rsid w:val="005126E6"/>
    <w:rsid w:val="0051287B"/>
    <w:rsid w:val="0051289B"/>
    <w:rsid w:val="00512951"/>
    <w:rsid w:val="00512961"/>
    <w:rsid w:val="00512B48"/>
    <w:rsid w:val="00512CAA"/>
    <w:rsid w:val="00512CEA"/>
    <w:rsid w:val="00512D61"/>
    <w:rsid w:val="00512DBF"/>
    <w:rsid w:val="00512DEA"/>
    <w:rsid w:val="00512E15"/>
    <w:rsid w:val="00512E6B"/>
    <w:rsid w:val="00513019"/>
    <w:rsid w:val="00513301"/>
    <w:rsid w:val="0051347A"/>
    <w:rsid w:val="0051357A"/>
    <w:rsid w:val="00513588"/>
    <w:rsid w:val="005136A0"/>
    <w:rsid w:val="0051376A"/>
    <w:rsid w:val="00513781"/>
    <w:rsid w:val="00513785"/>
    <w:rsid w:val="00513895"/>
    <w:rsid w:val="005138A5"/>
    <w:rsid w:val="005138DF"/>
    <w:rsid w:val="005138EB"/>
    <w:rsid w:val="0051393A"/>
    <w:rsid w:val="00513A77"/>
    <w:rsid w:val="00513B25"/>
    <w:rsid w:val="00513BC0"/>
    <w:rsid w:val="00513C68"/>
    <w:rsid w:val="00513D35"/>
    <w:rsid w:val="00513DA9"/>
    <w:rsid w:val="00513DBF"/>
    <w:rsid w:val="00513DD5"/>
    <w:rsid w:val="00513DF6"/>
    <w:rsid w:val="00513E4D"/>
    <w:rsid w:val="00513EA1"/>
    <w:rsid w:val="00514098"/>
    <w:rsid w:val="00514203"/>
    <w:rsid w:val="00514414"/>
    <w:rsid w:val="0051442C"/>
    <w:rsid w:val="005145DD"/>
    <w:rsid w:val="00514656"/>
    <w:rsid w:val="00514663"/>
    <w:rsid w:val="00514687"/>
    <w:rsid w:val="0051468B"/>
    <w:rsid w:val="0051473F"/>
    <w:rsid w:val="005149A5"/>
    <w:rsid w:val="00514A49"/>
    <w:rsid w:val="00514A88"/>
    <w:rsid w:val="00514B5F"/>
    <w:rsid w:val="00514CAE"/>
    <w:rsid w:val="00514D73"/>
    <w:rsid w:val="00514DD3"/>
    <w:rsid w:val="00514E4E"/>
    <w:rsid w:val="00514EB7"/>
    <w:rsid w:val="00514ECB"/>
    <w:rsid w:val="00514EDF"/>
    <w:rsid w:val="00514F0D"/>
    <w:rsid w:val="00514F8B"/>
    <w:rsid w:val="00515190"/>
    <w:rsid w:val="00515192"/>
    <w:rsid w:val="00515217"/>
    <w:rsid w:val="0051523F"/>
    <w:rsid w:val="005153C7"/>
    <w:rsid w:val="005153F3"/>
    <w:rsid w:val="00515412"/>
    <w:rsid w:val="00515426"/>
    <w:rsid w:val="0051545E"/>
    <w:rsid w:val="005154B8"/>
    <w:rsid w:val="00515550"/>
    <w:rsid w:val="005156D6"/>
    <w:rsid w:val="005157A4"/>
    <w:rsid w:val="005157CF"/>
    <w:rsid w:val="005158A3"/>
    <w:rsid w:val="005158F4"/>
    <w:rsid w:val="00515A2D"/>
    <w:rsid w:val="00515A47"/>
    <w:rsid w:val="00515A56"/>
    <w:rsid w:val="00515A86"/>
    <w:rsid w:val="00515BC9"/>
    <w:rsid w:val="00515C1B"/>
    <w:rsid w:val="00515C4E"/>
    <w:rsid w:val="00515C84"/>
    <w:rsid w:val="00515CC0"/>
    <w:rsid w:val="00515D14"/>
    <w:rsid w:val="00515DF0"/>
    <w:rsid w:val="00515E84"/>
    <w:rsid w:val="00515F40"/>
    <w:rsid w:val="0051601E"/>
    <w:rsid w:val="00516111"/>
    <w:rsid w:val="0051611B"/>
    <w:rsid w:val="0051619C"/>
    <w:rsid w:val="005161B8"/>
    <w:rsid w:val="00516410"/>
    <w:rsid w:val="005165A7"/>
    <w:rsid w:val="005165AE"/>
    <w:rsid w:val="005165B0"/>
    <w:rsid w:val="00516704"/>
    <w:rsid w:val="00516763"/>
    <w:rsid w:val="005167F0"/>
    <w:rsid w:val="0051686F"/>
    <w:rsid w:val="0051695F"/>
    <w:rsid w:val="005169C6"/>
    <w:rsid w:val="00516F1A"/>
    <w:rsid w:val="00516F24"/>
    <w:rsid w:val="00516F79"/>
    <w:rsid w:val="005170F1"/>
    <w:rsid w:val="00517205"/>
    <w:rsid w:val="00517207"/>
    <w:rsid w:val="00517270"/>
    <w:rsid w:val="005172A6"/>
    <w:rsid w:val="005172E3"/>
    <w:rsid w:val="0051737F"/>
    <w:rsid w:val="0051747F"/>
    <w:rsid w:val="005174E6"/>
    <w:rsid w:val="0051767C"/>
    <w:rsid w:val="005176B4"/>
    <w:rsid w:val="005176E3"/>
    <w:rsid w:val="00517706"/>
    <w:rsid w:val="005177EC"/>
    <w:rsid w:val="00517891"/>
    <w:rsid w:val="005178AB"/>
    <w:rsid w:val="0051792F"/>
    <w:rsid w:val="005179DF"/>
    <w:rsid w:val="00517AA1"/>
    <w:rsid w:val="00517AB4"/>
    <w:rsid w:val="00517ABA"/>
    <w:rsid w:val="00517BF9"/>
    <w:rsid w:val="00517E26"/>
    <w:rsid w:val="00517F1F"/>
    <w:rsid w:val="00517F43"/>
    <w:rsid w:val="00517FC9"/>
    <w:rsid w:val="00517FF0"/>
    <w:rsid w:val="0052007D"/>
    <w:rsid w:val="0052019A"/>
    <w:rsid w:val="005202C3"/>
    <w:rsid w:val="00520306"/>
    <w:rsid w:val="00520524"/>
    <w:rsid w:val="0052086E"/>
    <w:rsid w:val="00520AAE"/>
    <w:rsid w:val="00520B6B"/>
    <w:rsid w:val="00520BBD"/>
    <w:rsid w:val="00520BF3"/>
    <w:rsid w:val="00520C64"/>
    <w:rsid w:val="00520C70"/>
    <w:rsid w:val="00520C75"/>
    <w:rsid w:val="00520D2D"/>
    <w:rsid w:val="00520D78"/>
    <w:rsid w:val="00520DA7"/>
    <w:rsid w:val="00520E8E"/>
    <w:rsid w:val="00521045"/>
    <w:rsid w:val="0052115D"/>
    <w:rsid w:val="005211FA"/>
    <w:rsid w:val="0052125F"/>
    <w:rsid w:val="005212CD"/>
    <w:rsid w:val="0052137B"/>
    <w:rsid w:val="0052154B"/>
    <w:rsid w:val="0052170E"/>
    <w:rsid w:val="005217DB"/>
    <w:rsid w:val="00521842"/>
    <w:rsid w:val="00521A1C"/>
    <w:rsid w:val="00521B1C"/>
    <w:rsid w:val="00521C29"/>
    <w:rsid w:val="00521D89"/>
    <w:rsid w:val="00521E56"/>
    <w:rsid w:val="005220DA"/>
    <w:rsid w:val="00522154"/>
    <w:rsid w:val="005221BA"/>
    <w:rsid w:val="005221BB"/>
    <w:rsid w:val="005223A8"/>
    <w:rsid w:val="005223CC"/>
    <w:rsid w:val="00522441"/>
    <w:rsid w:val="0052249C"/>
    <w:rsid w:val="0052261A"/>
    <w:rsid w:val="0052266F"/>
    <w:rsid w:val="0052281F"/>
    <w:rsid w:val="00522902"/>
    <w:rsid w:val="00522CC7"/>
    <w:rsid w:val="00522CCD"/>
    <w:rsid w:val="00522D15"/>
    <w:rsid w:val="00522ECD"/>
    <w:rsid w:val="00522FF2"/>
    <w:rsid w:val="00523135"/>
    <w:rsid w:val="0052317A"/>
    <w:rsid w:val="005231BE"/>
    <w:rsid w:val="005232A2"/>
    <w:rsid w:val="005233EE"/>
    <w:rsid w:val="00523437"/>
    <w:rsid w:val="005234D9"/>
    <w:rsid w:val="005236A1"/>
    <w:rsid w:val="00523703"/>
    <w:rsid w:val="00523997"/>
    <w:rsid w:val="005239B1"/>
    <w:rsid w:val="00523A6B"/>
    <w:rsid w:val="00523B1E"/>
    <w:rsid w:val="00523B7F"/>
    <w:rsid w:val="00523C0B"/>
    <w:rsid w:val="00523D6E"/>
    <w:rsid w:val="00523D7B"/>
    <w:rsid w:val="00523E58"/>
    <w:rsid w:val="00523F5B"/>
    <w:rsid w:val="00524006"/>
    <w:rsid w:val="005241DF"/>
    <w:rsid w:val="0052424E"/>
    <w:rsid w:val="0052432B"/>
    <w:rsid w:val="0052448E"/>
    <w:rsid w:val="00524596"/>
    <w:rsid w:val="005247BA"/>
    <w:rsid w:val="005247F3"/>
    <w:rsid w:val="0052481A"/>
    <w:rsid w:val="00524881"/>
    <w:rsid w:val="005248B7"/>
    <w:rsid w:val="00524A03"/>
    <w:rsid w:val="00524B0E"/>
    <w:rsid w:val="00524B3C"/>
    <w:rsid w:val="00524BB2"/>
    <w:rsid w:val="00524D0C"/>
    <w:rsid w:val="00524E0D"/>
    <w:rsid w:val="00524E30"/>
    <w:rsid w:val="00524E6C"/>
    <w:rsid w:val="00524EB6"/>
    <w:rsid w:val="00525076"/>
    <w:rsid w:val="005250DC"/>
    <w:rsid w:val="005252C7"/>
    <w:rsid w:val="00525350"/>
    <w:rsid w:val="00525396"/>
    <w:rsid w:val="005253D0"/>
    <w:rsid w:val="0052590C"/>
    <w:rsid w:val="005259AF"/>
    <w:rsid w:val="005259DC"/>
    <w:rsid w:val="00525A83"/>
    <w:rsid w:val="00525ADE"/>
    <w:rsid w:val="00525AF0"/>
    <w:rsid w:val="00525B3D"/>
    <w:rsid w:val="00525C30"/>
    <w:rsid w:val="00525DBB"/>
    <w:rsid w:val="00525E54"/>
    <w:rsid w:val="00525E9C"/>
    <w:rsid w:val="00525EC5"/>
    <w:rsid w:val="00525F6F"/>
    <w:rsid w:val="00525FAF"/>
    <w:rsid w:val="005261AF"/>
    <w:rsid w:val="00526432"/>
    <w:rsid w:val="005264E4"/>
    <w:rsid w:val="005265E8"/>
    <w:rsid w:val="005265EC"/>
    <w:rsid w:val="00526611"/>
    <w:rsid w:val="00526666"/>
    <w:rsid w:val="00526863"/>
    <w:rsid w:val="00526A5B"/>
    <w:rsid w:val="00526A82"/>
    <w:rsid w:val="00526AA0"/>
    <w:rsid w:val="00526B14"/>
    <w:rsid w:val="00526B23"/>
    <w:rsid w:val="00526BA0"/>
    <w:rsid w:val="00526D1F"/>
    <w:rsid w:val="00526D20"/>
    <w:rsid w:val="00526D31"/>
    <w:rsid w:val="00526D75"/>
    <w:rsid w:val="00526EA4"/>
    <w:rsid w:val="00526F1F"/>
    <w:rsid w:val="00527060"/>
    <w:rsid w:val="005270F9"/>
    <w:rsid w:val="005274D0"/>
    <w:rsid w:val="005274F7"/>
    <w:rsid w:val="00527614"/>
    <w:rsid w:val="00527A56"/>
    <w:rsid w:val="00527ABA"/>
    <w:rsid w:val="00527CEC"/>
    <w:rsid w:val="00527FAD"/>
    <w:rsid w:val="0053005C"/>
    <w:rsid w:val="005300CB"/>
    <w:rsid w:val="005300F7"/>
    <w:rsid w:val="00530106"/>
    <w:rsid w:val="0053010E"/>
    <w:rsid w:val="00530115"/>
    <w:rsid w:val="00530144"/>
    <w:rsid w:val="005302A3"/>
    <w:rsid w:val="00530477"/>
    <w:rsid w:val="00530612"/>
    <w:rsid w:val="00530670"/>
    <w:rsid w:val="00530771"/>
    <w:rsid w:val="005307DA"/>
    <w:rsid w:val="00530827"/>
    <w:rsid w:val="00530B18"/>
    <w:rsid w:val="00530BD1"/>
    <w:rsid w:val="00530C45"/>
    <w:rsid w:val="00530D4B"/>
    <w:rsid w:val="00530D64"/>
    <w:rsid w:val="00530DE2"/>
    <w:rsid w:val="00530E12"/>
    <w:rsid w:val="005312CE"/>
    <w:rsid w:val="0053133C"/>
    <w:rsid w:val="005313D7"/>
    <w:rsid w:val="0053143C"/>
    <w:rsid w:val="005314FC"/>
    <w:rsid w:val="00531568"/>
    <w:rsid w:val="005315BC"/>
    <w:rsid w:val="005315F7"/>
    <w:rsid w:val="0053169F"/>
    <w:rsid w:val="005319DE"/>
    <w:rsid w:val="00531A1C"/>
    <w:rsid w:val="00531A77"/>
    <w:rsid w:val="00531A98"/>
    <w:rsid w:val="00531BCA"/>
    <w:rsid w:val="00531C23"/>
    <w:rsid w:val="00531C46"/>
    <w:rsid w:val="00531D52"/>
    <w:rsid w:val="00531E79"/>
    <w:rsid w:val="00532156"/>
    <w:rsid w:val="005321B8"/>
    <w:rsid w:val="00532322"/>
    <w:rsid w:val="0053239C"/>
    <w:rsid w:val="00532449"/>
    <w:rsid w:val="0053246F"/>
    <w:rsid w:val="00532490"/>
    <w:rsid w:val="00532613"/>
    <w:rsid w:val="00532648"/>
    <w:rsid w:val="0053266A"/>
    <w:rsid w:val="00532789"/>
    <w:rsid w:val="0053280C"/>
    <w:rsid w:val="005328E8"/>
    <w:rsid w:val="0053296E"/>
    <w:rsid w:val="005329B8"/>
    <w:rsid w:val="00532BCE"/>
    <w:rsid w:val="00532DFC"/>
    <w:rsid w:val="00532EA1"/>
    <w:rsid w:val="00532F45"/>
    <w:rsid w:val="00532FF9"/>
    <w:rsid w:val="00533043"/>
    <w:rsid w:val="005330B9"/>
    <w:rsid w:val="00533110"/>
    <w:rsid w:val="00533172"/>
    <w:rsid w:val="0053337A"/>
    <w:rsid w:val="00533441"/>
    <w:rsid w:val="0053344C"/>
    <w:rsid w:val="00533506"/>
    <w:rsid w:val="00533738"/>
    <w:rsid w:val="005338C2"/>
    <w:rsid w:val="0053391F"/>
    <w:rsid w:val="00533929"/>
    <w:rsid w:val="005339D2"/>
    <w:rsid w:val="005339FE"/>
    <w:rsid w:val="00533A19"/>
    <w:rsid w:val="00533A75"/>
    <w:rsid w:val="00533ABC"/>
    <w:rsid w:val="00533ABE"/>
    <w:rsid w:val="00533B19"/>
    <w:rsid w:val="00533BE5"/>
    <w:rsid w:val="00533C16"/>
    <w:rsid w:val="00533C43"/>
    <w:rsid w:val="00533C7C"/>
    <w:rsid w:val="00533C86"/>
    <w:rsid w:val="00533D24"/>
    <w:rsid w:val="00533D30"/>
    <w:rsid w:val="00533D3B"/>
    <w:rsid w:val="00533DFF"/>
    <w:rsid w:val="00533E39"/>
    <w:rsid w:val="00533ED2"/>
    <w:rsid w:val="00533EE3"/>
    <w:rsid w:val="00533F1F"/>
    <w:rsid w:val="00533F22"/>
    <w:rsid w:val="00533FA3"/>
    <w:rsid w:val="00533FC6"/>
    <w:rsid w:val="00534084"/>
    <w:rsid w:val="005341D6"/>
    <w:rsid w:val="005341D9"/>
    <w:rsid w:val="00534231"/>
    <w:rsid w:val="0053423C"/>
    <w:rsid w:val="00534322"/>
    <w:rsid w:val="005343AA"/>
    <w:rsid w:val="005343B6"/>
    <w:rsid w:val="0053449C"/>
    <w:rsid w:val="00534523"/>
    <w:rsid w:val="0053473B"/>
    <w:rsid w:val="0053478A"/>
    <w:rsid w:val="005348EA"/>
    <w:rsid w:val="00534944"/>
    <w:rsid w:val="00534978"/>
    <w:rsid w:val="0053498F"/>
    <w:rsid w:val="00534990"/>
    <w:rsid w:val="005349BC"/>
    <w:rsid w:val="005349FF"/>
    <w:rsid w:val="00534C9B"/>
    <w:rsid w:val="00534DCE"/>
    <w:rsid w:val="0053511A"/>
    <w:rsid w:val="00535153"/>
    <w:rsid w:val="005352CA"/>
    <w:rsid w:val="00535418"/>
    <w:rsid w:val="00535432"/>
    <w:rsid w:val="005354D1"/>
    <w:rsid w:val="00535580"/>
    <w:rsid w:val="005357D3"/>
    <w:rsid w:val="00535947"/>
    <w:rsid w:val="005359C8"/>
    <w:rsid w:val="005359C9"/>
    <w:rsid w:val="00535A28"/>
    <w:rsid w:val="00535A9C"/>
    <w:rsid w:val="00535AAB"/>
    <w:rsid w:val="00535B35"/>
    <w:rsid w:val="00535D69"/>
    <w:rsid w:val="00535DA7"/>
    <w:rsid w:val="00535E34"/>
    <w:rsid w:val="00535E3A"/>
    <w:rsid w:val="00535F06"/>
    <w:rsid w:val="005360CE"/>
    <w:rsid w:val="00536122"/>
    <w:rsid w:val="0053612C"/>
    <w:rsid w:val="00536285"/>
    <w:rsid w:val="00536336"/>
    <w:rsid w:val="0053634D"/>
    <w:rsid w:val="005363B8"/>
    <w:rsid w:val="005364F0"/>
    <w:rsid w:val="005365DA"/>
    <w:rsid w:val="005366FF"/>
    <w:rsid w:val="00536722"/>
    <w:rsid w:val="005368BC"/>
    <w:rsid w:val="00536AB8"/>
    <w:rsid w:val="00536B01"/>
    <w:rsid w:val="00536D45"/>
    <w:rsid w:val="00536DEC"/>
    <w:rsid w:val="0053706C"/>
    <w:rsid w:val="0053710E"/>
    <w:rsid w:val="005371A0"/>
    <w:rsid w:val="005372E5"/>
    <w:rsid w:val="0053740B"/>
    <w:rsid w:val="00537442"/>
    <w:rsid w:val="005374F0"/>
    <w:rsid w:val="005376E0"/>
    <w:rsid w:val="0053782D"/>
    <w:rsid w:val="00537913"/>
    <w:rsid w:val="00537A63"/>
    <w:rsid w:val="00537A8D"/>
    <w:rsid w:val="00537B0B"/>
    <w:rsid w:val="00537C32"/>
    <w:rsid w:val="00537DDE"/>
    <w:rsid w:val="00537FE0"/>
    <w:rsid w:val="00537FF2"/>
    <w:rsid w:val="00540047"/>
    <w:rsid w:val="00540187"/>
    <w:rsid w:val="005404DA"/>
    <w:rsid w:val="005406D8"/>
    <w:rsid w:val="00540719"/>
    <w:rsid w:val="00540771"/>
    <w:rsid w:val="005407AF"/>
    <w:rsid w:val="00540881"/>
    <w:rsid w:val="005408BC"/>
    <w:rsid w:val="005409D2"/>
    <w:rsid w:val="00540A53"/>
    <w:rsid w:val="00540B09"/>
    <w:rsid w:val="00540B80"/>
    <w:rsid w:val="00540BAF"/>
    <w:rsid w:val="00540CB1"/>
    <w:rsid w:val="00540EB6"/>
    <w:rsid w:val="00541028"/>
    <w:rsid w:val="00541123"/>
    <w:rsid w:val="00541128"/>
    <w:rsid w:val="00541405"/>
    <w:rsid w:val="005414FA"/>
    <w:rsid w:val="005414FC"/>
    <w:rsid w:val="0054150C"/>
    <w:rsid w:val="00541518"/>
    <w:rsid w:val="00541519"/>
    <w:rsid w:val="0054153D"/>
    <w:rsid w:val="0054181F"/>
    <w:rsid w:val="00541A4D"/>
    <w:rsid w:val="00541AD3"/>
    <w:rsid w:val="00541B36"/>
    <w:rsid w:val="00541B5B"/>
    <w:rsid w:val="00541BC6"/>
    <w:rsid w:val="00541C6F"/>
    <w:rsid w:val="00541CF0"/>
    <w:rsid w:val="00541E14"/>
    <w:rsid w:val="005420EB"/>
    <w:rsid w:val="0054221A"/>
    <w:rsid w:val="00542505"/>
    <w:rsid w:val="0054254B"/>
    <w:rsid w:val="005425BC"/>
    <w:rsid w:val="00542629"/>
    <w:rsid w:val="005426DF"/>
    <w:rsid w:val="00542779"/>
    <w:rsid w:val="0054299B"/>
    <w:rsid w:val="00542A01"/>
    <w:rsid w:val="00542B78"/>
    <w:rsid w:val="00542CED"/>
    <w:rsid w:val="00542F4D"/>
    <w:rsid w:val="00543022"/>
    <w:rsid w:val="00543098"/>
    <w:rsid w:val="0054328D"/>
    <w:rsid w:val="00543658"/>
    <w:rsid w:val="00543798"/>
    <w:rsid w:val="0054393C"/>
    <w:rsid w:val="005439A4"/>
    <w:rsid w:val="00543A9C"/>
    <w:rsid w:val="00543ACE"/>
    <w:rsid w:val="00543BA8"/>
    <w:rsid w:val="00543C0F"/>
    <w:rsid w:val="00543C11"/>
    <w:rsid w:val="00543C17"/>
    <w:rsid w:val="00543CF5"/>
    <w:rsid w:val="00543CFC"/>
    <w:rsid w:val="00543E18"/>
    <w:rsid w:val="00543EB2"/>
    <w:rsid w:val="0054403A"/>
    <w:rsid w:val="00544105"/>
    <w:rsid w:val="00544123"/>
    <w:rsid w:val="00544161"/>
    <w:rsid w:val="00544344"/>
    <w:rsid w:val="005443A6"/>
    <w:rsid w:val="005444B7"/>
    <w:rsid w:val="00544581"/>
    <w:rsid w:val="0054471C"/>
    <w:rsid w:val="005447E5"/>
    <w:rsid w:val="005449B8"/>
    <w:rsid w:val="00544ADC"/>
    <w:rsid w:val="00544C51"/>
    <w:rsid w:val="00544C6C"/>
    <w:rsid w:val="00544CB8"/>
    <w:rsid w:val="00544CF9"/>
    <w:rsid w:val="00544D5D"/>
    <w:rsid w:val="00544DE0"/>
    <w:rsid w:val="00544EDA"/>
    <w:rsid w:val="00544EF3"/>
    <w:rsid w:val="00544F07"/>
    <w:rsid w:val="005453B6"/>
    <w:rsid w:val="005454EF"/>
    <w:rsid w:val="0054550B"/>
    <w:rsid w:val="0054559C"/>
    <w:rsid w:val="00545696"/>
    <w:rsid w:val="005456CE"/>
    <w:rsid w:val="00545879"/>
    <w:rsid w:val="00545950"/>
    <w:rsid w:val="005459AB"/>
    <w:rsid w:val="00545A69"/>
    <w:rsid w:val="00545BD2"/>
    <w:rsid w:val="00545DE3"/>
    <w:rsid w:val="00545F60"/>
    <w:rsid w:val="005460E9"/>
    <w:rsid w:val="00546104"/>
    <w:rsid w:val="0054625A"/>
    <w:rsid w:val="0054630A"/>
    <w:rsid w:val="0054630D"/>
    <w:rsid w:val="00546425"/>
    <w:rsid w:val="00546448"/>
    <w:rsid w:val="0054645F"/>
    <w:rsid w:val="005464D4"/>
    <w:rsid w:val="0054671F"/>
    <w:rsid w:val="005467C5"/>
    <w:rsid w:val="00546819"/>
    <w:rsid w:val="005468AC"/>
    <w:rsid w:val="00546902"/>
    <w:rsid w:val="00546945"/>
    <w:rsid w:val="005469A4"/>
    <w:rsid w:val="00546A40"/>
    <w:rsid w:val="00546C75"/>
    <w:rsid w:val="00546D23"/>
    <w:rsid w:val="00546DB9"/>
    <w:rsid w:val="00546EED"/>
    <w:rsid w:val="0054707C"/>
    <w:rsid w:val="005471ED"/>
    <w:rsid w:val="005472C8"/>
    <w:rsid w:val="005473D0"/>
    <w:rsid w:val="005473E7"/>
    <w:rsid w:val="0054740E"/>
    <w:rsid w:val="00547412"/>
    <w:rsid w:val="00547443"/>
    <w:rsid w:val="0054753D"/>
    <w:rsid w:val="005475F4"/>
    <w:rsid w:val="0054794A"/>
    <w:rsid w:val="00547AA1"/>
    <w:rsid w:val="00547AFF"/>
    <w:rsid w:val="00547BEF"/>
    <w:rsid w:val="00547D94"/>
    <w:rsid w:val="00547DBC"/>
    <w:rsid w:val="00547EEC"/>
    <w:rsid w:val="00547FFE"/>
    <w:rsid w:val="00550003"/>
    <w:rsid w:val="00550466"/>
    <w:rsid w:val="005505BA"/>
    <w:rsid w:val="00550635"/>
    <w:rsid w:val="00550668"/>
    <w:rsid w:val="00550753"/>
    <w:rsid w:val="00550765"/>
    <w:rsid w:val="00550852"/>
    <w:rsid w:val="005509DE"/>
    <w:rsid w:val="00550A30"/>
    <w:rsid w:val="00550ABF"/>
    <w:rsid w:val="00550B46"/>
    <w:rsid w:val="00550B4F"/>
    <w:rsid w:val="00550E94"/>
    <w:rsid w:val="0055107A"/>
    <w:rsid w:val="0055111C"/>
    <w:rsid w:val="005513FA"/>
    <w:rsid w:val="00551516"/>
    <w:rsid w:val="0055151F"/>
    <w:rsid w:val="00551543"/>
    <w:rsid w:val="005515B5"/>
    <w:rsid w:val="005515C7"/>
    <w:rsid w:val="00551755"/>
    <w:rsid w:val="00551812"/>
    <w:rsid w:val="00551882"/>
    <w:rsid w:val="00551B07"/>
    <w:rsid w:val="00551BCF"/>
    <w:rsid w:val="00551C8B"/>
    <w:rsid w:val="00551D40"/>
    <w:rsid w:val="00551DD8"/>
    <w:rsid w:val="00551FEC"/>
    <w:rsid w:val="00551FEF"/>
    <w:rsid w:val="0055205E"/>
    <w:rsid w:val="00552113"/>
    <w:rsid w:val="00552141"/>
    <w:rsid w:val="0055217F"/>
    <w:rsid w:val="0055221E"/>
    <w:rsid w:val="00552286"/>
    <w:rsid w:val="005522D6"/>
    <w:rsid w:val="005522DF"/>
    <w:rsid w:val="0055233E"/>
    <w:rsid w:val="00552449"/>
    <w:rsid w:val="005524F5"/>
    <w:rsid w:val="00552707"/>
    <w:rsid w:val="00552733"/>
    <w:rsid w:val="0055278B"/>
    <w:rsid w:val="00552883"/>
    <w:rsid w:val="0055292A"/>
    <w:rsid w:val="005529C3"/>
    <w:rsid w:val="00552B95"/>
    <w:rsid w:val="00552BA9"/>
    <w:rsid w:val="00552C9C"/>
    <w:rsid w:val="00552D23"/>
    <w:rsid w:val="00553024"/>
    <w:rsid w:val="005530E7"/>
    <w:rsid w:val="005531AF"/>
    <w:rsid w:val="00553209"/>
    <w:rsid w:val="005534FE"/>
    <w:rsid w:val="00553578"/>
    <w:rsid w:val="00553676"/>
    <w:rsid w:val="005536AD"/>
    <w:rsid w:val="00553766"/>
    <w:rsid w:val="00553780"/>
    <w:rsid w:val="00553795"/>
    <w:rsid w:val="00553822"/>
    <w:rsid w:val="005538DC"/>
    <w:rsid w:val="00553C1B"/>
    <w:rsid w:val="00553DFA"/>
    <w:rsid w:val="00553E17"/>
    <w:rsid w:val="00553F7E"/>
    <w:rsid w:val="00553FD2"/>
    <w:rsid w:val="00554052"/>
    <w:rsid w:val="00554087"/>
    <w:rsid w:val="00554092"/>
    <w:rsid w:val="005540A3"/>
    <w:rsid w:val="0055444E"/>
    <w:rsid w:val="00554670"/>
    <w:rsid w:val="005546C1"/>
    <w:rsid w:val="005546C8"/>
    <w:rsid w:val="0055470D"/>
    <w:rsid w:val="005547AA"/>
    <w:rsid w:val="005547AC"/>
    <w:rsid w:val="005547B6"/>
    <w:rsid w:val="005547C5"/>
    <w:rsid w:val="005547E4"/>
    <w:rsid w:val="0055480F"/>
    <w:rsid w:val="00554A0D"/>
    <w:rsid w:val="00554BA1"/>
    <w:rsid w:val="00554D47"/>
    <w:rsid w:val="00554D94"/>
    <w:rsid w:val="00554DF1"/>
    <w:rsid w:val="00554E6C"/>
    <w:rsid w:val="00554F1E"/>
    <w:rsid w:val="00554F85"/>
    <w:rsid w:val="00554FA5"/>
    <w:rsid w:val="00555028"/>
    <w:rsid w:val="005551BC"/>
    <w:rsid w:val="0055527D"/>
    <w:rsid w:val="00555297"/>
    <w:rsid w:val="005552C1"/>
    <w:rsid w:val="00555308"/>
    <w:rsid w:val="005553B9"/>
    <w:rsid w:val="0055568C"/>
    <w:rsid w:val="0055583C"/>
    <w:rsid w:val="00555875"/>
    <w:rsid w:val="00555B01"/>
    <w:rsid w:val="00555BA0"/>
    <w:rsid w:val="00555C9E"/>
    <w:rsid w:val="00555D71"/>
    <w:rsid w:val="00555E0C"/>
    <w:rsid w:val="00555E36"/>
    <w:rsid w:val="00555EF2"/>
    <w:rsid w:val="00555F2F"/>
    <w:rsid w:val="005561A8"/>
    <w:rsid w:val="005562AE"/>
    <w:rsid w:val="005562B6"/>
    <w:rsid w:val="0055633F"/>
    <w:rsid w:val="005565E4"/>
    <w:rsid w:val="005566E1"/>
    <w:rsid w:val="00556758"/>
    <w:rsid w:val="005567D7"/>
    <w:rsid w:val="00556A24"/>
    <w:rsid w:val="00556AD1"/>
    <w:rsid w:val="00556BBB"/>
    <w:rsid w:val="00557301"/>
    <w:rsid w:val="005573F0"/>
    <w:rsid w:val="005574D3"/>
    <w:rsid w:val="00557591"/>
    <w:rsid w:val="005575A7"/>
    <w:rsid w:val="005575FE"/>
    <w:rsid w:val="00557630"/>
    <w:rsid w:val="00557894"/>
    <w:rsid w:val="00557901"/>
    <w:rsid w:val="00557917"/>
    <w:rsid w:val="00557968"/>
    <w:rsid w:val="005579FF"/>
    <w:rsid w:val="00557A06"/>
    <w:rsid w:val="00557A0A"/>
    <w:rsid w:val="00557A36"/>
    <w:rsid w:val="00557ACA"/>
    <w:rsid w:val="00557B4A"/>
    <w:rsid w:val="00557B5B"/>
    <w:rsid w:val="00557DEA"/>
    <w:rsid w:val="00557E12"/>
    <w:rsid w:val="00557E64"/>
    <w:rsid w:val="00557E80"/>
    <w:rsid w:val="00560044"/>
    <w:rsid w:val="0056004F"/>
    <w:rsid w:val="00560167"/>
    <w:rsid w:val="00560185"/>
    <w:rsid w:val="00560354"/>
    <w:rsid w:val="005603E8"/>
    <w:rsid w:val="00560472"/>
    <w:rsid w:val="0056049F"/>
    <w:rsid w:val="0056050E"/>
    <w:rsid w:val="0056059F"/>
    <w:rsid w:val="005605FB"/>
    <w:rsid w:val="00560643"/>
    <w:rsid w:val="00560794"/>
    <w:rsid w:val="0056083C"/>
    <w:rsid w:val="00560AE9"/>
    <w:rsid w:val="00560B6D"/>
    <w:rsid w:val="00560C68"/>
    <w:rsid w:val="00560E2C"/>
    <w:rsid w:val="00560E55"/>
    <w:rsid w:val="00560EB2"/>
    <w:rsid w:val="00560F6B"/>
    <w:rsid w:val="00560FE9"/>
    <w:rsid w:val="00561012"/>
    <w:rsid w:val="00561019"/>
    <w:rsid w:val="00561020"/>
    <w:rsid w:val="0056109C"/>
    <w:rsid w:val="005610A6"/>
    <w:rsid w:val="005614F5"/>
    <w:rsid w:val="00561594"/>
    <w:rsid w:val="00561780"/>
    <w:rsid w:val="00561818"/>
    <w:rsid w:val="00561857"/>
    <w:rsid w:val="005618CB"/>
    <w:rsid w:val="00561ABC"/>
    <w:rsid w:val="00561B6B"/>
    <w:rsid w:val="00561C34"/>
    <w:rsid w:val="00561D3D"/>
    <w:rsid w:val="00561D47"/>
    <w:rsid w:val="00561E3A"/>
    <w:rsid w:val="00561E86"/>
    <w:rsid w:val="00561EFF"/>
    <w:rsid w:val="00561FB5"/>
    <w:rsid w:val="0056207A"/>
    <w:rsid w:val="005620A6"/>
    <w:rsid w:val="0056216A"/>
    <w:rsid w:val="00562261"/>
    <w:rsid w:val="00562304"/>
    <w:rsid w:val="0056234B"/>
    <w:rsid w:val="00562695"/>
    <w:rsid w:val="0056269D"/>
    <w:rsid w:val="00562747"/>
    <w:rsid w:val="00562753"/>
    <w:rsid w:val="0056281A"/>
    <w:rsid w:val="00562826"/>
    <w:rsid w:val="00562929"/>
    <w:rsid w:val="00562A5D"/>
    <w:rsid w:val="00562B2F"/>
    <w:rsid w:val="00562B92"/>
    <w:rsid w:val="00562BC8"/>
    <w:rsid w:val="00562C68"/>
    <w:rsid w:val="00562CDA"/>
    <w:rsid w:val="00562CF5"/>
    <w:rsid w:val="00562D70"/>
    <w:rsid w:val="00562DB8"/>
    <w:rsid w:val="00562EDD"/>
    <w:rsid w:val="00563009"/>
    <w:rsid w:val="00563597"/>
    <w:rsid w:val="005635C0"/>
    <w:rsid w:val="0056366A"/>
    <w:rsid w:val="00563702"/>
    <w:rsid w:val="00563AD9"/>
    <w:rsid w:val="00563C58"/>
    <w:rsid w:val="00563C6F"/>
    <w:rsid w:val="00563DD7"/>
    <w:rsid w:val="00563DF9"/>
    <w:rsid w:val="00563FAF"/>
    <w:rsid w:val="005640CE"/>
    <w:rsid w:val="00564166"/>
    <w:rsid w:val="005642A8"/>
    <w:rsid w:val="005643B8"/>
    <w:rsid w:val="005644AD"/>
    <w:rsid w:val="005645D8"/>
    <w:rsid w:val="005645E4"/>
    <w:rsid w:val="00564655"/>
    <w:rsid w:val="00564671"/>
    <w:rsid w:val="00564688"/>
    <w:rsid w:val="00564755"/>
    <w:rsid w:val="00564957"/>
    <w:rsid w:val="00564980"/>
    <w:rsid w:val="00564C2E"/>
    <w:rsid w:val="00564D23"/>
    <w:rsid w:val="00564D72"/>
    <w:rsid w:val="00564D9E"/>
    <w:rsid w:val="00564EA4"/>
    <w:rsid w:val="00564F21"/>
    <w:rsid w:val="0056501E"/>
    <w:rsid w:val="00565119"/>
    <w:rsid w:val="00565122"/>
    <w:rsid w:val="005651E9"/>
    <w:rsid w:val="00565266"/>
    <w:rsid w:val="005652A5"/>
    <w:rsid w:val="005653D2"/>
    <w:rsid w:val="005653E5"/>
    <w:rsid w:val="00565618"/>
    <w:rsid w:val="00565648"/>
    <w:rsid w:val="005656C6"/>
    <w:rsid w:val="00565731"/>
    <w:rsid w:val="005657EE"/>
    <w:rsid w:val="0056594F"/>
    <w:rsid w:val="00565983"/>
    <w:rsid w:val="00565A01"/>
    <w:rsid w:val="00565D34"/>
    <w:rsid w:val="00565D9F"/>
    <w:rsid w:val="00565E2A"/>
    <w:rsid w:val="00565EB7"/>
    <w:rsid w:val="00565F33"/>
    <w:rsid w:val="00566141"/>
    <w:rsid w:val="00566181"/>
    <w:rsid w:val="005661B7"/>
    <w:rsid w:val="0056630F"/>
    <w:rsid w:val="00566412"/>
    <w:rsid w:val="00566420"/>
    <w:rsid w:val="0056645A"/>
    <w:rsid w:val="00566460"/>
    <w:rsid w:val="00566528"/>
    <w:rsid w:val="0056654A"/>
    <w:rsid w:val="00566575"/>
    <w:rsid w:val="005665DB"/>
    <w:rsid w:val="005665FB"/>
    <w:rsid w:val="00566A48"/>
    <w:rsid w:val="00566A4F"/>
    <w:rsid w:val="00566A59"/>
    <w:rsid w:val="00566A63"/>
    <w:rsid w:val="00566BFF"/>
    <w:rsid w:val="00566CFA"/>
    <w:rsid w:val="00566E0C"/>
    <w:rsid w:val="00566E20"/>
    <w:rsid w:val="00566EDD"/>
    <w:rsid w:val="00566F7F"/>
    <w:rsid w:val="005670AE"/>
    <w:rsid w:val="005670B9"/>
    <w:rsid w:val="00567145"/>
    <w:rsid w:val="00567167"/>
    <w:rsid w:val="0056721F"/>
    <w:rsid w:val="005672FF"/>
    <w:rsid w:val="00567344"/>
    <w:rsid w:val="0056743B"/>
    <w:rsid w:val="005677A3"/>
    <w:rsid w:val="00567809"/>
    <w:rsid w:val="0056788E"/>
    <w:rsid w:val="00567B4A"/>
    <w:rsid w:val="00567C0E"/>
    <w:rsid w:val="00567C16"/>
    <w:rsid w:val="00567C1C"/>
    <w:rsid w:val="00567CC3"/>
    <w:rsid w:val="00567DDF"/>
    <w:rsid w:val="00567E28"/>
    <w:rsid w:val="00567F1B"/>
    <w:rsid w:val="00567FFC"/>
    <w:rsid w:val="00570033"/>
    <w:rsid w:val="005700AE"/>
    <w:rsid w:val="00570146"/>
    <w:rsid w:val="00570170"/>
    <w:rsid w:val="00570191"/>
    <w:rsid w:val="0057020D"/>
    <w:rsid w:val="00570304"/>
    <w:rsid w:val="005703A0"/>
    <w:rsid w:val="005703B3"/>
    <w:rsid w:val="0057042A"/>
    <w:rsid w:val="005704EE"/>
    <w:rsid w:val="00570538"/>
    <w:rsid w:val="00570566"/>
    <w:rsid w:val="00570695"/>
    <w:rsid w:val="005709BB"/>
    <w:rsid w:val="00570B5C"/>
    <w:rsid w:val="00570C12"/>
    <w:rsid w:val="00570C27"/>
    <w:rsid w:val="00570C6C"/>
    <w:rsid w:val="00570C9B"/>
    <w:rsid w:val="00570D73"/>
    <w:rsid w:val="00570D9A"/>
    <w:rsid w:val="00570DEB"/>
    <w:rsid w:val="00570F0F"/>
    <w:rsid w:val="00570F6A"/>
    <w:rsid w:val="00571173"/>
    <w:rsid w:val="005711D6"/>
    <w:rsid w:val="005711F3"/>
    <w:rsid w:val="005711F8"/>
    <w:rsid w:val="0057121A"/>
    <w:rsid w:val="00571286"/>
    <w:rsid w:val="0057137C"/>
    <w:rsid w:val="00571406"/>
    <w:rsid w:val="00571436"/>
    <w:rsid w:val="0057145B"/>
    <w:rsid w:val="005715B4"/>
    <w:rsid w:val="00571794"/>
    <w:rsid w:val="0057183F"/>
    <w:rsid w:val="0057191D"/>
    <w:rsid w:val="00571945"/>
    <w:rsid w:val="005719B4"/>
    <w:rsid w:val="00571A5B"/>
    <w:rsid w:val="00571AFA"/>
    <w:rsid w:val="00571B05"/>
    <w:rsid w:val="00571B54"/>
    <w:rsid w:val="00571BB3"/>
    <w:rsid w:val="00571C01"/>
    <w:rsid w:val="00571CE4"/>
    <w:rsid w:val="00571CEE"/>
    <w:rsid w:val="00571DA3"/>
    <w:rsid w:val="00571F1C"/>
    <w:rsid w:val="005720FA"/>
    <w:rsid w:val="00572117"/>
    <w:rsid w:val="005721E1"/>
    <w:rsid w:val="005722CF"/>
    <w:rsid w:val="00572320"/>
    <w:rsid w:val="0057234F"/>
    <w:rsid w:val="0057239E"/>
    <w:rsid w:val="0057241A"/>
    <w:rsid w:val="00572640"/>
    <w:rsid w:val="00572666"/>
    <w:rsid w:val="00572692"/>
    <w:rsid w:val="0057287E"/>
    <w:rsid w:val="00572A28"/>
    <w:rsid w:val="00572B1E"/>
    <w:rsid w:val="00572C51"/>
    <w:rsid w:val="00572C98"/>
    <w:rsid w:val="00572C99"/>
    <w:rsid w:val="00572DB6"/>
    <w:rsid w:val="00572F26"/>
    <w:rsid w:val="00573060"/>
    <w:rsid w:val="005730B6"/>
    <w:rsid w:val="005730CB"/>
    <w:rsid w:val="0057314D"/>
    <w:rsid w:val="00573222"/>
    <w:rsid w:val="005732A5"/>
    <w:rsid w:val="00573556"/>
    <w:rsid w:val="00573559"/>
    <w:rsid w:val="00573628"/>
    <w:rsid w:val="005736C8"/>
    <w:rsid w:val="00573750"/>
    <w:rsid w:val="0057375A"/>
    <w:rsid w:val="00573961"/>
    <w:rsid w:val="00573A45"/>
    <w:rsid w:val="00573B52"/>
    <w:rsid w:val="00573C91"/>
    <w:rsid w:val="00573CC0"/>
    <w:rsid w:val="00573D2F"/>
    <w:rsid w:val="00573EF1"/>
    <w:rsid w:val="00573F52"/>
    <w:rsid w:val="0057424E"/>
    <w:rsid w:val="00574253"/>
    <w:rsid w:val="005742EC"/>
    <w:rsid w:val="0057439D"/>
    <w:rsid w:val="005743BD"/>
    <w:rsid w:val="0057446E"/>
    <w:rsid w:val="0057449A"/>
    <w:rsid w:val="005745AF"/>
    <w:rsid w:val="00574705"/>
    <w:rsid w:val="0057470F"/>
    <w:rsid w:val="00574731"/>
    <w:rsid w:val="00574952"/>
    <w:rsid w:val="00574990"/>
    <w:rsid w:val="005749A7"/>
    <w:rsid w:val="00574A61"/>
    <w:rsid w:val="00574C64"/>
    <w:rsid w:val="00574CEC"/>
    <w:rsid w:val="00574D05"/>
    <w:rsid w:val="00574DE6"/>
    <w:rsid w:val="00574E1E"/>
    <w:rsid w:val="00574EE3"/>
    <w:rsid w:val="00574F4E"/>
    <w:rsid w:val="00574F7B"/>
    <w:rsid w:val="00574FBD"/>
    <w:rsid w:val="00575066"/>
    <w:rsid w:val="005750BA"/>
    <w:rsid w:val="005750C8"/>
    <w:rsid w:val="005750DD"/>
    <w:rsid w:val="00575151"/>
    <w:rsid w:val="00575216"/>
    <w:rsid w:val="00575239"/>
    <w:rsid w:val="0057538D"/>
    <w:rsid w:val="005753C8"/>
    <w:rsid w:val="00575488"/>
    <w:rsid w:val="005754EC"/>
    <w:rsid w:val="00575510"/>
    <w:rsid w:val="00575583"/>
    <w:rsid w:val="005755E7"/>
    <w:rsid w:val="005756C9"/>
    <w:rsid w:val="00575717"/>
    <w:rsid w:val="0057586B"/>
    <w:rsid w:val="005758EB"/>
    <w:rsid w:val="00575995"/>
    <w:rsid w:val="005759D2"/>
    <w:rsid w:val="005759FA"/>
    <w:rsid w:val="00575A2F"/>
    <w:rsid w:val="00575A73"/>
    <w:rsid w:val="00575B4A"/>
    <w:rsid w:val="00575B91"/>
    <w:rsid w:val="00575C0D"/>
    <w:rsid w:val="00575CC7"/>
    <w:rsid w:val="00575CCC"/>
    <w:rsid w:val="00575E06"/>
    <w:rsid w:val="00575E84"/>
    <w:rsid w:val="00576224"/>
    <w:rsid w:val="005762AE"/>
    <w:rsid w:val="00576351"/>
    <w:rsid w:val="005764E1"/>
    <w:rsid w:val="005764FB"/>
    <w:rsid w:val="0057657B"/>
    <w:rsid w:val="005767DB"/>
    <w:rsid w:val="005767EC"/>
    <w:rsid w:val="00576B27"/>
    <w:rsid w:val="00576CCE"/>
    <w:rsid w:val="00576D5D"/>
    <w:rsid w:val="00576ED9"/>
    <w:rsid w:val="005771E7"/>
    <w:rsid w:val="0057721C"/>
    <w:rsid w:val="005773F9"/>
    <w:rsid w:val="00577503"/>
    <w:rsid w:val="00577549"/>
    <w:rsid w:val="00577598"/>
    <w:rsid w:val="00577649"/>
    <w:rsid w:val="005777B1"/>
    <w:rsid w:val="00577851"/>
    <w:rsid w:val="005778A8"/>
    <w:rsid w:val="005779E0"/>
    <w:rsid w:val="00577A3C"/>
    <w:rsid w:val="00577B52"/>
    <w:rsid w:val="00577B6E"/>
    <w:rsid w:val="00577B73"/>
    <w:rsid w:val="00577C71"/>
    <w:rsid w:val="00577D20"/>
    <w:rsid w:val="00577E4F"/>
    <w:rsid w:val="0058014B"/>
    <w:rsid w:val="005801F1"/>
    <w:rsid w:val="00580200"/>
    <w:rsid w:val="00580447"/>
    <w:rsid w:val="005805FA"/>
    <w:rsid w:val="00580660"/>
    <w:rsid w:val="00580731"/>
    <w:rsid w:val="0058086F"/>
    <w:rsid w:val="005809DD"/>
    <w:rsid w:val="005809ED"/>
    <w:rsid w:val="00580AEC"/>
    <w:rsid w:val="00580CFC"/>
    <w:rsid w:val="00580DA8"/>
    <w:rsid w:val="00580DE5"/>
    <w:rsid w:val="00580F47"/>
    <w:rsid w:val="00581050"/>
    <w:rsid w:val="005810DA"/>
    <w:rsid w:val="00581131"/>
    <w:rsid w:val="0058119B"/>
    <w:rsid w:val="00581276"/>
    <w:rsid w:val="00581335"/>
    <w:rsid w:val="005813B1"/>
    <w:rsid w:val="00581486"/>
    <w:rsid w:val="00581509"/>
    <w:rsid w:val="0058153B"/>
    <w:rsid w:val="0058183D"/>
    <w:rsid w:val="0058195A"/>
    <w:rsid w:val="005819F2"/>
    <w:rsid w:val="00581BF2"/>
    <w:rsid w:val="00581C37"/>
    <w:rsid w:val="00581CD0"/>
    <w:rsid w:val="00581F74"/>
    <w:rsid w:val="00581F7E"/>
    <w:rsid w:val="00581FA1"/>
    <w:rsid w:val="00581FB0"/>
    <w:rsid w:val="0058200C"/>
    <w:rsid w:val="00582019"/>
    <w:rsid w:val="00582084"/>
    <w:rsid w:val="00582368"/>
    <w:rsid w:val="005823FC"/>
    <w:rsid w:val="00582573"/>
    <w:rsid w:val="005827BF"/>
    <w:rsid w:val="005828FC"/>
    <w:rsid w:val="00582A32"/>
    <w:rsid w:val="00582BAA"/>
    <w:rsid w:val="00582CA8"/>
    <w:rsid w:val="00582D10"/>
    <w:rsid w:val="00582DB7"/>
    <w:rsid w:val="00582E52"/>
    <w:rsid w:val="00582E70"/>
    <w:rsid w:val="00582E7E"/>
    <w:rsid w:val="00582EDD"/>
    <w:rsid w:val="00582F5D"/>
    <w:rsid w:val="00582FA2"/>
    <w:rsid w:val="00582FAC"/>
    <w:rsid w:val="00582FDD"/>
    <w:rsid w:val="00582FED"/>
    <w:rsid w:val="005830AB"/>
    <w:rsid w:val="00583268"/>
    <w:rsid w:val="005834C6"/>
    <w:rsid w:val="005836B1"/>
    <w:rsid w:val="005837C5"/>
    <w:rsid w:val="00583896"/>
    <w:rsid w:val="005839D6"/>
    <w:rsid w:val="00583A83"/>
    <w:rsid w:val="00583B6B"/>
    <w:rsid w:val="00583BBB"/>
    <w:rsid w:val="00583BCC"/>
    <w:rsid w:val="00583D35"/>
    <w:rsid w:val="00583D45"/>
    <w:rsid w:val="005840CA"/>
    <w:rsid w:val="0058423A"/>
    <w:rsid w:val="005842FF"/>
    <w:rsid w:val="005843A8"/>
    <w:rsid w:val="005843DA"/>
    <w:rsid w:val="005843DE"/>
    <w:rsid w:val="00584498"/>
    <w:rsid w:val="005845BA"/>
    <w:rsid w:val="00584725"/>
    <w:rsid w:val="00584812"/>
    <w:rsid w:val="00584A14"/>
    <w:rsid w:val="00584A47"/>
    <w:rsid w:val="00584BF0"/>
    <w:rsid w:val="00584DFB"/>
    <w:rsid w:val="00584E70"/>
    <w:rsid w:val="005850B5"/>
    <w:rsid w:val="0058532B"/>
    <w:rsid w:val="00585415"/>
    <w:rsid w:val="005855E2"/>
    <w:rsid w:val="0058571F"/>
    <w:rsid w:val="005858D6"/>
    <w:rsid w:val="00585A8A"/>
    <w:rsid w:val="00585AAC"/>
    <w:rsid w:val="00585AD5"/>
    <w:rsid w:val="00585AE9"/>
    <w:rsid w:val="00585C32"/>
    <w:rsid w:val="00585C83"/>
    <w:rsid w:val="00585CAC"/>
    <w:rsid w:val="00585CC7"/>
    <w:rsid w:val="00585DB3"/>
    <w:rsid w:val="00585E20"/>
    <w:rsid w:val="00585EE3"/>
    <w:rsid w:val="005860F7"/>
    <w:rsid w:val="00586114"/>
    <w:rsid w:val="0058613C"/>
    <w:rsid w:val="0058619D"/>
    <w:rsid w:val="005862E4"/>
    <w:rsid w:val="005862F7"/>
    <w:rsid w:val="005864D3"/>
    <w:rsid w:val="005864E3"/>
    <w:rsid w:val="00586513"/>
    <w:rsid w:val="0058666A"/>
    <w:rsid w:val="00586806"/>
    <w:rsid w:val="00586944"/>
    <w:rsid w:val="00586C08"/>
    <w:rsid w:val="00586D11"/>
    <w:rsid w:val="00586E21"/>
    <w:rsid w:val="00586E59"/>
    <w:rsid w:val="00586ECE"/>
    <w:rsid w:val="00586F7F"/>
    <w:rsid w:val="00586FD9"/>
    <w:rsid w:val="00587023"/>
    <w:rsid w:val="00587093"/>
    <w:rsid w:val="00587124"/>
    <w:rsid w:val="005873A3"/>
    <w:rsid w:val="005873F5"/>
    <w:rsid w:val="00587409"/>
    <w:rsid w:val="0058749E"/>
    <w:rsid w:val="005877AC"/>
    <w:rsid w:val="005879D9"/>
    <w:rsid w:val="005879FA"/>
    <w:rsid w:val="00587AB8"/>
    <w:rsid w:val="00587B02"/>
    <w:rsid w:val="00587B31"/>
    <w:rsid w:val="00587B66"/>
    <w:rsid w:val="00587B8F"/>
    <w:rsid w:val="00587BA1"/>
    <w:rsid w:val="00587BC5"/>
    <w:rsid w:val="00587BD4"/>
    <w:rsid w:val="00587CC1"/>
    <w:rsid w:val="00590034"/>
    <w:rsid w:val="00590138"/>
    <w:rsid w:val="0059017A"/>
    <w:rsid w:val="005901F0"/>
    <w:rsid w:val="00590206"/>
    <w:rsid w:val="005902CA"/>
    <w:rsid w:val="005902F8"/>
    <w:rsid w:val="005903BF"/>
    <w:rsid w:val="00590501"/>
    <w:rsid w:val="005905FA"/>
    <w:rsid w:val="00590623"/>
    <w:rsid w:val="005906E2"/>
    <w:rsid w:val="0059079C"/>
    <w:rsid w:val="005907EA"/>
    <w:rsid w:val="00590872"/>
    <w:rsid w:val="0059098C"/>
    <w:rsid w:val="00590A12"/>
    <w:rsid w:val="00590A32"/>
    <w:rsid w:val="00590AB0"/>
    <w:rsid w:val="00590BEC"/>
    <w:rsid w:val="00590C85"/>
    <w:rsid w:val="00590CD5"/>
    <w:rsid w:val="00590CEB"/>
    <w:rsid w:val="00590CF2"/>
    <w:rsid w:val="00590D18"/>
    <w:rsid w:val="00590D1A"/>
    <w:rsid w:val="00590D82"/>
    <w:rsid w:val="00590DF1"/>
    <w:rsid w:val="00590E66"/>
    <w:rsid w:val="00590F36"/>
    <w:rsid w:val="00590F7C"/>
    <w:rsid w:val="00590F7E"/>
    <w:rsid w:val="00591130"/>
    <w:rsid w:val="005911B7"/>
    <w:rsid w:val="005914A0"/>
    <w:rsid w:val="005914A2"/>
    <w:rsid w:val="005916AA"/>
    <w:rsid w:val="005916DD"/>
    <w:rsid w:val="0059177F"/>
    <w:rsid w:val="0059183D"/>
    <w:rsid w:val="005918D5"/>
    <w:rsid w:val="0059190D"/>
    <w:rsid w:val="00591A06"/>
    <w:rsid w:val="00591ABE"/>
    <w:rsid w:val="00591B83"/>
    <w:rsid w:val="00591BB1"/>
    <w:rsid w:val="00591C13"/>
    <w:rsid w:val="00591EB2"/>
    <w:rsid w:val="00591FFF"/>
    <w:rsid w:val="0059216C"/>
    <w:rsid w:val="00592184"/>
    <w:rsid w:val="00592320"/>
    <w:rsid w:val="005923C4"/>
    <w:rsid w:val="0059252A"/>
    <w:rsid w:val="0059261E"/>
    <w:rsid w:val="005926C4"/>
    <w:rsid w:val="0059275F"/>
    <w:rsid w:val="00592761"/>
    <w:rsid w:val="00592888"/>
    <w:rsid w:val="00592B78"/>
    <w:rsid w:val="00592B9F"/>
    <w:rsid w:val="00592BA9"/>
    <w:rsid w:val="00592CCF"/>
    <w:rsid w:val="00592D58"/>
    <w:rsid w:val="00592E26"/>
    <w:rsid w:val="00592E5F"/>
    <w:rsid w:val="00592E6C"/>
    <w:rsid w:val="00592E79"/>
    <w:rsid w:val="00592F52"/>
    <w:rsid w:val="00593022"/>
    <w:rsid w:val="00593063"/>
    <w:rsid w:val="005931B3"/>
    <w:rsid w:val="00593349"/>
    <w:rsid w:val="0059335E"/>
    <w:rsid w:val="005933C2"/>
    <w:rsid w:val="005933DF"/>
    <w:rsid w:val="00593412"/>
    <w:rsid w:val="00593471"/>
    <w:rsid w:val="005934AC"/>
    <w:rsid w:val="005934D1"/>
    <w:rsid w:val="00593627"/>
    <w:rsid w:val="0059396B"/>
    <w:rsid w:val="00593B03"/>
    <w:rsid w:val="00593B11"/>
    <w:rsid w:val="00593B8D"/>
    <w:rsid w:val="00593BF5"/>
    <w:rsid w:val="00593BF7"/>
    <w:rsid w:val="00593C9D"/>
    <w:rsid w:val="00593D2F"/>
    <w:rsid w:val="00593D8A"/>
    <w:rsid w:val="00593E4A"/>
    <w:rsid w:val="00594017"/>
    <w:rsid w:val="00594060"/>
    <w:rsid w:val="005941A7"/>
    <w:rsid w:val="005941C9"/>
    <w:rsid w:val="0059422A"/>
    <w:rsid w:val="00594346"/>
    <w:rsid w:val="0059452E"/>
    <w:rsid w:val="005945AF"/>
    <w:rsid w:val="005948E8"/>
    <w:rsid w:val="00594B0A"/>
    <w:rsid w:val="00594B28"/>
    <w:rsid w:val="00594B7D"/>
    <w:rsid w:val="00594D0E"/>
    <w:rsid w:val="00594D4E"/>
    <w:rsid w:val="00594D73"/>
    <w:rsid w:val="00594D86"/>
    <w:rsid w:val="00594F67"/>
    <w:rsid w:val="00595084"/>
    <w:rsid w:val="005951A3"/>
    <w:rsid w:val="005952A1"/>
    <w:rsid w:val="005952B5"/>
    <w:rsid w:val="0059537C"/>
    <w:rsid w:val="00595407"/>
    <w:rsid w:val="00595532"/>
    <w:rsid w:val="00595685"/>
    <w:rsid w:val="005957F3"/>
    <w:rsid w:val="00595804"/>
    <w:rsid w:val="005958B7"/>
    <w:rsid w:val="005958CD"/>
    <w:rsid w:val="00595976"/>
    <w:rsid w:val="00595AFC"/>
    <w:rsid w:val="00595B06"/>
    <w:rsid w:val="00595B5A"/>
    <w:rsid w:val="00595B77"/>
    <w:rsid w:val="00595B99"/>
    <w:rsid w:val="00595BC5"/>
    <w:rsid w:val="00595C63"/>
    <w:rsid w:val="00595CDB"/>
    <w:rsid w:val="00595D0F"/>
    <w:rsid w:val="00595DDF"/>
    <w:rsid w:val="00595E49"/>
    <w:rsid w:val="00595E68"/>
    <w:rsid w:val="00595E91"/>
    <w:rsid w:val="0059607C"/>
    <w:rsid w:val="00596088"/>
    <w:rsid w:val="00596096"/>
    <w:rsid w:val="00596138"/>
    <w:rsid w:val="00596154"/>
    <w:rsid w:val="0059617A"/>
    <w:rsid w:val="00596243"/>
    <w:rsid w:val="0059637A"/>
    <w:rsid w:val="005963B5"/>
    <w:rsid w:val="005965EA"/>
    <w:rsid w:val="005965F9"/>
    <w:rsid w:val="00596608"/>
    <w:rsid w:val="005966A4"/>
    <w:rsid w:val="005967D7"/>
    <w:rsid w:val="0059682F"/>
    <w:rsid w:val="0059696C"/>
    <w:rsid w:val="005969FB"/>
    <w:rsid w:val="00596AAE"/>
    <w:rsid w:val="00596AE3"/>
    <w:rsid w:val="00596CC3"/>
    <w:rsid w:val="00596CFB"/>
    <w:rsid w:val="00596DA9"/>
    <w:rsid w:val="00596DBD"/>
    <w:rsid w:val="00596DCC"/>
    <w:rsid w:val="00597047"/>
    <w:rsid w:val="0059705E"/>
    <w:rsid w:val="0059717B"/>
    <w:rsid w:val="005971BF"/>
    <w:rsid w:val="005971CA"/>
    <w:rsid w:val="005973CD"/>
    <w:rsid w:val="005973F5"/>
    <w:rsid w:val="00597492"/>
    <w:rsid w:val="00597582"/>
    <w:rsid w:val="005976A0"/>
    <w:rsid w:val="005976AA"/>
    <w:rsid w:val="0059779F"/>
    <w:rsid w:val="0059782B"/>
    <w:rsid w:val="005978BF"/>
    <w:rsid w:val="00597A36"/>
    <w:rsid w:val="00597B27"/>
    <w:rsid w:val="00597C3D"/>
    <w:rsid w:val="00597CFB"/>
    <w:rsid w:val="00597D9E"/>
    <w:rsid w:val="00597DF2"/>
    <w:rsid w:val="00597F1F"/>
    <w:rsid w:val="005A014D"/>
    <w:rsid w:val="005A0193"/>
    <w:rsid w:val="005A0225"/>
    <w:rsid w:val="005A0257"/>
    <w:rsid w:val="005A027C"/>
    <w:rsid w:val="005A0301"/>
    <w:rsid w:val="005A0320"/>
    <w:rsid w:val="005A040C"/>
    <w:rsid w:val="005A041A"/>
    <w:rsid w:val="005A0434"/>
    <w:rsid w:val="005A04B2"/>
    <w:rsid w:val="005A053D"/>
    <w:rsid w:val="005A054B"/>
    <w:rsid w:val="005A055A"/>
    <w:rsid w:val="005A05B4"/>
    <w:rsid w:val="005A05E6"/>
    <w:rsid w:val="005A0773"/>
    <w:rsid w:val="005A093C"/>
    <w:rsid w:val="005A0968"/>
    <w:rsid w:val="005A0A6C"/>
    <w:rsid w:val="005A0C6F"/>
    <w:rsid w:val="005A0DE4"/>
    <w:rsid w:val="005A0E18"/>
    <w:rsid w:val="005A0E58"/>
    <w:rsid w:val="005A0E84"/>
    <w:rsid w:val="005A0F8B"/>
    <w:rsid w:val="005A1022"/>
    <w:rsid w:val="005A10A3"/>
    <w:rsid w:val="005A14E0"/>
    <w:rsid w:val="005A175B"/>
    <w:rsid w:val="005A19C1"/>
    <w:rsid w:val="005A1AE9"/>
    <w:rsid w:val="005A1B39"/>
    <w:rsid w:val="005A1DDB"/>
    <w:rsid w:val="005A1ECF"/>
    <w:rsid w:val="005A200B"/>
    <w:rsid w:val="005A215C"/>
    <w:rsid w:val="005A24BD"/>
    <w:rsid w:val="005A2559"/>
    <w:rsid w:val="005A2728"/>
    <w:rsid w:val="005A27DC"/>
    <w:rsid w:val="005A28FA"/>
    <w:rsid w:val="005A2994"/>
    <w:rsid w:val="005A29BE"/>
    <w:rsid w:val="005A29C6"/>
    <w:rsid w:val="005A2BCD"/>
    <w:rsid w:val="005A2BFB"/>
    <w:rsid w:val="005A2D0B"/>
    <w:rsid w:val="005A2D35"/>
    <w:rsid w:val="005A2D79"/>
    <w:rsid w:val="005A2E84"/>
    <w:rsid w:val="005A2EBD"/>
    <w:rsid w:val="005A2F98"/>
    <w:rsid w:val="005A3030"/>
    <w:rsid w:val="005A312E"/>
    <w:rsid w:val="005A314A"/>
    <w:rsid w:val="005A31E9"/>
    <w:rsid w:val="005A32B9"/>
    <w:rsid w:val="005A3506"/>
    <w:rsid w:val="005A3525"/>
    <w:rsid w:val="005A3778"/>
    <w:rsid w:val="005A3894"/>
    <w:rsid w:val="005A3A6B"/>
    <w:rsid w:val="005A3B09"/>
    <w:rsid w:val="005A3D99"/>
    <w:rsid w:val="005A3DCA"/>
    <w:rsid w:val="005A3E0C"/>
    <w:rsid w:val="005A3EE6"/>
    <w:rsid w:val="005A41C6"/>
    <w:rsid w:val="005A4293"/>
    <w:rsid w:val="005A42C5"/>
    <w:rsid w:val="005A4532"/>
    <w:rsid w:val="005A4538"/>
    <w:rsid w:val="005A45A4"/>
    <w:rsid w:val="005A464F"/>
    <w:rsid w:val="005A46E2"/>
    <w:rsid w:val="005A4839"/>
    <w:rsid w:val="005A4A76"/>
    <w:rsid w:val="005A4A87"/>
    <w:rsid w:val="005A4C54"/>
    <w:rsid w:val="005A4DA2"/>
    <w:rsid w:val="005A4E2E"/>
    <w:rsid w:val="005A4E8A"/>
    <w:rsid w:val="005A4EC9"/>
    <w:rsid w:val="005A4EFF"/>
    <w:rsid w:val="005A4FDE"/>
    <w:rsid w:val="005A50AF"/>
    <w:rsid w:val="005A510B"/>
    <w:rsid w:val="005A5175"/>
    <w:rsid w:val="005A526B"/>
    <w:rsid w:val="005A5289"/>
    <w:rsid w:val="005A52CB"/>
    <w:rsid w:val="005A5320"/>
    <w:rsid w:val="005A53B1"/>
    <w:rsid w:val="005A5452"/>
    <w:rsid w:val="005A547D"/>
    <w:rsid w:val="005A54DA"/>
    <w:rsid w:val="005A559E"/>
    <w:rsid w:val="005A55A9"/>
    <w:rsid w:val="005A590F"/>
    <w:rsid w:val="005A5A5B"/>
    <w:rsid w:val="005A5CF6"/>
    <w:rsid w:val="005A5DA3"/>
    <w:rsid w:val="005A603F"/>
    <w:rsid w:val="005A6224"/>
    <w:rsid w:val="005A63EE"/>
    <w:rsid w:val="005A64C8"/>
    <w:rsid w:val="005A651E"/>
    <w:rsid w:val="005A655D"/>
    <w:rsid w:val="005A6594"/>
    <w:rsid w:val="005A6775"/>
    <w:rsid w:val="005A69F8"/>
    <w:rsid w:val="005A6B65"/>
    <w:rsid w:val="005A6C11"/>
    <w:rsid w:val="005A6C34"/>
    <w:rsid w:val="005A6C45"/>
    <w:rsid w:val="005A6DC7"/>
    <w:rsid w:val="005A6EC5"/>
    <w:rsid w:val="005A6FE0"/>
    <w:rsid w:val="005A75AE"/>
    <w:rsid w:val="005A7610"/>
    <w:rsid w:val="005A7658"/>
    <w:rsid w:val="005A767E"/>
    <w:rsid w:val="005A7A37"/>
    <w:rsid w:val="005A7A8A"/>
    <w:rsid w:val="005A7B3E"/>
    <w:rsid w:val="005A7B6B"/>
    <w:rsid w:val="005A7C06"/>
    <w:rsid w:val="005A7DBF"/>
    <w:rsid w:val="005B00B8"/>
    <w:rsid w:val="005B02B9"/>
    <w:rsid w:val="005B034F"/>
    <w:rsid w:val="005B03AE"/>
    <w:rsid w:val="005B03E9"/>
    <w:rsid w:val="005B0681"/>
    <w:rsid w:val="005B0748"/>
    <w:rsid w:val="005B0759"/>
    <w:rsid w:val="005B08CA"/>
    <w:rsid w:val="005B0913"/>
    <w:rsid w:val="005B0B2F"/>
    <w:rsid w:val="005B0BA4"/>
    <w:rsid w:val="005B0D9D"/>
    <w:rsid w:val="005B0DCA"/>
    <w:rsid w:val="005B0E93"/>
    <w:rsid w:val="005B0FF8"/>
    <w:rsid w:val="005B1068"/>
    <w:rsid w:val="005B10EF"/>
    <w:rsid w:val="005B1186"/>
    <w:rsid w:val="005B127C"/>
    <w:rsid w:val="005B129A"/>
    <w:rsid w:val="005B1586"/>
    <w:rsid w:val="005B161D"/>
    <w:rsid w:val="005B1658"/>
    <w:rsid w:val="005B16DD"/>
    <w:rsid w:val="005B1811"/>
    <w:rsid w:val="005B1852"/>
    <w:rsid w:val="005B1960"/>
    <w:rsid w:val="005B19C8"/>
    <w:rsid w:val="005B1D87"/>
    <w:rsid w:val="005B1DA1"/>
    <w:rsid w:val="005B1DFA"/>
    <w:rsid w:val="005B1E45"/>
    <w:rsid w:val="005B2057"/>
    <w:rsid w:val="005B2131"/>
    <w:rsid w:val="005B2195"/>
    <w:rsid w:val="005B2261"/>
    <w:rsid w:val="005B25C2"/>
    <w:rsid w:val="005B25C5"/>
    <w:rsid w:val="005B2769"/>
    <w:rsid w:val="005B2795"/>
    <w:rsid w:val="005B2820"/>
    <w:rsid w:val="005B28CE"/>
    <w:rsid w:val="005B2973"/>
    <w:rsid w:val="005B2AFB"/>
    <w:rsid w:val="005B2B35"/>
    <w:rsid w:val="005B2B9E"/>
    <w:rsid w:val="005B2BA7"/>
    <w:rsid w:val="005B2D8F"/>
    <w:rsid w:val="005B2E7B"/>
    <w:rsid w:val="005B2E80"/>
    <w:rsid w:val="005B3092"/>
    <w:rsid w:val="005B30FD"/>
    <w:rsid w:val="005B312A"/>
    <w:rsid w:val="005B312F"/>
    <w:rsid w:val="005B31B0"/>
    <w:rsid w:val="005B31EF"/>
    <w:rsid w:val="005B323C"/>
    <w:rsid w:val="005B324B"/>
    <w:rsid w:val="005B34F2"/>
    <w:rsid w:val="005B361D"/>
    <w:rsid w:val="005B3652"/>
    <w:rsid w:val="005B36B6"/>
    <w:rsid w:val="005B3763"/>
    <w:rsid w:val="005B3798"/>
    <w:rsid w:val="005B3951"/>
    <w:rsid w:val="005B3971"/>
    <w:rsid w:val="005B3998"/>
    <w:rsid w:val="005B3A44"/>
    <w:rsid w:val="005B3A65"/>
    <w:rsid w:val="005B3A94"/>
    <w:rsid w:val="005B3AFE"/>
    <w:rsid w:val="005B3B51"/>
    <w:rsid w:val="005B3BA6"/>
    <w:rsid w:val="005B3BB3"/>
    <w:rsid w:val="005B3C43"/>
    <w:rsid w:val="005B3F39"/>
    <w:rsid w:val="005B3FD2"/>
    <w:rsid w:val="005B3FDB"/>
    <w:rsid w:val="005B410C"/>
    <w:rsid w:val="005B4320"/>
    <w:rsid w:val="005B4361"/>
    <w:rsid w:val="005B4366"/>
    <w:rsid w:val="005B43D7"/>
    <w:rsid w:val="005B4471"/>
    <w:rsid w:val="005B4519"/>
    <w:rsid w:val="005B46A3"/>
    <w:rsid w:val="005B470F"/>
    <w:rsid w:val="005B47A6"/>
    <w:rsid w:val="005B47B0"/>
    <w:rsid w:val="005B4993"/>
    <w:rsid w:val="005B4A0F"/>
    <w:rsid w:val="005B4B16"/>
    <w:rsid w:val="005B4B5B"/>
    <w:rsid w:val="005B4C9A"/>
    <w:rsid w:val="005B4D38"/>
    <w:rsid w:val="005B4DC7"/>
    <w:rsid w:val="005B4F61"/>
    <w:rsid w:val="005B5129"/>
    <w:rsid w:val="005B521B"/>
    <w:rsid w:val="005B52FD"/>
    <w:rsid w:val="005B537F"/>
    <w:rsid w:val="005B53DF"/>
    <w:rsid w:val="005B5413"/>
    <w:rsid w:val="005B5421"/>
    <w:rsid w:val="005B5423"/>
    <w:rsid w:val="005B5663"/>
    <w:rsid w:val="005B56B3"/>
    <w:rsid w:val="005B56D6"/>
    <w:rsid w:val="005B57EE"/>
    <w:rsid w:val="005B580F"/>
    <w:rsid w:val="005B5837"/>
    <w:rsid w:val="005B5848"/>
    <w:rsid w:val="005B589F"/>
    <w:rsid w:val="005B58BB"/>
    <w:rsid w:val="005B592A"/>
    <w:rsid w:val="005B599F"/>
    <w:rsid w:val="005B59B7"/>
    <w:rsid w:val="005B59BF"/>
    <w:rsid w:val="005B5A37"/>
    <w:rsid w:val="005B5A69"/>
    <w:rsid w:val="005B5AA5"/>
    <w:rsid w:val="005B5BED"/>
    <w:rsid w:val="005B5CE1"/>
    <w:rsid w:val="005B5E71"/>
    <w:rsid w:val="005B6075"/>
    <w:rsid w:val="005B62BE"/>
    <w:rsid w:val="005B62BF"/>
    <w:rsid w:val="005B6365"/>
    <w:rsid w:val="005B64BD"/>
    <w:rsid w:val="005B64F7"/>
    <w:rsid w:val="005B6518"/>
    <w:rsid w:val="005B65D6"/>
    <w:rsid w:val="005B665A"/>
    <w:rsid w:val="005B6757"/>
    <w:rsid w:val="005B67C2"/>
    <w:rsid w:val="005B67CB"/>
    <w:rsid w:val="005B67D4"/>
    <w:rsid w:val="005B6830"/>
    <w:rsid w:val="005B68A3"/>
    <w:rsid w:val="005B6B53"/>
    <w:rsid w:val="005B6D54"/>
    <w:rsid w:val="005B6D6C"/>
    <w:rsid w:val="005B6EA2"/>
    <w:rsid w:val="005B6EDE"/>
    <w:rsid w:val="005B6F98"/>
    <w:rsid w:val="005B703B"/>
    <w:rsid w:val="005B70AA"/>
    <w:rsid w:val="005B7189"/>
    <w:rsid w:val="005B718B"/>
    <w:rsid w:val="005B744F"/>
    <w:rsid w:val="005B7695"/>
    <w:rsid w:val="005B771A"/>
    <w:rsid w:val="005B77D3"/>
    <w:rsid w:val="005B7B24"/>
    <w:rsid w:val="005B7B2E"/>
    <w:rsid w:val="005B7C88"/>
    <w:rsid w:val="005B7D4F"/>
    <w:rsid w:val="005B7D52"/>
    <w:rsid w:val="005B7E76"/>
    <w:rsid w:val="005B7E8B"/>
    <w:rsid w:val="005B7F57"/>
    <w:rsid w:val="005B7F89"/>
    <w:rsid w:val="005C0035"/>
    <w:rsid w:val="005C02F4"/>
    <w:rsid w:val="005C0381"/>
    <w:rsid w:val="005C044A"/>
    <w:rsid w:val="005C04B9"/>
    <w:rsid w:val="005C0595"/>
    <w:rsid w:val="005C0833"/>
    <w:rsid w:val="005C0A59"/>
    <w:rsid w:val="005C0AEE"/>
    <w:rsid w:val="005C0BB5"/>
    <w:rsid w:val="005C0CB6"/>
    <w:rsid w:val="005C0D41"/>
    <w:rsid w:val="005C0D6B"/>
    <w:rsid w:val="005C0D86"/>
    <w:rsid w:val="005C0D88"/>
    <w:rsid w:val="005C0D9D"/>
    <w:rsid w:val="005C0DF1"/>
    <w:rsid w:val="005C0E61"/>
    <w:rsid w:val="005C0E65"/>
    <w:rsid w:val="005C0E6B"/>
    <w:rsid w:val="005C0E8E"/>
    <w:rsid w:val="005C0EB2"/>
    <w:rsid w:val="005C0F31"/>
    <w:rsid w:val="005C0F68"/>
    <w:rsid w:val="005C106B"/>
    <w:rsid w:val="005C12CC"/>
    <w:rsid w:val="005C1357"/>
    <w:rsid w:val="005C1448"/>
    <w:rsid w:val="005C1518"/>
    <w:rsid w:val="005C1601"/>
    <w:rsid w:val="005C1636"/>
    <w:rsid w:val="005C18CA"/>
    <w:rsid w:val="005C19DF"/>
    <w:rsid w:val="005C1AA9"/>
    <w:rsid w:val="005C1AD6"/>
    <w:rsid w:val="005C1B99"/>
    <w:rsid w:val="005C1C72"/>
    <w:rsid w:val="005C1C78"/>
    <w:rsid w:val="005C1E82"/>
    <w:rsid w:val="005C2057"/>
    <w:rsid w:val="005C209A"/>
    <w:rsid w:val="005C2429"/>
    <w:rsid w:val="005C2457"/>
    <w:rsid w:val="005C2496"/>
    <w:rsid w:val="005C2867"/>
    <w:rsid w:val="005C286A"/>
    <w:rsid w:val="005C2AEF"/>
    <w:rsid w:val="005C2B70"/>
    <w:rsid w:val="005C2BC1"/>
    <w:rsid w:val="005C2BD8"/>
    <w:rsid w:val="005C2C43"/>
    <w:rsid w:val="005C2DAF"/>
    <w:rsid w:val="005C2DCE"/>
    <w:rsid w:val="005C2ED6"/>
    <w:rsid w:val="005C2F12"/>
    <w:rsid w:val="005C2F7F"/>
    <w:rsid w:val="005C2FA9"/>
    <w:rsid w:val="005C3043"/>
    <w:rsid w:val="005C308C"/>
    <w:rsid w:val="005C317A"/>
    <w:rsid w:val="005C3205"/>
    <w:rsid w:val="005C3226"/>
    <w:rsid w:val="005C33A9"/>
    <w:rsid w:val="005C346E"/>
    <w:rsid w:val="005C3574"/>
    <w:rsid w:val="005C36BE"/>
    <w:rsid w:val="005C36C3"/>
    <w:rsid w:val="005C3750"/>
    <w:rsid w:val="005C3822"/>
    <w:rsid w:val="005C3B16"/>
    <w:rsid w:val="005C3BA9"/>
    <w:rsid w:val="005C3DA8"/>
    <w:rsid w:val="005C3DCC"/>
    <w:rsid w:val="005C3E1E"/>
    <w:rsid w:val="005C3F16"/>
    <w:rsid w:val="005C3F79"/>
    <w:rsid w:val="005C3FF9"/>
    <w:rsid w:val="005C40C8"/>
    <w:rsid w:val="005C40FD"/>
    <w:rsid w:val="005C4423"/>
    <w:rsid w:val="005C4439"/>
    <w:rsid w:val="005C44A6"/>
    <w:rsid w:val="005C4513"/>
    <w:rsid w:val="005C46CE"/>
    <w:rsid w:val="005C4720"/>
    <w:rsid w:val="005C474A"/>
    <w:rsid w:val="005C476B"/>
    <w:rsid w:val="005C4819"/>
    <w:rsid w:val="005C483C"/>
    <w:rsid w:val="005C498E"/>
    <w:rsid w:val="005C4B35"/>
    <w:rsid w:val="005C4BD4"/>
    <w:rsid w:val="005C4CE4"/>
    <w:rsid w:val="005C4DAF"/>
    <w:rsid w:val="005C4E1A"/>
    <w:rsid w:val="005C5049"/>
    <w:rsid w:val="005C507A"/>
    <w:rsid w:val="005C51BF"/>
    <w:rsid w:val="005C54EA"/>
    <w:rsid w:val="005C5527"/>
    <w:rsid w:val="005C5741"/>
    <w:rsid w:val="005C574D"/>
    <w:rsid w:val="005C5A87"/>
    <w:rsid w:val="005C5B1E"/>
    <w:rsid w:val="005C5C6E"/>
    <w:rsid w:val="005C5DD1"/>
    <w:rsid w:val="005C5E53"/>
    <w:rsid w:val="005C5F06"/>
    <w:rsid w:val="005C5F47"/>
    <w:rsid w:val="005C5F87"/>
    <w:rsid w:val="005C5FFA"/>
    <w:rsid w:val="005C605D"/>
    <w:rsid w:val="005C60A0"/>
    <w:rsid w:val="005C6107"/>
    <w:rsid w:val="005C612E"/>
    <w:rsid w:val="005C6447"/>
    <w:rsid w:val="005C647A"/>
    <w:rsid w:val="005C6561"/>
    <w:rsid w:val="005C6776"/>
    <w:rsid w:val="005C68B2"/>
    <w:rsid w:val="005C68EB"/>
    <w:rsid w:val="005C68F7"/>
    <w:rsid w:val="005C6949"/>
    <w:rsid w:val="005C69B0"/>
    <w:rsid w:val="005C6CD6"/>
    <w:rsid w:val="005C6DD6"/>
    <w:rsid w:val="005C6E55"/>
    <w:rsid w:val="005C6E6D"/>
    <w:rsid w:val="005C6F51"/>
    <w:rsid w:val="005C6FC6"/>
    <w:rsid w:val="005C7037"/>
    <w:rsid w:val="005C70A1"/>
    <w:rsid w:val="005C7106"/>
    <w:rsid w:val="005C725A"/>
    <w:rsid w:val="005C7310"/>
    <w:rsid w:val="005C73C5"/>
    <w:rsid w:val="005C741A"/>
    <w:rsid w:val="005C75DD"/>
    <w:rsid w:val="005C76B9"/>
    <w:rsid w:val="005C77B6"/>
    <w:rsid w:val="005C78E4"/>
    <w:rsid w:val="005C7911"/>
    <w:rsid w:val="005C7A28"/>
    <w:rsid w:val="005C7C30"/>
    <w:rsid w:val="005C7C73"/>
    <w:rsid w:val="005C7D53"/>
    <w:rsid w:val="005C7DB6"/>
    <w:rsid w:val="005C7DF8"/>
    <w:rsid w:val="005C7E1E"/>
    <w:rsid w:val="005C7F61"/>
    <w:rsid w:val="005C7FEE"/>
    <w:rsid w:val="005D0010"/>
    <w:rsid w:val="005D012A"/>
    <w:rsid w:val="005D0275"/>
    <w:rsid w:val="005D0383"/>
    <w:rsid w:val="005D038D"/>
    <w:rsid w:val="005D0478"/>
    <w:rsid w:val="005D0601"/>
    <w:rsid w:val="005D061F"/>
    <w:rsid w:val="005D0684"/>
    <w:rsid w:val="005D0809"/>
    <w:rsid w:val="005D087E"/>
    <w:rsid w:val="005D0888"/>
    <w:rsid w:val="005D09B5"/>
    <w:rsid w:val="005D0A6B"/>
    <w:rsid w:val="005D0AFB"/>
    <w:rsid w:val="005D0C11"/>
    <w:rsid w:val="005D0DE1"/>
    <w:rsid w:val="005D0F4B"/>
    <w:rsid w:val="005D0FD4"/>
    <w:rsid w:val="005D10BC"/>
    <w:rsid w:val="005D12BC"/>
    <w:rsid w:val="005D133D"/>
    <w:rsid w:val="005D13B5"/>
    <w:rsid w:val="005D1417"/>
    <w:rsid w:val="005D145E"/>
    <w:rsid w:val="005D14C5"/>
    <w:rsid w:val="005D152A"/>
    <w:rsid w:val="005D15F3"/>
    <w:rsid w:val="005D1876"/>
    <w:rsid w:val="005D1878"/>
    <w:rsid w:val="005D18CC"/>
    <w:rsid w:val="005D1ABE"/>
    <w:rsid w:val="005D1B2A"/>
    <w:rsid w:val="005D1B45"/>
    <w:rsid w:val="005D1BEF"/>
    <w:rsid w:val="005D1D28"/>
    <w:rsid w:val="005D1E4D"/>
    <w:rsid w:val="005D1F05"/>
    <w:rsid w:val="005D1F2B"/>
    <w:rsid w:val="005D1FBC"/>
    <w:rsid w:val="005D2087"/>
    <w:rsid w:val="005D22F2"/>
    <w:rsid w:val="005D22FD"/>
    <w:rsid w:val="005D246F"/>
    <w:rsid w:val="005D2495"/>
    <w:rsid w:val="005D2627"/>
    <w:rsid w:val="005D27FC"/>
    <w:rsid w:val="005D2909"/>
    <w:rsid w:val="005D295F"/>
    <w:rsid w:val="005D2AA8"/>
    <w:rsid w:val="005D2AEB"/>
    <w:rsid w:val="005D2BAE"/>
    <w:rsid w:val="005D2D2A"/>
    <w:rsid w:val="005D2DCE"/>
    <w:rsid w:val="005D2E3D"/>
    <w:rsid w:val="005D3035"/>
    <w:rsid w:val="005D315E"/>
    <w:rsid w:val="005D32B9"/>
    <w:rsid w:val="005D32EE"/>
    <w:rsid w:val="005D3387"/>
    <w:rsid w:val="005D35BB"/>
    <w:rsid w:val="005D36D7"/>
    <w:rsid w:val="005D36D8"/>
    <w:rsid w:val="005D3741"/>
    <w:rsid w:val="005D3854"/>
    <w:rsid w:val="005D38B2"/>
    <w:rsid w:val="005D39D1"/>
    <w:rsid w:val="005D3A48"/>
    <w:rsid w:val="005D3ABB"/>
    <w:rsid w:val="005D3B03"/>
    <w:rsid w:val="005D3B48"/>
    <w:rsid w:val="005D3BDE"/>
    <w:rsid w:val="005D3C13"/>
    <w:rsid w:val="005D3C49"/>
    <w:rsid w:val="005D3CA2"/>
    <w:rsid w:val="005D3E17"/>
    <w:rsid w:val="005D3F27"/>
    <w:rsid w:val="005D3F87"/>
    <w:rsid w:val="005D3F95"/>
    <w:rsid w:val="005D3FBB"/>
    <w:rsid w:val="005D400F"/>
    <w:rsid w:val="005D410C"/>
    <w:rsid w:val="005D413B"/>
    <w:rsid w:val="005D41E7"/>
    <w:rsid w:val="005D422C"/>
    <w:rsid w:val="005D4292"/>
    <w:rsid w:val="005D4365"/>
    <w:rsid w:val="005D43F2"/>
    <w:rsid w:val="005D44B3"/>
    <w:rsid w:val="005D44BE"/>
    <w:rsid w:val="005D44C0"/>
    <w:rsid w:val="005D44D8"/>
    <w:rsid w:val="005D44F2"/>
    <w:rsid w:val="005D4538"/>
    <w:rsid w:val="005D45A4"/>
    <w:rsid w:val="005D473A"/>
    <w:rsid w:val="005D478F"/>
    <w:rsid w:val="005D4835"/>
    <w:rsid w:val="005D48B3"/>
    <w:rsid w:val="005D48D9"/>
    <w:rsid w:val="005D494E"/>
    <w:rsid w:val="005D49ED"/>
    <w:rsid w:val="005D4A0C"/>
    <w:rsid w:val="005D4A91"/>
    <w:rsid w:val="005D4BB1"/>
    <w:rsid w:val="005D4C69"/>
    <w:rsid w:val="005D4CBB"/>
    <w:rsid w:val="005D4CDD"/>
    <w:rsid w:val="005D4D60"/>
    <w:rsid w:val="005D4DA8"/>
    <w:rsid w:val="005D4E71"/>
    <w:rsid w:val="005D4E74"/>
    <w:rsid w:val="005D4FFA"/>
    <w:rsid w:val="005D505F"/>
    <w:rsid w:val="005D520E"/>
    <w:rsid w:val="005D53BB"/>
    <w:rsid w:val="005D543A"/>
    <w:rsid w:val="005D550E"/>
    <w:rsid w:val="005D5512"/>
    <w:rsid w:val="005D56C1"/>
    <w:rsid w:val="005D56E9"/>
    <w:rsid w:val="005D57C1"/>
    <w:rsid w:val="005D5883"/>
    <w:rsid w:val="005D58C2"/>
    <w:rsid w:val="005D58E7"/>
    <w:rsid w:val="005D5968"/>
    <w:rsid w:val="005D59F5"/>
    <w:rsid w:val="005D5A8C"/>
    <w:rsid w:val="005D5AA3"/>
    <w:rsid w:val="005D5AFA"/>
    <w:rsid w:val="005D5B01"/>
    <w:rsid w:val="005D5BCE"/>
    <w:rsid w:val="005D5CE7"/>
    <w:rsid w:val="005D5D3C"/>
    <w:rsid w:val="005D5D97"/>
    <w:rsid w:val="005D5DF6"/>
    <w:rsid w:val="005D5FDD"/>
    <w:rsid w:val="005D6048"/>
    <w:rsid w:val="005D6118"/>
    <w:rsid w:val="005D6169"/>
    <w:rsid w:val="005D62E4"/>
    <w:rsid w:val="005D63D4"/>
    <w:rsid w:val="005D63F5"/>
    <w:rsid w:val="005D6436"/>
    <w:rsid w:val="005D6483"/>
    <w:rsid w:val="005D6512"/>
    <w:rsid w:val="005D6516"/>
    <w:rsid w:val="005D653E"/>
    <w:rsid w:val="005D6648"/>
    <w:rsid w:val="005D6A32"/>
    <w:rsid w:val="005D6A50"/>
    <w:rsid w:val="005D6ABC"/>
    <w:rsid w:val="005D6B1D"/>
    <w:rsid w:val="005D6BC4"/>
    <w:rsid w:val="005D6BEC"/>
    <w:rsid w:val="005D6D7B"/>
    <w:rsid w:val="005D6DF2"/>
    <w:rsid w:val="005D6E7B"/>
    <w:rsid w:val="005D6E8A"/>
    <w:rsid w:val="005D702C"/>
    <w:rsid w:val="005D70A1"/>
    <w:rsid w:val="005D70BD"/>
    <w:rsid w:val="005D7120"/>
    <w:rsid w:val="005D71AE"/>
    <w:rsid w:val="005D7293"/>
    <w:rsid w:val="005D72C3"/>
    <w:rsid w:val="005D768B"/>
    <w:rsid w:val="005D77DA"/>
    <w:rsid w:val="005D77E7"/>
    <w:rsid w:val="005D78B6"/>
    <w:rsid w:val="005D7933"/>
    <w:rsid w:val="005D796E"/>
    <w:rsid w:val="005D7971"/>
    <w:rsid w:val="005D7A08"/>
    <w:rsid w:val="005D7A39"/>
    <w:rsid w:val="005D7AEE"/>
    <w:rsid w:val="005D7C09"/>
    <w:rsid w:val="005D7C31"/>
    <w:rsid w:val="005D7C52"/>
    <w:rsid w:val="005D7D42"/>
    <w:rsid w:val="005D7D5D"/>
    <w:rsid w:val="005D7D5E"/>
    <w:rsid w:val="005D7D65"/>
    <w:rsid w:val="005E0117"/>
    <w:rsid w:val="005E01FB"/>
    <w:rsid w:val="005E024C"/>
    <w:rsid w:val="005E03FD"/>
    <w:rsid w:val="005E04B9"/>
    <w:rsid w:val="005E04FF"/>
    <w:rsid w:val="005E05EC"/>
    <w:rsid w:val="005E07AB"/>
    <w:rsid w:val="005E07B8"/>
    <w:rsid w:val="005E0976"/>
    <w:rsid w:val="005E0A60"/>
    <w:rsid w:val="005E0A7B"/>
    <w:rsid w:val="005E0AE4"/>
    <w:rsid w:val="005E0AE7"/>
    <w:rsid w:val="005E0B5B"/>
    <w:rsid w:val="005E0BD0"/>
    <w:rsid w:val="005E0BDB"/>
    <w:rsid w:val="005E0D43"/>
    <w:rsid w:val="005E0E8D"/>
    <w:rsid w:val="005E0EFE"/>
    <w:rsid w:val="005E10F7"/>
    <w:rsid w:val="005E1161"/>
    <w:rsid w:val="005E1167"/>
    <w:rsid w:val="005E11B4"/>
    <w:rsid w:val="005E1229"/>
    <w:rsid w:val="005E1337"/>
    <w:rsid w:val="005E1340"/>
    <w:rsid w:val="005E1376"/>
    <w:rsid w:val="005E1495"/>
    <w:rsid w:val="005E159D"/>
    <w:rsid w:val="005E15B3"/>
    <w:rsid w:val="005E162C"/>
    <w:rsid w:val="005E17E2"/>
    <w:rsid w:val="005E1813"/>
    <w:rsid w:val="005E18C3"/>
    <w:rsid w:val="005E18FE"/>
    <w:rsid w:val="005E1A3C"/>
    <w:rsid w:val="005E1BF8"/>
    <w:rsid w:val="005E1C9E"/>
    <w:rsid w:val="005E1D78"/>
    <w:rsid w:val="005E1EEC"/>
    <w:rsid w:val="005E1F14"/>
    <w:rsid w:val="005E2183"/>
    <w:rsid w:val="005E2231"/>
    <w:rsid w:val="005E227A"/>
    <w:rsid w:val="005E2286"/>
    <w:rsid w:val="005E237F"/>
    <w:rsid w:val="005E2388"/>
    <w:rsid w:val="005E2433"/>
    <w:rsid w:val="005E249B"/>
    <w:rsid w:val="005E25A1"/>
    <w:rsid w:val="005E25E4"/>
    <w:rsid w:val="005E2675"/>
    <w:rsid w:val="005E26EB"/>
    <w:rsid w:val="005E27C7"/>
    <w:rsid w:val="005E2849"/>
    <w:rsid w:val="005E2963"/>
    <w:rsid w:val="005E29C0"/>
    <w:rsid w:val="005E2B2A"/>
    <w:rsid w:val="005E2BCA"/>
    <w:rsid w:val="005E2C17"/>
    <w:rsid w:val="005E2DE2"/>
    <w:rsid w:val="005E2E7B"/>
    <w:rsid w:val="005E2F12"/>
    <w:rsid w:val="005E30B7"/>
    <w:rsid w:val="005E3152"/>
    <w:rsid w:val="005E316B"/>
    <w:rsid w:val="005E316F"/>
    <w:rsid w:val="005E31B3"/>
    <w:rsid w:val="005E324C"/>
    <w:rsid w:val="005E32D7"/>
    <w:rsid w:val="005E33ED"/>
    <w:rsid w:val="005E3501"/>
    <w:rsid w:val="005E35B6"/>
    <w:rsid w:val="005E36E0"/>
    <w:rsid w:val="005E370B"/>
    <w:rsid w:val="005E37B8"/>
    <w:rsid w:val="005E3961"/>
    <w:rsid w:val="005E39EA"/>
    <w:rsid w:val="005E3AF4"/>
    <w:rsid w:val="005E3C88"/>
    <w:rsid w:val="005E3D2F"/>
    <w:rsid w:val="005E3E4E"/>
    <w:rsid w:val="005E3EC1"/>
    <w:rsid w:val="005E3F07"/>
    <w:rsid w:val="005E3F37"/>
    <w:rsid w:val="005E41D2"/>
    <w:rsid w:val="005E422F"/>
    <w:rsid w:val="005E4274"/>
    <w:rsid w:val="005E4293"/>
    <w:rsid w:val="005E4297"/>
    <w:rsid w:val="005E4437"/>
    <w:rsid w:val="005E4491"/>
    <w:rsid w:val="005E450F"/>
    <w:rsid w:val="005E46C0"/>
    <w:rsid w:val="005E47E6"/>
    <w:rsid w:val="005E4874"/>
    <w:rsid w:val="005E4944"/>
    <w:rsid w:val="005E494E"/>
    <w:rsid w:val="005E4A58"/>
    <w:rsid w:val="005E4AA0"/>
    <w:rsid w:val="005E4B14"/>
    <w:rsid w:val="005E4B81"/>
    <w:rsid w:val="005E4D29"/>
    <w:rsid w:val="005E4E6A"/>
    <w:rsid w:val="005E4EED"/>
    <w:rsid w:val="005E4EF9"/>
    <w:rsid w:val="005E4FB1"/>
    <w:rsid w:val="005E5001"/>
    <w:rsid w:val="005E50DD"/>
    <w:rsid w:val="005E5110"/>
    <w:rsid w:val="005E517C"/>
    <w:rsid w:val="005E51BF"/>
    <w:rsid w:val="005E5317"/>
    <w:rsid w:val="005E5725"/>
    <w:rsid w:val="005E58C0"/>
    <w:rsid w:val="005E5929"/>
    <w:rsid w:val="005E594B"/>
    <w:rsid w:val="005E59DD"/>
    <w:rsid w:val="005E5A01"/>
    <w:rsid w:val="005E5C29"/>
    <w:rsid w:val="005E5C71"/>
    <w:rsid w:val="005E5E74"/>
    <w:rsid w:val="005E601A"/>
    <w:rsid w:val="005E60A6"/>
    <w:rsid w:val="005E60D4"/>
    <w:rsid w:val="005E6108"/>
    <w:rsid w:val="005E628C"/>
    <w:rsid w:val="005E6290"/>
    <w:rsid w:val="005E63AE"/>
    <w:rsid w:val="005E643D"/>
    <w:rsid w:val="005E64CB"/>
    <w:rsid w:val="005E64F2"/>
    <w:rsid w:val="005E65DE"/>
    <w:rsid w:val="005E67E5"/>
    <w:rsid w:val="005E67E9"/>
    <w:rsid w:val="005E6832"/>
    <w:rsid w:val="005E6869"/>
    <w:rsid w:val="005E6874"/>
    <w:rsid w:val="005E68AB"/>
    <w:rsid w:val="005E69E9"/>
    <w:rsid w:val="005E6B1A"/>
    <w:rsid w:val="005E6BB0"/>
    <w:rsid w:val="005E6BCC"/>
    <w:rsid w:val="005E6BDD"/>
    <w:rsid w:val="005E6BF0"/>
    <w:rsid w:val="005E6C2D"/>
    <w:rsid w:val="005E6C66"/>
    <w:rsid w:val="005E6CC5"/>
    <w:rsid w:val="005E6CD4"/>
    <w:rsid w:val="005E6D44"/>
    <w:rsid w:val="005E6DB0"/>
    <w:rsid w:val="005E6DB1"/>
    <w:rsid w:val="005E6F7C"/>
    <w:rsid w:val="005E70AC"/>
    <w:rsid w:val="005E71DC"/>
    <w:rsid w:val="005E7364"/>
    <w:rsid w:val="005E73BB"/>
    <w:rsid w:val="005E7421"/>
    <w:rsid w:val="005E7545"/>
    <w:rsid w:val="005E765B"/>
    <w:rsid w:val="005E769A"/>
    <w:rsid w:val="005E76D8"/>
    <w:rsid w:val="005E76EF"/>
    <w:rsid w:val="005E7745"/>
    <w:rsid w:val="005E77C0"/>
    <w:rsid w:val="005E79A4"/>
    <w:rsid w:val="005E79D8"/>
    <w:rsid w:val="005E79DF"/>
    <w:rsid w:val="005E79FB"/>
    <w:rsid w:val="005E7AB1"/>
    <w:rsid w:val="005E7BB7"/>
    <w:rsid w:val="005E7C58"/>
    <w:rsid w:val="005E7CD9"/>
    <w:rsid w:val="005E7D0B"/>
    <w:rsid w:val="005E7D55"/>
    <w:rsid w:val="005E7D74"/>
    <w:rsid w:val="005E7D7D"/>
    <w:rsid w:val="005E7DD0"/>
    <w:rsid w:val="005E7E11"/>
    <w:rsid w:val="005E7EF0"/>
    <w:rsid w:val="005E7F23"/>
    <w:rsid w:val="005E7F4B"/>
    <w:rsid w:val="005E7FC0"/>
    <w:rsid w:val="005F018B"/>
    <w:rsid w:val="005F0214"/>
    <w:rsid w:val="005F023E"/>
    <w:rsid w:val="005F02F7"/>
    <w:rsid w:val="005F0388"/>
    <w:rsid w:val="005F04EB"/>
    <w:rsid w:val="005F06BF"/>
    <w:rsid w:val="005F06F4"/>
    <w:rsid w:val="005F0850"/>
    <w:rsid w:val="005F0863"/>
    <w:rsid w:val="005F08A6"/>
    <w:rsid w:val="005F0D37"/>
    <w:rsid w:val="005F0D8D"/>
    <w:rsid w:val="005F0E80"/>
    <w:rsid w:val="005F0FB6"/>
    <w:rsid w:val="005F12C4"/>
    <w:rsid w:val="005F12D6"/>
    <w:rsid w:val="005F1476"/>
    <w:rsid w:val="005F1544"/>
    <w:rsid w:val="005F15A2"/>
    <w:rsid w:val="005F17F5"/>
    <w:rsid w:val="005F180D"/>
    <w:rsid w:val="005F1894"/>
    <w:rsid w:val="005F1B5A"/>
    <w:rsid w:val="005F1B84"/>
    <w:rsid w:val="005F1BE9"/>
    <w:rsid w:val="005F1D37"/>
    <w:rsid w:val="005F1D3D"/>
    <w:rsid w:val="005F1D80"/>
    <w:rsid w:val="005F1DD5"/>
    <w:rsid w:val="005F1E19"/>
    <w:rsid w:val="005F1F69"/>
    <w:rsid w:val="005F1F76"/>
    <w:rsid w:val="005F2034"/>
    <w:rsid w:val="005F2117"/>
    <w:rsid w:val="005F216F"/>
    <w:rsid w:val="005F220B"/>
    <w:rsid w:val="005F2360"/>
    <w:rsid w:val="005F2458"/>
    <w:rsid w:val="005F2844"/>
    <w:rsid w:val="005F2BF1"/>
    <w:rsid w:val="005F2E62"/>
    <w:rsid w:val="005F2E82"/>
    <w:rsid w:val="005F2FB1"/>
    <w:rsid w:val="005F300A"/>
    <w:rsid w:val="005F3099"/>
    <w:rsid w:val="005F30BA"/>
    <w:rsid w:val="005F3166"/>
    <w:rsid w:val="005F31A4"/>
    <w:rsid w:val="005F33ED"/>
    <w:rsid w:val="005F33FF"/>
    <w:rsid w:val="005F3439"/>
    <w:rsid w:val="005F3581"/>
    <w:rsid w:val="005F36F7"/>
    <w:rsid w:val="005F376B"/>
    <w:rsid w:val="005F383B"/>
    <w:rsid w:val="005F3962"/>
    <w:rsid w:val="005F3AAC"/>
    <w:rsid w:val="005F3BE6"/>
    <w:rsid w:val="005F3C81"/>
    <w:rsid w:val="005F3CE9"/>
    <w:rsid w:val="005F3D2F"/>
    <w:rsid w:val="005F3D7B"/>
    <w:rsid w:val="005F3DCE"/>
    <w:rsid w:val="005F3E2F"/>
    <w:rsid w:val="005F407B"/>
    <w:rsid w:val="005F414F"/>
    <w:rsid w:val="005F4190"/>
    <w:rsid w:val="005F41A7"/>
    <w:rsid w:val="005F435A"/>
    <w:rsid w:val="005F458D"/>
    <w:rsid w:val="005F4767"/>
    <w:rsid w:val="005F48B5"/>
    <w:rsid w:val="005F48E2"/>
    <w:rsid w:val="005F494B"/>
    <w:rsid w:val="005F4AFB"/>
    <w:rsid w:val="005F4D20"/>
    <w:rsid w:val="005F4E08"/>
    <w:rsid w:val="005F4E18"/>
    <w:rsid w:val="005F522A"/>
    <w:rsid w:val="005F525A"/>
    <w:rsid w:val="005F5394"/>
    <w:rsid w:val="005F548E"/>
    <w:rsid w:val="005F54AC"/>
    <w:rsid w:val="005F54F5"/>
    <w:rsid w:val="005F5594"/>
    <w:rsid w:val="005F55CA"/>
    <w:rsid w:val="005F55F9"/>
    <w:rsid w:val="005F55FD"/>
    <w:rsid w:val="005F55FF"/>
    <w:rsid w:val="005F560F"/>
    <w:rsid w:val="005F5627"/>
    <w:rsid w:val="005F575A"/>
    <w:rsid w:val="005F577E"/>
    <w:rsid w:val="005F57A0"/>
    <w:rsid w:val="005F5A74"/>
    <w:rsid w:val="005F5D84"/>
    <w:rsid w:val="005F5DA9"/>
    <w:rsid w:val="005F5E56"/>
    <w:rsid w:val="005F5EAE"/>
    <w:rsid w:val="005F5ED7"/>
    <w:rsid w:val="005F5F5D"/>
    <w:rsid w:val="005F5FF5"/>
    <w:rsid w:val="005F600F"/>
    <w:rsid w:val="005F60ED"/>
    <w:rsid w:val="005F6135"/>
    <w:rsid w:val="005F614C"/>
    <w:rsid w:val="005F619E"/>
    <w:rsid w:val="005F624E"/>
    <w:rsid w:val="005F6318"/>
    <w:rsid w:val="005F65CF"/>
    <w:rsid w:val="005F6724"/>
    <w:rsid w:val="005F6780"/>
    <w:rsid w:val="005F67BA"/>
    <w:rsid w:val="005F68FD"/>
    <w:rsid w:val="005F6997"/>
    <w:rsid w:val="005F6BC8"/>
    <w:rsid w:val="005F6D5B"/>
    <w:rsid w:val="005F6DAD"/>
    <w:rsid w:val="005F6E2F"/>
    <w:rsid w:val="005F6E51"/>
    <w:rsid w:val="005F6F90"/>
    <w:rsid w:val="005F701B"/>
    <w:rsid w:val="005F72D6"/>
    <w:rsid w:val="005F73B6"/>
    <w:rsid w:val="005F7440"/>
    <w:rsid w:val="005F74C0"/>
    <w:rsid w:val="005F7662"/>
    <w:rsid w:val="005F7699"/>
    <w:rsid w:val="005F76D6"/>
    <w:rsid w:val="005F77BA"/>
    <w:rsid w:val="005F77CC"/>
    <w:rsid w:val="005F785F"/>
    <w:rsid w:val="005F79C4"/>
    <w:rsid w:val="005F79C6"/>
    <w:rsid w:val="005F79E8"/>
    <w:rsid w:val="005F7C27"/>
    <w:rsid w:val="005F7CDC"/>
    <w:rsid w:val="005F7E58"/>
    <w:rsid w:val="005F7FF5"/>
    <w:rsid w:val="00600021"/>
    <w:rsid w:val="0060008C"/>
    <w:rsid w:val="00600678"/>
    <w:rsid w:val="006007C6"/>
    <w:rsid w:val="00600958"/>
    <w:rsid w:val="00600966"/>
    <w:rsid w:val="00600973"/>
    <w:rsid w:val="00600976"/>
    <w:rsid w:val="00600AFA"/>
    <w:rsid w:val="00600B1B"/>
    <w:rsid w:val="00600B90"/>
    <w:rsid w:val="00600B93"/>
    <w:rsid w:val="00600C62"/>
    <w:rsid w:val="00600E8C"/>
    <w:rsid w:val="00600EA0"/>
    <w:rsid w:val="00600F2A"/>
    <w:rsid w:val="00600F31"/>
    <w:rsid w:val="00600FED"/>
    <w:rsid w:val="00601033"/>
    <w:rsid w:val="00601071"/>
    <w:rsid w:val="006010C9"/>
    <w:rsid w:val="0060114C"/>
    <w:rsid w:val="006013C5"/>
    <w:rsid w:val="006015E2"/>
    <w:rsid w:val="00601763"/>
    <w:rsid w:val="00601792"/>
    <w:rsid w:val="006018E6"/>
    <w:rsid w:val="00601954"/>
    <w:rsid w:val="006019C2"/>
    <w:rsid w:val="00601AC4"/>
    <w:rsid w:val="00601B2D"/>
    <w:rsid w:val="00601D63"/>
    <w:rsid w:val="00601D64"/>
    <w:rsid w:val="00601D8C"/>
    <w:rsid w:val="00601D98"/>
    <w:rsid w:val="00601EDC"/>
    <w:rsid w:val="006020B8"/>
    <w:rsid w:val="006020BE"/>
    <w:rsid w:val="006022D7"/>
    <w:rsid w:val="00602317"/>
    <w:rsid w:val="006023B2"/>
    <w:rsid w:val="00602448"/>
    <w:rsid w:val="00602514"/>
    <w:rsid w:val="0060267F"/>
    <w:rsid w:val="0060273B"/>
    <w:rsid w:val="00602887"/>
    <w:rsid w:val="00602A29"/>
    <w:rsid w:val="00602B1A"/>
    <w:rsid w:val="00602D33"/>
    <w:rsid w:val="00602E1B"/>
    <w:rsid w:val="00602E9D"/>
    <w:rsid w:val="00602EBA"/>
    <w:rsid w:val="00602F66"/>
    <w:rsid w:val="00603118"/>
    <w:rsid w:val="00603181"/>
    <w:rsid w:val="0060318C"/>
    <w:rsid w:val="006031E7"/>
    <w:rsid w:val="00603204"/>
    <w:rsid w:val="0060320B"/>
    <w:rsid w:val="0060320D"/>
    <w:rsid w:val="006032C3"/>
    <w:rsid w:val="00603393"/>
    <w:rsid w:val="00603439"/>
    <w:rsid w:val="006035E0"/>
    <w:rsid w:val="0060362D"/>
    <w:rsid w:val="0060368B"/>
    <w:rsid w:val="00603736"/>
    <w:rsid w:val="00603871"/>
    <w:rsid w:val="0060389A"/>
    <w:rsid w:val="0060391F"/>
    <w:rsid w:val="0060395A"/>
    <w:rsid w:val="00603B39"/>
    <w:rsid w:val="00603DB9"/>
    <w:rsid w:val="00603E3B"/>
    <w:rsid w:val="00603F10"/>
    <w:rsid w:val="00603F33"/>
    <w:rsid w:val="00603F58"/>
    <w:rsid w:val="00603F67"/>
    <w:rsid w:val="006040AD"/>
    <w:rsid w:val="00604168"/>
    <w:rsid w:val="006041AC"/>
    <w:rsid w:val="006041F8"/>
    <w:rsid w:val="006042B9"/>
    <w:rsid w:val="006042D3"/>
    <w:rsid w:val="00604488"/>
    <w:rsid w:val="00604517"/>
    <w:rsid w:val="00604630"/>
    <w:rsid w:val="00604747"/>
    <w:rsid w:val="00604792"/>
    <w:rsid w:val="00604A11"/>
    <w:rsid w:val="00604AA6"/>
    <w:rsid w:val="00604ACD"/>
    <w:rsid w:val="00604B94"/>
    <w:rsid w:val="00604C6B"/>
    <w:rsid w:val="00604D4B"/>
    <w:rsid w:val="00604EED"/>
    <w:rsid w:val="00604F9E"/>
    <w:rsid w:val="00604FC5"/>
    <w:rsid w:val="006050FC"/>
    <w:rsid w:val="00605199"/>
    <w:rsid w:val="006051DA"/>
    <w:rsid w:val="006052CE"/>
    <w:rsid w:val="006053D0"/>
    <w:rsid w:val="006054D9"/>
    <w:rsid w:val="00605612"/>
    <w:rsid w:val="0060562F"/>
    <w:rsid w:val="006056DE"/>
    <w:rsid w:val="006056EF"/>
    <w:rsid w:val="0060578E"/>
    <w:rsid w:val="00605A3E"/>
    <w:rsid w:val="00605ACD"/>
    <w:rsid w:val="00605B4F"/>
    <w:rsid w:val="00605DCE"/>
    <w:rsid w:val="00605E39"/>
    <w:rsid w:val="00606119"/>
    <w:rsid w:val="0060616D"/>
    <w:rsid w:val="00606264"/>
    <w:rsid w:val="006062AE"/>
    <w:rsid w:val="006064E5"/>
    <w:rsid w:val="00606638"/>
    <w:rsid w:val="006066A9"/>
    <w:rsid w:val="006066AD"/>
    <w:rsid w:val="006066EE"/>
    <w:rsid w:val="0060673C"/>
    <w:rsid w:val="00606806"/>
    <w:rsid w:val="0060692C"/>
    <w:rsid w:val="00606A91"/>
    <w:rsid w:val="00606AE1"/>
    <w:rsid w:val="00606B9E"/>
    <w:rsid w:val="00606C26"/>
    <w:rsid w:val="00606C48"/>
    <w:rsid w:val="00606D3E"/>
    <w:rsid w:val="00606DE9"/>
    <w:rsid w:val="00606E81"/>
    <w:rsid w:val="00606F3E"/>
    <w:rsid w:val="00607301"/>
    <w:rsid w:val="00607381"/>
    <w:rsid w:val="00607388"/>
    <w:rsid w:val="00607434"/>
    <w:rsid w:val="006074A1"/>
    <w:rsid w:val="006074F8"/>
    <w:rsid w:val="00607788"/>
    <w:rsid w:val="006078A4"/>
    <w:rsid w:val="0060790C"/>
    <w:rsid w:val="00607984"/>
    <w:rsid w:val="00607A2F"/>
    <w:rsid w:val="00607A48"/>
    <w:rsid w:val="00607AEE"/>
    <w:rsid w:val="00610125"/>
    <w:rsid w:val="0061015C"/>
    <w:rsid w:val="0061020D"/>
    <w:rsid w:val="00610308"/>
    <w:rsid w:val="006103B6"/>
    <w:rsid w:val="00610494"/>
    <w:rsid w:val="006105C4"/>
    <w:rsid w:val="0061068D"/>
    <w:rsid w:val="00610738"/>
    <w:rsid w:val="00610801"/>
    <w:rsid w:val="0061081E"/>
    <w:rsid w:val="00610864"/>
    <w:rsid w:val="00610A4C"/>
    <w:rsid w:val="00610BBC"/>
    <w:rsid w:val="00610C53"/>
    <w:rsid w:val="00610F36"/>
    <w:rsid w:val="00610FB0"/>
    <w:rsid w:val="00610FDB"/>
    <w:rsid w:val="006110D7"/>
    <w:rsid w:val="0061121B"/>
    <w:rsid w:val="006112CA"/>
    <w:rsid w:val="006112FC"/>
    <w:rsid w:val="006115EF"/>
    <w:rsid w:val="006116D7"/>
    <w:rsid w:val="006117D9"/>
    <w:rsid w:val="0061180C"/>
    <w:rsid w:val="00611909"/>
    <w:rsid w:val="00611936"/>
    <w:rsid w:val="00611A58"/>
    <w:rsid w:val="00611A81"/>
    <w:rsid w:val="00611B31"/>
    <w:rsid w:val="00611E4B"/>
    <w:rsid w:val="00611E8C"/>
    <w:rsid w:val="00612005"/>
    <w:rsid w:val="0061202C"/>
    <w:rsid w:val="006123B7"/>
    <w:rsid w:val="006123E6"/>
    <w:rsid w:val="006125F3"/>
    <w:rsid w:val="0061267F"/>
    <w:rsid w:val="006126B6"/>
    <w:rsid w:val="00612735"/>
    <w:rsid w:val="006127D6"/>
    <w:rsid w:val="0061287A"/>
    <w:rsid w:val="00612935"/>
    <w:rsid w:val="006129F3"/>
    <w:rsid w:val="00612A77"/>
    <w:rsid w:val="00612AC0"/>
    <w:rsid w:val="00612BDE"/>
    <w:rsid w:val="00612C09"/>
    <w:rsid w:val="00612D3B"/>
    <w:rsid w:val="00612DC7"/>
    <w:rsid w:val="00612E6A"/>
    <w:rsid w:val="00612E70"/>
    <w:rsid w:val="00612E82"/>
    <w:rsid w:val="00612FB3"/>
    <w:rsid w:val="00613025"/>
    <w:rsid w:val="0061308C"/>
    <w:rsid w:val="006131BA"/>
    <w:rsid w:val="0061330B"/>
    <w:rsid w:val="00613435"/>
    <w:rsid w:val="00613535"/>
    <w:rsid w:val="0061355A"/>
    <w:rsid w:val="0061368D"/>
    <w:rsid w:val="006136A6"/>
    <w:rsid w:val="0061389F"/>
    <w:rsid w:val="006138B0"/>
    <w:rsid w:val="006139B9"/>
    <w:rsid w:val="00613B3A"/>
    <w:rsid w:val="00613B4A"/>
    <w:rsid w:val="00613BA7"/>
    <w:rsid w:val="00613EB5"/>
    <w:rsid w:val="00613F80"/>
    <w:rsid w:val="00613FA1"/>
    <w:rsid w:val="00613FFA"/>
    <w:rsid w:val="00614046"/>
    <w:rsid w:val="00614132"/>
    <w:rsid w:val="0061416A"/>
    <w:rsid w:val="00614191"/>
    <w:rsid w:val="006141B8"/>
    <w:rsid w:val="00614243"/>
    <w:rsid w:val="0061429C"/>
    <w:rsid w:val="0061444C"/>
    <w:rsid w:val="0061455C"/>
    <w:rsid w:val="006145A6"/>
    <w:rsid w:val="0061477E"/>
    <w:rsid w:val="006147ED"/>
    <w:rsid w:val="00614BD5"/>
    <w:rsid w:val="00614C26"/>
    <w:rsid w:val="00614D3D"/>
    <w:rsid w:val="00615038"/>
    <w:rsid w:val="0061531D"/>
    <w:rsid w:val="0061536C"/>
    <w:rsid w:val="0061548C"/>
    <w:rsid w:val="00615583"/>
    <w:rsid w:val="00615680"/>
    <w:rsid w:val="0061570A"/>
    <w:rsid w:val="0061575E"/>
    <w:rsid w:val="00615777"/>
    <w:rsid w:val="0061598C"/>
    <w:rsid w:val="00615A33"/>
    <w:rsid w:val="00615AA3"/>
    <w:rsid w:val="00615C4A"/>
    <w:rsid w:val="00615DB2"/>
    <w:rsid w:val="00615E50"/>
    <w:rsid w:val="0061600C"/>
    <w:rsid w:val="00616065"/>
    <w:rsid w:val="00616080"/>
    <w:rsid w:val="006160CB"/>
    <w:rsid w:val="00616142"/>
    <w:rsid w:val="006161B3"/>
    <w:rsid w:val="006161BC"/>
    <w:rsid w:val="00616308"/>
    <w:rsid w:val="006163A2"/>
    <w:rsid w:val="006163DB"/>
    <w:rsid w:val="0061645E"/>
    <w:rsid w:val="006164BB"/>
    <w:rsid w:val="006164D9"/>
    <w:rsid w:val="0061654E"/>
    <w:rsid w:val="006165AB"/>
    <w:rsid w:val="006165C4"/>
    <w:rsid w:val="00616665"/>
    <w:rsid w:val="00616808"/>
    <w:rsid w:val="00616839"/>
    <w:rsid w:val="00616849"/>
    <w:rsid w:val="006168ED"/>
    <w:rsid w:val="00616A92"/>
    <w:rsid w:val="00616AEE"/>
    <w:rsid w:val="00616B07"/>
    <w:rsid w:val="00616BB8"/>
    <w:rsid w:val="00616C22"/>
    <w:rsid w:val="00616C5B"/>
    <w:rsid w:val="00616D28"/>
    <w:rsid w:val="00616E61"/>
    <w:rsid w:val="00616FB2"/>
    <w:rsid w:val="00616FB8"/>
    <w:rsid w:val="00617005"/>
    <w:rsid w:val="0061700A"/>
    <w:rsid w:val="00617152"/>
    <w:rsid w:val="00617167"/>
    <w:rsid w:val="00617186"/>
    <w:rsid w:val="006174F0"/>
    <w:rsid w:val="006175C6"/>
    <w:rsid w:val="00617611"/>
    <w:rsid w:val="0061787D"/>
    <w:rsid w:val="00617AE1"/>
    <w:rsid w:val="00617B1D"/>
    <w:rsid w:val="00617B3B"/>
    <w:rsid w:val="00617BC4"/>
    <w:rsid w:val="00617C15"/>
    <w:rsid w:val="00617C7E"/>
    <w:rsid w:val="00617CC4"/>
    <w:rsid w:val="00617CCF"/>
    <w:rsid w:val="00617DAE"/>
    <w:rsid w:val="00617E16"/>
    <w:rsid w:val="00617F11"/>
    <w:rsid w:val="00620061"/>
    <w:rsid w:val="00620066"/>
    <w:rsid w:val="00620285"/>
    <w:rsid w:val="00620489"/>
    <w:rsid w:val="00620522"/>
    <w:rsid w:val="00620588"/>
    <w:rsid w:val="00620599"/>
    <w:rsid w:val="00620696"/>
    <w:rsid w:val="006207CE"/>
    <w:rsid w:val="0062082F"/>
    <w:rsid w:val="006209AC"/>
    <w:rsid w:val="006209AE"/>
    <w:rsid w:val="006209C6"/>
    <w:rsid w:val="00620A6C"/>
    <w:rsid w:val="00620BA9"/>
    <w:rsid w:val="00620CE0"/>
    <w:rsid w:val="00620EAF"/>
    <w:rsid w:val="00620EE5"/>
    <w:rsid w:val="00620EEF"/>
    <w:rsid w:val="00620FF6"/>
    <w:rsid w:val="006210AC"/>
    <w:rsid w:val="006210CB"/>
    <w:rsid w:val="00621260"/>
    <w:rsid w:val="006212A0"/>
    <w:rsid w:val="00621637"/>
    <w:rsid w:val="00621795"/>
    <w:rsid w:val="006218AE"/>
    <w:rsid w:val="00621939"/>
    <w:rsid w:val="00621954"/>
    <w:rsid w:val="0062197B"/>
    <w:rsid w:val="00621984"/>
    <w:rsid w:val="00621986"/>
    <w:rsid w:val="006219E2"/>
    <w:rsid w:val="00621A2C"/>
    <w:rsid w:val="00621E4A"/>
    <w:rsid w:val="00621EC5"/>
    <w:rsid w:val="006221E0"/>
    <w:rsid w:val="00622285"/>
    <w:rsid w:val="0062229F"/>
    <w:rsid w:val="00622379"/>
    <w:rsid w:val="0062263E"/>
    <w:rsid w:val="00622864"/>
    <w:rsid w:val="006228C6"/>
    <w:rsid w:val="00622A6C"/>
    <w:rsid w:val="00622A6D"/>
    <w:rsid w:val="00622B45"/>
    <w:rsid w:val="00622B86"/>
    <w:rsid w:val="00622C86"/>
    <w:rsid w:val="00622DDC"/>
    <w:rsid w:val="00622F9E"/>
    <w:rsid w:val="00623150"/>
    <w:rsid w:val="00623151"/>
    <w:rsid w:val="0062336C"/>
    <w:rsid w:val="0062340E"/>
    <w:rsid w:val="006234A3"/>
    <w:rsid w:val="00623536"/>
    <w:rsid w:val="00623590"/>
    <w:rsid w:val="006237D2"/>
    <w:rsid w:val="00623825"/>
    <w:rsid w:val="00623912"/>
    <w:rsid w:val="006239AD"/>
    <w:rsid w:val="00623A00"/>
    <w:rsid w:val="00623A38"/>
    <w:rsid w:val="00623B45"/>
    <w:rsid w:val="00623C62"/>
    <w:rsid w:val="00623CA6"/>
    <w:rsid w:val="00623EFB"/>
    <w:rsid w:val="00624257"/>
    <w:rsid w:val="006243B5"/>
    <w:rsid w:val="006244AE"/>
    <w:rsid w:val="006244F7"/>
    <w:rsid w:val="0062467D"/>
    <w:rsid w:val="0062473E"/>
    <w:rsid w:val="0062496E"/>
    <w:rsid w:val="0062499E"/>
    <w:rsid w:val="00624AD3"/>
    <w:rsid w:val="00624B86"/>
    <w:rsid w:val="00624C5E"/>
    <w:rsid w:val="00624CDC"/>
    <w:rsid w:val="00624E0A"/>
    <w:rsid w:val="00625117"/>
    <w:rsid w:val="0062514C"/>
    <w:rsid w:val="00625194"/>
    <w:rsid w:val="0062531D"/>
    <w:rsid w:val="00625380"/>
    <w:rsid w:val="0062539B"/>
    <w:rsid w:val="006253C9"/>
    <w:rsid w:val="00625434"/>
    <w:rsid w:val="0062548A"/>
    <w:rsid w:val="006255D1"/>
    <w:rsid w:val="0062566C"/>
    <w:rsid w:val="0062567D"/>
    <w:rsid w:val="006256D5"/>
    <w:rsid w:val="006259CD"/>
    <w:rsid w:val="00625B0D"/>
    <w:rsid w:val="00625E4C"/>
    <w:rsid w:val="00625EA3"/>
    <w:rsid w:val="00625F94"/>
    <w:rsid w:val="00625F9D"/>
    <w:rsid w:val="00625FBE"/>
    <w:rsid w:val="00625FF2"/>
    <w:rsid w:val="0062611A"/>
    <w:rsid w:val="006261FD"/>
    <w:rsid w:val="006268FE"/>
    <w:rsid w:val="00626957"/>
    <w:rsid w:val="00626ED2"/>
    <w:rsid w:val="00626F20"/>
    <w:rsid w:val="00626FD8"/>
    <w:rsid w:val="006270CE"/>
    <w:rsid w:val="006271D9"/>
    <w:rsid w:val="006272EF"/>
    <w:rsid w:val="006273D2"/>
    <w:rsid w:val="00627533"/>
    <w:rsid w:val="0062763B"/>
    <w:rsid w:val="00627661"/>
    <w:rsid w:val="006277B6"/>
    <w:rsid w:val="00627914"/>
    <w:rsid w:val="006279C9"/>
    <w:rsid w:val="006279DA"/>
    <w:rsid w:val="00627A2C"/>
    <w:rsid w:val="00627A68"/>
    <w:rsid w:val="00627A7B"/>
    <w:rsid w:val="00627C26"/>
    <w:rsid w:val="00627D5A"/>
    <w:rsid w:val="00627D5C"/>
    <w:rsid w:val="00627D8B"/>
    <w:rsid w:val="00627E01"/>
    <w:rsid w:val="00627E74"/>
    <w:rsid w:val="00627E7C"/>
    <w:rsid w:val="0063006D"/>
    <w:rsid w:val="006300DD"/>
    <w:rsid w:val="0063013F"/>
    <w:rsid w:val="006301EF"/>
    <w:rsid w:val="006302CE"/>
    <w:rsid w:val="0063031E"/>
    <w:rsid w:val="006305FB"/>
    <w:rsid w:val="00630610"/>
    <w:rsid w:val="006307A1"/>
    <w:rsid w:val="0063082B"/>
    <w:rsid w:val="00630882"/>
    <w:rsid w:val="0063096C"/>
    <w:rsid w:val="00630A63"/>
    <w:rsid w:val="00630A6E"/>
    <w:rsid w:val="00630C63"/>
    <w:rsid w:val="00630D73"/>
    <w:rsid w:val="00630DAC"/>
    <w:rsid w:val="00630DBD"/>
    <w:rsid w:val="00630DE2"/>
    <w:rsid w:val="00630DFD"/>
    <w:rsid w:val="00630FCC"/>
    <w:rsid w:val="00630FE3"/>
    <w:rsid w:val="0063116F"/>
    <w:rsid w:val="0063134A"/>
    <w:rsid w:val="006313ED"/>
    <w:rsid w:val="00631432"/>
    <w:rsid w:val="006314A5"/>
    <w:rsid w:val="00631843"/>
    <w:rsid w:val="006318E0"/>
    <w:rsid w:val="00631A00"/>
    <w:rsid w:val="00631B1A"/>
    <w:rsid w:val="00631C08"/>
    <w:rsid w:val="00631D2F"/>
    <w:rsid w:val="00631D58"/>
    <w:rsid w:val="00631D61"/>
    <w:rsid w:val="00631DEB"/>
    <w:rsid w:val="00631DF7"/>
    <w:rsid w:val="00631E0E"/>
    <w:rsid w:val="00631E13"/>
    <w:rsid w:val="00631EC9"/>
    <w:rsid w:val="0063204F"/>
    <w:rsid w:val="0063217A"/>
    <w:rsid w:val="00632184"/>
    <w:rsid w:val="006323F3"/>
    <w:rsid w:val="00632439"/>
    <w:rsid w:val="006324E0"/>
    <w:rsid w:val="0063258C"/>
    <w:rsid w:val="0063270C"/>
    <w:rsid w:val="006327A3"/>
    <w:rsid w:val="006327F6"/>
    <w:rsid w:val="00632A19"/>
    <w:rsid w:val="00632A4E"/>
    <w:rsid w:val="00632BAF"/>
    <w:rsid w:val="00632BD4"/>
    <w:rsid w:val="00632C4C"/>
    <w:rsid w:val="00632C7F"/>
    <w:rsid w:val="00632CE3"/>
    <w:rsid w:val="00632D61"/>
    <w:rsid w:val="00632D77"/>
    <w:rsid w:val="00632E4D"/>
    <w:rsid w:val="00632F6A"/>
    <w:rsid w:val="006330D3"/>
    <w:rsid w:val="00633242"/>
    <w:rsid w:val="0063325F"/>
    <w:rsid w:val="006332DF"/>
    <w:rsid w:val="00633332"/>
    <w:rsid w:val="0063335E"/>
    <w:rsid w:val="006333AD"/>
    <w:rsid w:val="0063346D"/>
    <w:rsid w:val="0063358D"/>
    <w:rsid w:val="00633614"/>
    <w:rsid w:val="0063361D"/>
    <w:rsid w:val="00633690"/>
    <w:rsid w:val="006336F2"/>
    <w:rsid w:val="0063372E"/>
    <w:rsid w:val="006337E3"/>
    <w:rsid w:val="00633896"/>
    <w:rsid w:val="006338C1"/>
    <w:rsid w:val="006339B0"/>
    <w:rsid w:val="00633B29"/>
    <w:rsid w:val="00633C10"/>
    <w:rsid w:val="00633C51"/>
    <w:rsid w:val="00633CA5"/>
    <w:rsid w:val="00633CAD"/>
    <w:rsid w:val="00633DAE"/>
    <w:rsid w:val="00633E5C"/>
    <w:rsid w:val="00633FCA"/>
    <w:rsid w:val="0063407E"/>
    <w:rsid w:val="00634099"/>
    <w:rsid w:val="006340A1"/>
    <w:rsid w:val="00634340"/>
    <w:rsid w:val="00634343"/>
    <w:rsid w:val="00634550"/>
    <w:rsid w:val="006345F8"/>
    <w:rsid w:val="0063463A"/>
    <w:rsid w:val="00634677"/>
    <w:rsid w:val="0063488E"/>
    <w:rsid w:val="006348BD"/>
    <w:rsid w:val="006348F4"/>
    <w:rsid w:val="00634957"/>
    <w:rsid w:val="00634977"/>
    <w:rsid w:val="00634B31"/>
    <w:rsid w:val="00634BD9"/>
    <w:rsid w:val="00634D66"/>
    <w:rsid w:val="00634D6B"/>
    <w:rsid w:val="00634DC4"/>
    <w:rsid w:val="00634DC5"/>
    <w:rsid w:val="00634DC9"/>
    <w:rsid w:val="00634FC9"/>
    <w:rsid w:val="00634FEA"/>
    <w:rsid w:val="00635153"/>
    <w:rsid w:val="00635216"/>
    <w:rsid w:val="00635218"/>
    <w:rsid w:val="00635363"/>
    <w:rsid w:val="006353E4"/>
    <w:rsid w:val="006354DA"/>
    <w:rsid w:val="006355C0"/>
    <w:rsid w:val="00635633"/>
    <w:rsid w:val="0063584F"/>
    <w:rsid w:val="0063592E"/>
    <w:rsid w:val="00635A31"/>
    <w:rsid w:val="00635AA6"/>
    <w:rsid w:val="00635AE9"/>
    <w:rsid w:val="00635B56"/>
    <w:rsid w:val="00635B6C"/>
    <w:rsid w:val="00635C63"/>
    <w:rsid w:val="00635D26"/>
    <w:rsid w:val="00635D6C"/>
    <w:rsid w:val="00635E2A"/>
    <w:rsid w:val="00635EFC"/>
    <w:rsid w:val="0063610B"/>
    <w:rsid w:val="0063613E"/>
    <w:rsid w:val="0063617F"/>
    <w:rsid w:val="00636184"/>
    <w:rsid w:val="006361B1"/>
    <w:rsid w:val="006361BD"/>
    <w:rsid w:val="006361E2"/>
    <w:rsid w:val="00636264"/>
    <w:rsid w:val="00636356"/>
    <w:rsid w:val="00636365"/>
    <w:rsid w:val="006363BD"/>
    <w:rsid w:val="006363BE"/>
    <w:rsid w:val="006364D4"/>
    <w:rsid w:val="00636646"/>
    <w:rsid w:val="00636674"/>
    <w:rsid w:val="006366F7"/>
    <w:rsid w:val="006367FD"/>
    <w:rsid w:val="00636873"/>
    <w:rsid w:val="00636893"/>
    <w:rsid w:val="0063695F"/>
    <w:rsid w:val="0063696B"/>
    <w:rsid w:val="00636989"/>
    <w:rsid w:val="00636AF1"/>
    <w:rsid w:val="00636F0A"/>
    <w:rsid w:val="006370A7"/>
    <w:rsid w:val="006370BA"/>
    <w:rsid w:val="006370C4"/>
    <w:rsid w:val="00637106"/>
    <w:rsid w:val="006373D5"/>
    <w:rsid w:val="00637430"/>
    <w:rsid w:val="00637480"/>
    <w:rsid w:val="0063748E"/>
    <w:rsid w:val="006374E2"/>
    <w:rsid w:val="006374EF"/>
    <w:rsid w:val="00637548"/>
    <w:rsid w:val="0063754B"/>
    <w:rsid w:val="006375B1"/>
    <w:rsid w:val="006375B8"/>
    <w:rsid w:val="006376BB"/>
    <w:rsid w:val="006378BF"/>
    <w:rsid w:val="00637927"/>
    <w:rsid w:val="0063797A"/>
    <w:rsid w:val="0063797B"/>
    <w:rsid w:val="00637A50"/>
    <w:rsid w:val="00637B5D"/>
    <w:rsid w:val="00637CC2"/>
    <w:rsid w:val="00637D2B"/>
    <w:rsid w:val="00637D89"/>
    <w:rsid w:val="00637D93"/>
    <w:rsid w:val="00637D9C"/>
    <w:rsid w:val="00637E92"/>
    <w:rsid w:val="00640078"/>
    <w:rsid w:val="00640261"/>
    <w:rsid w:val="00640672"/>
    <w:rsid w:val="00640858"/>
    <w:rsid w:val="0064087B"/>
    <w:rsid w:val="0064093B"/>
    <w:rsid w:val="006409A9"/>
    <w:rsid w:val="006409CA"/>
    <w:rsid w:val="00640AB3"/>
    <w:rsid w:val="00640AC0"/>
    <w:rsid w:val="00640BC0"/>
    <w:rsid w:val="00640BC8"/>
    <w:rsid w:val="00640DCD"/>
    <w:rsid w:val="00640DEA"/>
    <w:rsid w:val="00640E43"/>
    <w:rsid w:val="00640EFC"/>
    <w:rsid w:val="0064105B"/>
    <w:rsid w:val="00641089"/>
    <w:rsid w:val="00641184"/>
    <w:rsid w:val="00641254"/>
    <w:rsid w:val="0064125A"/>
    <w:rsid w:val="00641291"/>
    <w:rsid w:val="00641403"/>
    <w:rsid w:val="0064155E"/>
    <w:rsid w:val="0064166B"/>
    <w:rsid w:val="00641805"/>
    <w:rsid w:val="006418A6"/>
    <w:rsid w:val="006418EA"/>
    <w:rsid w:val="00641BE1"/>
    <w:rsid w:val="00641D6D"/>
    <w:rsid w:val="00641DE6"/>
    <w:rsid w:val="00641DE9"/>
    <w:rsid w:val="00641E1A"/>
    <w:rsid w:val="00641E9F"/>
    <w:rsid w:val="00641FB3"/>
    <w:rsid w:val="006420A3"/>
    <w:rsid w:val="006420BA"/>
    <w:rsid w:val="0064221E"/>
    <w:rsid w:val="00642271"/>
    <w:rsid w:val="0064227E"/>
    <w:rsid w:val="00642323"/>
    <w:rsid w:val="00642445"/>
    <w:rsid w:val="00642480"/>
    <w:rsid w:val="0064248A"/>
    <w:rsid w:val="00642623"/>
    <w:rsid w:val="0064265A"/>
    <w:rsid w:val="006426AB"/>
    <w:rsid w:val="00642757"/>
    <w:rsid w:val="00642855"/>
    <w:rsid w:val="006429F0"/>
    <w:rsid w:val="006429F7"/>
    <w:rsid w:val="00642B9B"/>
    <w:rsid w:val="00642C51"/>
    <w:rsid w:val="00642D17"/>
    <w:rsid w:val="00642D32"/>
    <w:rsid w:val="00643183"/>
    <w:rsid w:val="0064322A"/>
    <w:rsid w:val="00643256"/>
    <w:rsid w:val="00643300"/>
    <w:rsid w:val="00643342"/>
    <w:rsid w:val="00643437"/>
    <w:rsid w:val="0064343B"/>
    <w:rsid w:val="0064358A"/>
    <w:rsid w:val="006435D7"/>
    <w:rsid w:val="00643647"/>
    <w:rsid w:val="006437B0"/>
    <w:rsid w:val="006437B4"/>
    <w:rsid w:val="006437B5"/>
    <w:rsid w:val="00643A0A"/>
    <w:rsid w:val="00643B15"/>
    <w:rsid w:val="00643DA3"/>
    <w:rsid w:val="00643E0F"/>
    <w:rsid w:val="00643FCB"/>
    <w:rsid w:val="0064401A"/>
    <w:rsid w:val="0064401D"/>
    <w:rsid w:val="0064422A"/>
    <w:rsid w:val="00644265"/>
    <w:rsid w:val="00644280"/>
    <w:rsid w:val="00644373"/>
    <w:rsid w:val="00644382"/>
    <w:rsid w:val="006443C0"/>
    <w:rsid w:val="006443C1"/>
    <w:rsid w:val="006444BB"/>
    <w:rsid w:val="00644513"/>
    <w:rsid w:val="0064457B"/>
    <w:rsid w:val="00644640"/>
    <w:rsid w:val="006446A4"/>
    <w:rsid w:val="0064486F"/>
    <w:rsid w:val="00644A43"/>
    <w:rsid w:val="00644AE9"/>
    <w:rsid w:val="00644BCD"/>
    <w:rsid w:val="00644C6F"/>
    <w:rsid w:val="00644CB1"/>
    <w:rsid w:val="00644D01"/>
    <w:rsid w:val="00644E23"/>
    <w:rsid w:val="00644E86"/>
    <w:rsid w:val="00644E9A"/>
    <w:rsid w:val="00644F31"/>
    <w:rsid w:val="00644FB0"/>
    <w:rsid w:val="00645079"/>
    <w:rsid w:val="00645126"/>
    <w:rsid w:val="006451EF"/>
    <w:rsid w:val="00645258"/>
    <w:rsid w:val="00645367"/>
    <w:rsid w:val="006453F1"/>
    <w:rsid w:val="0064552F"/>
    <w:rsid w:val="00645687"/>
    <w:rsid w:val="0064575D"/>
    <w:rsid w:val="006457DB"/>
    <w:rsid w:val="00645890"/>
    <w:rsid w:val="006458EA"/>
    <w:rsid w:val="00645931"/>
    <w:rsid w:val="006459D0"/>
    <w:rsid w:val="006459E0"/>
    <w:rsid w:val="00645A32"/>
    <w:rsid w:val="00645A56"/>
    <w:rsid w:val="00645B01"/>
    <w:rsid w:val="00645CAF"/>
    <w:rsid w:val="00645E63"/>
    <w:rsid w:val="00645F15"/>
    <w:rsid w:val="00645F91"/>
    <w:rsid w:val="00645FDF"/>
    <w:rsid w:val="00646024"/>
    <w:rsid w:val="006460C6"/>
    <w:rsid w:val="006460C9"/>
    <w:rsid w:val="00646219"/>
    <w:rsid w:val="0064634D"/>
    <w:rsid w:val="00646356"/>
    <w:rsid w:val="006463BD"/>
    <w:rsid w:val="0064648E"/>
    <w:rsid w:val="006464CD"/>
    <w:rsid w:val="006465E1"/>
    <w:rsid w:val="00646627"/>
    <w:rsid w:val="0064666F"/>
    <w:rsid w:val="00646690"/>
    <w:rsid w:val="00646791"/>
    <w:rsid w:val="00646915"/>
    <w:rsid w:val="0064697E"/>
    <w:rsid w:val="00646995"/>
    <w:rsid w:val="00646B07"/>
    <w:rsid w:val="00646B0C"/>
    <w:rsid w:val="00646BB2"/>
    <w:rsid w:val="00646BCF"/>
    <w:rsid w:val="00646D01"/>
    <w:rsid w:val="00646E04"/>
    <w:rsid w:val="00646EA6"/>
    <w:rsid w:val="00646F20"/>
    <w:rsid w:val="00647029"/>
    <w:rsid w:val="006470E1"/>
    <w:rsid w:val="0064718C"/>
    <w:rsid w:val="00647371"/>
    <w:rsid w:val="00647444"/>
    <w:rsid w:val="006475C8"/>
    <w:rsid w:val="0064778C"/>
    <w:rsid w:val="00647825"/>
    <w:rsid w:val="00647878"/>
    <w:rsid w:val="00647941"/>
    <w:rsid w:val="006479D4"/>
    <w:rsid w:val="006479D6"/>
    <w:rsid w:val="00647AB8"/>
    <w:rsid w:val="00647B60"/>
    <w:rsid w:val="00647BC7"/>
    <w:rsid w:val="00647C72"/>
    <w:rsid w:val="00647D02"/>
    <w:rsid w:val="00647D76"/>
    <w:rsid w:val="00647D79"/>
    <w:rsid w:val="00647D9C"/>
    <w:rsid w:val="00647F61"/>
    <w:rsid w:val="00647F80"/>
    <w:rsid w:val="00650323"/>
    <w:rsid w:val="00650472"/>
    <w:rsid w:val="006504C3"/>
    <w:rsid w:val="006506AA"/>
    <w:rsid w:val="00650792"/>
    <w:rsid w:val="006508E8"/>
    <w:rsid w:val="00650A9E"/>
    <w:rsid w:val="00650BA5"/>
    <w:rsid w:val="00650C06"/>
    <w:rsid w:val="00650C5B"/>
    <w:rsid w:val="00650D6F"/>
    <w:rsid w:val="00650D85"/>
    <w:rsid w:val="00650DB4"/>
    <w:rsid w:val="00650DC6"/>
    <w:rsid w:val="00650E2C"/>
    <w:rsid w:val="0065111C"/>
    <w:rsid w:val="00651182"/>
    <w:rsid w:val="00651322"/>
    <w:rsid w:val="00651561"/>
    <w:rsid w:val="006516A2"/>
    <w:rsid w:val="00651766"/>
    <w:rsid w:val="00651896"/>
    <w:rsid w:val="006518A8"/>
    <w:rsid w:val="00651904"/>
    <w:rsid w:val="00651958"/>
    <w:rsid w:val="0065195A"/>
    <w:rsid w:val="00651A11"/>
    <w:rsid w:val="00651A33"/>
    <w:rsid w:val="00651A6E"/>
    <w:rsid w:val="00651B46"/>
    <w:rsid w:val="00651C4D"/>
    <w:rsid w:val="00651C82"/>
    <w:rsid w:val="00651D9D"/>
    <w:rsid w:val="00651E19"/>
    <w:rsid w:val="00651EEE"/>
    <w:rsid w:val="00651FF8"/>
    <w:rsid w:val="00652013"/>
    <w:rsid w:val="006521DA"/>
    <w:rsid w:val="00652389"/>
    <w:rsid w:val="006523BF"/>
    <w:rsid w:val="006523ED"/>
    <w:rsid w:val="00652411"/>
    <w:rsid w:val="006524DC"/>
    <w:rsid w:val="006526BF"/>
    <w:rsid w:val="006526F8"/>
    <w:rsid w:val="00652709"/>
    <w:rsid w:val="006528C9"/>
    <w:rsid w:val="006529F2"/>
    <w:rsid w:val="00652A9D"/>
    <w:rsid w:val="00652BAA"/>
    <w:rsid w:val="00652CE0"/>
    <w:rsid w:val="00653030"/>
    <w:rsid w:val="00653056"/>
    <w:rsid w:val="00653127"/>
    <w:rsid w:val="00653136"/>
    <w:rsid w:val="00653337"/>
    <w:rsid w:val="006533F2"/>
    <w:rsid w:val="00653407"/>
    <w:rsid w:val="0065356E"/>
    <w:rsid w:val="0065359B"/>
    <w:rsid w:val="006536DD"/>
    <w:rsid w:val="006538A9"/>
    <w:rsid w:val="006538E8"/>
    <w:rsid w:val="006538F1"/>
    <w:rsid w:val="00653A5E"/>
    <w:rsid w:val="00653B45"/>
    <w:rsid w:val="00653B84"/>
    <w:rsid w:val="00653BA0"/>
    <w:rsid w:val="00653D38"/>
    <w:rsid w:val="00653D6C"/>
    <w:rsid w:val="00653ED7"/>
    <w:rsid w:val="00653FB2"/>
    <w:rsid w:val="006540CD"/>
    <w:rsid w:val="0065412A"/>
    <w:rsid w:val="006541E9"/>
    <w:rsid w:val="0065422E"/>
    <w:rsid w:val="0065455D"/>
    <w:rsid w:val="0065460E"/>
    <w:rsid w:val="00654632"/>
    <w:rsid w:val="006547A2"/>
    <w:rsid w:val="00654889"/>
    <w:rsid w:val="00654A9E"/>
    <w:rsid w:val="00654CC8"/>
    <w:rsid w:val="00654D00"/>
    <w:rsid w:val="00654D34"/>
    <w:rsid w:val="00654DA1"/>
    <w:rsid w:val="00654EF5"/>
    <w:rsid w:val="00655117"/>
    <w:rsid w:val="00655161"/>
    <w:rsid w:val="006552E7"/>
    <w:rsid w:val="006553CD"/>
    <w:rsid w:val="00655501"/>
    <w:rsid w:val="006556BD"/>
    <w:rsid w:val="006556F7"/>
    <w:rsid w:val="0065577B"/>
    <w:rsid w:val="00655945"/>
    <w:rsid w:val="00655954"/>
    <w:rsid w:val="00655A9B"/>
    <w:rsid w:val="00655AB9"/>
    <w:rsid w:val="00655B63"/>
    <w:rsid w:val="00655BB8"/>
    <w:rsid w:val="00655DAB"/>
    <w:rsid w:val="00655E10"/>
    <w:rsid w:val="00655F02"/>
    <w:rsid w:val="006560BC"/>
    <w:rsid w:val="00656188"/>
    <w:rsid w:val="006562BB"/>
    <w:rsid w:val="00656308"/>
    <w:rsid w:val="006563A0"/>
    <w:rsid w:val="00656465"/>
    <w:rsid w:val="006564CB"/>
    <w:rsid w:val="006564CF"/>
    <w:rsid w:val="00656591"/>
    <w:rsid w:val="00656674"/>
    <w:rsid w:val="00656749"/>
    <w:rsid w:val="00656790"/>
    <w:rsid w:val="006568E4"/>
    <w:rsid w:val="00656A6D"/>
    <w:rsid w:val="00656B6E"/>
    <w:rsid w:val="00656BED"/>
    <w:rsid w:val="00656CFE"/>
    <w:rsid w:val="00656D99"/>
    <w:rsid w:val="00656DF5"/>
    <w:rsid w:val="00656DFA"/>
    <w:rsid w:val="00656EBF"/>
    <w:rsid w:val="00656EC2"/>
    <w:rsid w:val="00657136"/>
    <w:rsid w:val="00657225"/>
    <w:rsid w:val="00657262"/>
    <w:rsid w:val="00657289"/>
    <w:rsid w:val="00657390"/>
    <w:rsid w:val="0065744A"/>
    <w:rsid w:val="006574AB"/>
    <w:rsid w:val="0065750E"/>
    <w:rsid w:val="006575A2"/>
    <w:rsid w:val="00657649"/>
    <w:rsid w:val="0065774B"/>
    <w:rsid w:val="00657887"/>
    <w:rsid w:val="006579D9"/>
    <w:rsid w:val="00657BCC"/>
    <w:rsid w:val="00657BFC"/>
    <w:rsid w:val="00657C07"/>
    <w:rsid w:val="00657C99"/>
    <w:rsid w:val="00657D9E"/>
    <w:rsid w:val="00657E10"/>
    <w:rsid w:val="00657E49"/>
    <w:rsid w:val="00657EFB"/>
    <w:rsid w:val="00657F49"/>
    <w:rsid w:val="00657FCD"/>
    <w:rsid w:val="00657FD2"/>
    <w:rsid w:val="00660009"/>
    <w:rsid w:val="00660069"/>
    <w:rsid w:val="00660131"/>
    <w:rsid w:val="0066029A"/>
    <w:rsid w:val="0066032E"/>
    <w:rsid w:val="006603C3"/>
    <w:rsid w:val="00660478"/>
    <w:rsid w:val="006606D4"/>
    <w:rsid w:val="0066080E"/>
    <w:rsid w:val="00660877"/>
    <w:rsid w:val="006608AD"/>
    <w:rsid w:val="00660946"/>
    <w:rsid w:val="00660968"/>
    <w:rsid w:val="006609EB"/>
    <w:rsid w:val="00660A6F"/>
    <w:rsid w:val="00660C46"/>
    <w:rsid w:val="00660C4D"/>
    <w:rsid w:val="00660CC1"/>
    <w:rsid w:val="00661241"/>
    <w:rsid w:val="00661341"/>
    <w:rsid w:val="00661379"/>
    <w:rsid w:val="0066145E"/>
    <w:rsid w:val="00661460"/>
    <w:rsid w:val="00661585"/>
    <w:rsid w:val="006616CD"/>
    <w:rsid w:val="006616EB"/>
    <w:rsid w:val="0066179F"/>
    <w:rsid w:val="0066183D"/>
    <w:rsid w:val="00661871"/>
    <w:rsid w:val="00661893"/>
    <w:rsid w:val="006618E8"/>
    <w:rsid w:val="00661967"/>
    <w:rsid w:val="006619A9"/>
    <w:rsid w:val="006619FB"/>
    <w:rsid w:val="00661B12"/>
    <w:rsid w:val="00661C9A"/>
    <w:rsid w:val="00661D2B"/>
    <w:rsid w:val="00661D7E"/>
    <w:rsid w:val="00661E62"/>
    <w:rsid w:val="00661EA0"/>
    <w:rsid w:val="00661EFA"/>
    <w:rsid w:val="0066207A"/>
    <w:rsid w:val="0066223C"/>
    <w:rsid w:val="00662261"/>
    <w:rsid w:val="00662344"/>
    <w:rsid w:val="00662397"/>
    <w:rsid w:val="006625A6"/>
    <w:rsid w:val="006625EE"/>
    <w:rsid w:val="00662815"/>
    <w:rsid w:val="0066283D"/>
    <w:rsid w:val="006628C5"/>
    <w:rsid w:val="0066294A"/>
    <w:rsid w:val="00662970"/>
    <w:rsid w:val="00662A5A"/>
    <w:rsid w:val="00662AC2"/>
    <w:rsid w:val="00662B5E"/>
    <w:rsid w:val="00662B9A"/>
    <w:rsid w:val="00662CD9"/>
    <w:rsid w:val="00662D33"/>
    <w:rsid w:val="00662DA4"/>
    <w:rsid w:val="00662DC2"/>
    <w:rsid w:val="00662E3A"/>
    <w:rsid w:val="00662EE1"/>
    <w:rsid w:val="00662EFF"/>
    <w:rsid w:val="00662FB0"/>
    <w:rsid w:val="00663095"/>
    <w:rsid w:val="0066309B"/>
    <w:rsid w:val="006630D8"/>
    <w:rsid w:val="00663115"/>
    <w:rsid w:val="0066314E"/>
    <w:rsid w:val="0066336C"/>
    <w:rsid w:val="006633CB"/>
    <w:rsid w:val="006637EC"/>
    <w:rsid w:val="0066380C"/>
    <w:rsid w:val="006638DD"/>
    <w:rsid w:val="00663987"/>
    <w:rsid w:val="006639CB"/>
    <w:rsid w:val="00663B27"/>
    <w:rsid w:val="00663B71"/>
    <w:rsid w:val="00663C8D"/>
    <w:rsid w:val="00663D07"/>
    <w:rsid w:val="00663DF6"/>
    <w:rsid w:val="00663E30"/>
    <w:rsid w:val="00663E66"/>
    <w:rsid w:val="00663E77"/>
    <w:rsid w:val="00663EC8"/>
    <w:rsid w:val="00663F31"/>
    <w:rsid w:val="00663F8A"/>
    <w:rsid w:val="0066404A"/>
    <w:rsid w:val="006641FD"/>
    <w:rsid w:val="0066437A"/>
    <w:rsid w:val="006643D8"/>
    <w:rsid w:val="006644FE"/>
    <w:rsid w:val="0066452C"/>
    <w:rsid w:val="00664534"/>
    <w:rsid w:val="00664633"/>
    <w:rsid w:val="00664765"/>
    <w:rsid w:val="006649A3"/>
    <w:rsid w:val="006649AC"/>
    <w:rsid w:val="00664AC5"/>
    <w:rsid w:val="00664AE2"/>
    <w:rsid w:val="00664B44"/>
    <w:rsid w:val="00664B4B"/>
    <w:rsid w:val="00664C10"/>
    <w:rsid w:val="00664E0F"/>
    <w:rsid w:val="00664FF6"/>
    <w:rsid w:val="00665178"/>
    <w:rsid w:val="006651BD"/>
    <w:rsid w:val="0066524E"/>
    <w:rsid w:val="006654A8"/>
    <w:rsid w:val="00665513"/>
    <w:rsid w:val="006655CB"/>
    <w:rsid w:val="006656A3"/>
    <w:rsid w:val="00665806"/>
    <w:rsid w:val="0066581D"/>
    <w:rsid w:val="0066589C"/>
    <w:rsid w:val="006658B7"/>
    <w:rsid w:val="006658D5"/>
    <w:rsid w:val="006659E5"/>
    <w:rsid w:val="00665A1B"/>
    <w:rsid w:val="00665B62"/>
    <w:rsid w:val="00665CD9"/>
    <w:rsid w:val="00665DDB"/>
    <w:rsid w:val="00665F5B"/>
    <w:rsid w:val="00665F62"/>
    <w:rsid w:val="00665FE6"/>
    <w:rsid w:val="00666053"/>
    <w:rsid w:val="00666274"/>
    <w:rsid w:val="006662E0"/>
    <w:rsid w:val="006662E1"/>
    <w:rsid w:val="0066637B"/>
    <w:rsid w:val="00666418"/>
    <w:rsid w:val="00666816"/>
    <w:rsid w:val="00666864"/>
    <w:rsid w:val="006668C6"/>
    <w:rsid w:val="00666C0F"/>
    <w:rsid w:val="00666C45"/>
    <w:rsid w:val="00666C7F"/>
    <w:rsid w:val="00666DE3"/>
    <w:rsid w:val="00666F0A"/>
    <w:rsid w:val="00666F35"/>
    <w:rsid w:val="00666F36"/>
    <w:rsid w:val="00666FBA"/>
    <w:rsid w:val="00666FBF"/>
    <w:rsid w:val="006671D8"/>
    <w:rsid w:val="006672B2"/>
    <w:rsid w:val="006673E8"/>
    <w:rsid w:val="006674D2"/>
    <w:rsid w:val="006675F2"/>
    <w:rsid w:val="00667684"/>
    <w:rsid w:val="00667721"/>
    <w:rsid w:val="00667853"/>
    <w:rsid w:val="006678F4"/>
    <w:rsid w:val="006679E3"/>
    <w:rsid w:val="00667A1F"/>
    <w:rsid w:val="00667A88"/>
    <w:rsid w:val="00667B1F"/>
    <w:rsid w:val="00667B71"/>
    <w:rsid w:val="00667DA1"/>
    <w:rsid w:val="00667DE7"/>
    <w:rsid w:val="00667E9A"/>
    <w:rsid w:val="00667EA3"/>
    <w:rsid w:val="006700B0"/>
    <w:rsid w:val="00670100"/>
    <w:rsid w:val="006701B4"/>
    <w:rsid w:val="006702EE"/>
    <w:rsid w:val="006703D3"/>
    <w:rsid w:val="00670414"/>
    <w:rsid w:val="0067065A"/>
    <w:rsid w:val="006706DC"/>
    <w:rsid w:val="006706F5"/>
    <w:rsid w:val="00670835"/>
    <w:rsid w:val="00670891"/>
    <w:rsid w:val="00670959"/>
    <w:rsid w:val="00670997"/>
    <w:rsid w:val="00670AB9"/>
    <w:rsid w:val="00670ADF"/>
    <w:rsid w:val="00670BAE"/>
    <w:rsid w:val="00670C4C"/>
    <w:rsid w:val="00670D6D"/>
    <w:rsid w:val="00670DE5"/>
    <w:rsid w:val="00670F76"/>
    <w:rsid w:val="00670FDD"/>
    <w:rsid w:val="00671202"/>
    <w:rsid w:val="006712AE"/>
    <w:rsid w:val="006713BD"/>
    <w:rsid w:val="006714EA"/>
    <w:rsid w:val="006714FA"/>
    <w:rsid w:val="006715AC"/>
    <w:rsid w:val="006716BE"/>
    <w:rsid w:val="00671731"/>
    <w:rsid w:val="006717A7"/>
    <w:rsid w:val="006717B7"/>
    <w:rsid w:val="00671805"/>
    <w:rsid w:val="0067194C"/>
    <w:rsid w:val="0067199D"/>
    <w:rsid w:val="006719C2"/>
    <w:rsid w:val="006719E4"/>
    <w:rsid w:val="00671A40"/>
    <w:rsid w:val="00671BB9"/>
    <w:rsid w:val="00671C03"/>
    <w:rsid w:val="00671C0A"/>
    <w:rsid w:val="00671C77"/>
    <w:rsid w:val="00671D71"/>
    <w:rsid w:val="00671DEE"/>
    <w:rsid w:val="00671DF6"/>
    <w:rsid w:val="00671EC0"/>
    <w:rsid w:val="00671FB7"/>
    <w:rsid w:val="00671FDD"/>
    <w:rsid w:val="00671FE0"/>
    <w:rsid w:val="006720EA"/>
    <w:rsid w:val="006722B0"/>
    <w:rsid w:val="006722BE"/>
    <w:rsid w:val="00672300"/>
    <w:rsid w:val="0067234B"/>
    <w:rsid w:val="0067240F"/>
    <w:rsid w:val="00672428"/>
    <w:rsid w:val="0067247B"/>
    <w:rsid w:val="006725A6"/>
    <w:rsid w:val="006726DE"/>
    <w:rsid w:val="0067277D"/>
    <w:rsid w:val="006727C0"/>
    <w:rsid w:val="00672994"/>
    <w:rsid w:val="00672ADF"/>
    <w:rsid w:val="00672AE8"/>
    <w:rsid w:val="00672C40"/>
    <w:rsid w:val="00672C80"/>
    <w:rsid w:val="00672C9F"/>
    <w:rsid w:val="00672CE8"/>
    <w:rsid w:val="00672D39"/>
    <w:rsid w:val="00672D64"/>
    <w:rsid w:val="00672E02"/>
    <w:rsid w:val="00672E4A"/>
    <w:rsid w:val="00672F1F"/>
    <w:rsid w:val="00672F2A"/>
    <w:rsid w:val="00673003"/>
    <w:rsid w:val="0067305D"/>
    <w:rsid w:val="00673133"/>
    <w:rsid w:val="0067320C"/>
    <w:rsid w:val="006732E1"/>
    <w:rsid w:val="006732F2"/>
    <w:rsid w:val="006732FB"/>
    <w:rsid w:val="006733E3"/>
    <w:rsid w:val="006734B8"/>
    <w:rsid w:val="00673551"/>
    <w:rsid w:val="00673637"/>
    <w:rsid w:val="00673695"/>
    <w:rsid w:val="0067371C"/>
    <w:rsid w:val="00673830"/>
    <w:rsid w:val="00673AF6"/>
    <w:rsid w:val="00673BC1"/>
    <w:rsid w:val="00673C24"/>
    <w:rsid w:val="00673C7C"/>
    <w:rsid w:val="00673CC9"/>
    <w:rsid w:val="00673E63"/>
    <w:rsid w:val="00673F98"/>
    <w:rsid w:val="0067407D"/>
    <w:rsid w:val="006740C7"/>
    <w:rsid w:val="006740FE"/>
    <w:rsid w:val="00674292"/>
    <w:rsid w:val="0067429F"/>
    <w:rsid w:val="0067438B"/>
    <w:rsid w:val="006743A6"/>
    <w:rsid w:val="006744CD"/>
    <w:rsid w:val="006744E1"/>
    <w:rsid w:val="00674864"/>
    <w:rsid w:val="00674874"/>
    <w:rsid w:val="00674919"/>
    <w:rsid w:val="00674961"/>
    <w:rsid w:val="00674B9B"/>
    <w:rsid w:val="00674C62"/>
    <w:rsid w:val="00674EA3"/>
    <w:rsid w:val="00674EF9"/>
    <w:rsid w:val="00674F2C"/>
    <w:rsid w:val="00674FF8"/>
    <w:rsid w:val="0067505E"/>
    <w:rsid w:val="006750E0"/>
    <w:rsid w:val="006753ED"/>
    <w:rsid w:val="00675434"/>
    <w:rsid w:val="0067545C"/>
    <w:rsid w:val="00675489"/>
    <w:rsid w:val="006754EC"/>
    <w:rsid w:val="006755A9"/>
    <w:rsid w:val="006755EF"/>
    <w:rsid w:val="0067561E"/>
    <w:rsid w:val="00675637"/>
    <w:rsid w:val="006756BF"/>
    <w:rsid w:val="0067595B"/>
    <w:rsid w:val="00675999"/>
    <w:rsid w:val="006759C8"/>
    <w:rsid w:val="00675A25"/>
    <w:rsid w:val="00675A8E"/>
    <w:rsid w:val="00675D22"/>
    <w:rsid w:val="00675D6A"/>
    <w:rsid w:val="00675E31"/>
    <w:rsid w:val="00675FCC"/>
    <w:rsid w:val="00676044"/>
    <w:rsid w:val="006760CF"/>
    <w:rsid w:val="0067617C"/>
    <w:rsid w:val="006761EF"/>
    <w:rsid w:val="006765C6"/>
    <w:rsid w:val="006766BC"/>
    <w:rsid w:val="00676884"/>
    <w:rsid w:val="00676951"/>
    <w:rsid w:val="00676AF9"/>
    <w:rsid w:val="00676B23"/>
    <w:rsid w:val="00676BCA"/>
    <w:rsid w:val="00676CF4"/>
    <w:rsid w:val="00676DD7"/>
    <w:rsid w:val="00676F36"/>
    <w:rsid w:val="00676F48"/>
    <w:rsid w:val="00676FA2"/>
    <w:rsid w:val="00676FB7"/>
    <w:rsid w:val="0067701C"/>
    <w:rsid w:val="00677124"/>
    <w:rsid w:val="006771EE"/>
    <w:rsid w:val="00677257"/>
    <w:rsid w:val="0067734D"/>
    <w:rsid w:val="00677373"/>
    <w:rsid w:val="006773E9"/>
    <w:rsid w:val="00677524"/>
    <w:rsid w:val="00677648"/>
    <w:rsid w:val="00677660"/>
    <w:rsid w:val="0067766D"/>
    <w:rsid w:val="0067770B"/>
    <w:rsid w:val="00677795"/>
    <w:rsid w:val="0067786E"/>
    <w:rsid w:val="0067787B"/>
    <w:rsid w:val="006778F4"/>
    <w:rsid w:val="00677A08"/>
    <w:rsid w:val="00677A62"/>
    <w:rsid w:val="00677A87"/>
    <w:rsid w:val="00677BDE"/>
    <w:rsid w:val="00677C6B"/>
    <w:rsid w:val="00677CFA"/>
    <w:rsid w:val="00677EB6"/>
    <w:rsid w:val="00677EE4"/>
    <w:rsid w:val="00677F4E"/>
    <w:rsid w:val="00677F99"/>
    <w:rsid w:val="006800FE"/>
    <w:rsid w:val="0068018B"/>
    <w:rsid w:val="006802AD"/>
    <w:rsid w:val="0068039B"/>
    <w:rsid w:val="006804AD"/>
    <w:rsid w:val="006804C0"/>
    <w:rsid w:val="0068050E"/>
    <w:rsid w:val="00680530"/>
    <w:rsid w:val="00680628"/>
    <w:rsid w:val="00680630"/>
    <w:rsid w:val="006806F4"/>
    <w:rsid w:val="006807B7"/>
    <w:rsid w:val="006807F6"/>
    <w:rsid w:val="006808AD"/>
    <w:rsid w:val="00680933"/>
    <w:rsid w:val="006809A9"/>
    <w:rsid w:val="00680AF1"/>
    <w:rsid w:val="00680B15"/>
    <w:rsid w:val="00680CEC"/>
    <w:rsid w:val="00680D32"/>
    <w:rsid w:val="00680D66"/>
    <w:rsid w:val="00680DCB"/>
    <w:rsid w:val="00680DF8"/>
    <w:rsid w:val="00680F0B"/>
    <w:rsid w:val="00680F5B"/>
    <w:rsid w:val="00681036"/>
    <w:rsid w:val="0068103B"/>
    <w:rsid w:val="0068104A"/>
    <w:rsid w:val="006811D6"/>
    <w:rsid w:val="0068130E"/>
    <w:rsid w:val="00681334"/>
    <w:rsid w:val="006813B7"/>
    <w:rsid w:val="00681436"/>
    <w:rsid w:val="00681619"/>
    <w:rsid w:val="00681683"/>
    <w:rsid w:val="0068174C"/>
    <w:rsid w:val="0068198A"/>
    <w:rsid w:val="00681ABB"/>
    <w:rsid w:val="00681B31"/>
    <w:rsid w:val="00681D24"/>
    <w:rsid w:val="00681D30"/>
    <w:rsid w:val="00681D6A"/>
    <w:rsid w:val="00681EBC"/>
    <w:rsid w:val="00681F25"/>
    <w:rsid w:val="00681F55"/>
    <w:rsid w:val="00681F77"/>
    <w:rsid w:val="0068229E"/>
    <w:rsid w:val="00682361"/>
    <w:rsid w:val="006823B2"/>
    <w:rsid w:val="006824DD"/>
    <w:rsid w:val="006825BF"/>
    <w:rsid w:val="00682617"/>
    <w:rsid w:val="00682623"/>
    <w:rsid w:val="0068265F"/>
    <w:rsid w:val="00682685"/>
    <w:rsid w:val="006826E5"/>
    <w:rsid w:val="0068276A"/>
    <w:rsid w:val="0068289D"/>
    <w:rsid w:val="006828B7"/>
    <w:rsid w:val="006829DA"/>
    <w:rsid w:val="00682A57"/>
    <w:rsid w:val="00682B5F"/>
    <w:rsid w:val="00682BF8"/>
    <w:rsid w:val="00682C75"/>
    <w:rsid w:val="00682D5A"/>
    <w:rsid w:val="00682EC5"/>
    <w:rsid w:val="00682F7A"/>
    <w:rsid w:val="00682F7E"/>
    <w:rsid w:val="00682FA8"/>
    <w:rsid w:val="006831ED"/>
    <w:rsid w:val="00683289"/>
    <w:rsid w:val="006834D5"/>
    <w:rsid w:val="006835FC"/>
    <w:rsid w:val="00683759"/>
    <w:rsid w:val="006837CD"/>
    <w:rsid w:val="0068381F"/>
    <w:rsid w:val="00683826"/>
    <w:rsid w:val="00683F77"/>
    <w:rsid w:val="00683FD6"/>
    <w:rsid w:val="00683FFE"/>
    <w:rsid w:val="00684013"/>
    <w:rsid w:val="00684050"/>
    <w:rsid w:val="0068407D"/>
    <w:rsid w:val="006842CA"/>
    <w:rsid w:val="00684393"/>
    <w:rsid w:val="006845F1"/>
    <w:rsid w:val="006845FE"/>
    <w:rsid w:val="00684720"/>
    <w:rsid w:val="00684AA8"/>
    <w:rsid w:val="00684AF5"/>
    <w:rsid w:val="00684B15"/>
    <w:rsid w:val="00684BD3"/>
    <w:rsid w:val="00684C22"/>
    <w:rsid w:val="00684C8F"/>
    <w:rsid w:val="00684D39"/>
    <w:rsid w:val="00684DC7"/>
    <w:rsid w:val="00684DE2"/>
    <w:rsid w:val="00684EA6"/>
    <w:rsid w:val="00684EEF"/>
    <w:rsid w:val="00685005"/>
    <w:rsid w:val="0068509A"/>
    <w:rsid w:val="0068510C"/>
    <w:rsid w:val="00685128"/>
    <w:rsid w:val="0068515B"/>
    <w:rsid w:val="0068524E"/>
    <w:rsid w:val="006852A6"/>
    <w:rsid w:val="006852E7"/>
    <w:rsid w:val="0068547B"/>
    <w:rsid w:val="00685535"/>
    <w:rsid w:val="00685580"/>
    <w:rsid w:val="00685651"/>
    <w:rsid w:val="006856CC"/>
    <w:rsid w:val="00685723"/>
    <w:rsid w:val="00685760"/>
    <w:rsid w:val="0068590F"/>
    <w:rsid w:val="0068594E"/>
    <w:rsid w:val="00685AF5"/>
    <w:rsid w:val="00685D1A"/>
    <w:rsid w:val="00685D9A"/>
    <w:rsid w:val="00685DE3"/>
    <w:rsid w:val="00685E09"/>
    <w:rsid w:val="00685FA2"/>
    <w:rsid w:val="00685FC3"/>
    <w:rsid w:val="00685FDE"/>
    <w:rsid w:val="00686056"/>
    <w:rsid w:val="00686138"/>
    <w:rsid w:val="0068661B"/>
    <w:rsid w:val="00686744"/>
    <w:rsid w:val="00686756"/>
    <w:rsid w:val="006867BD"/>
    <w:rsid w:val="00686810"/>
    <w:rsid w:val="006868FE"/>
    <w:rsid w:val="00686A31"/>
    <w:rsid w:val="00686A5A"/>
    <w:rsid w:val="00686B99"/>
    <w:rsid w:val="00686E19"/>
    <w:rsid w:val="00686EA9"/>
    <w:rsid w:val="00686F3F"/>
    <w:rsid w:val="00686F61"/>
    <w:rsid w:val="00686FDA"/>
    <w:rsid w:val="00687055"/>
    <w:rsid w:val="0068707D"/>
    <w:rsid w:val="00687107"/>
    <w:rsid w:val="0068710C"/>
    <w:rsid w:val="0068710E"/>
    <w:rsid w:val="00687209"/>
    <w:rsid w:val="00687263"/>
    <w:rsid w:val="0068732F"/>
    <w:rsid w:val="00687450"/>
    <w:rsid w:val="0068745D"/>
    <w:rsid w:val="00687497"/>
    <w:rsid w:val="00687680"/>
    <w:rsid w:val="0068784D"/>
    <w:rsid w:val="006878C7"/>
    <w:rsid w:val="0068791B"/>
    <w:rsid w:val="00687A9C"/>
    <w:rsid w:val="00687AE5"/>
    <w:rsid w:val="00687C3E"/>
    <w:rsid w:val="00687C4F"/>
    <w:rsid w:val="00687D97"/>
    <w:rsid w:val="006900D7"/>
    <w:rsid w:val="006900ED"/>
    <w:rsid w:val="00690164"/>
    <w:rsid w:val="006901DA"/>
    <w:rsid w:val="006902FD"/>
    <w:rsid w:val="006903CD"/>
    <w:rsid w:val="006903F6"/>
    <w:rsid w:val="00690465"/>
    <w:rsid w:val="006905A0"/>
    <w:rsid w:val="006905D3"/>
    <w:rsid w:val="00690600"/>
    <w:rsid w:val="0069066C"/>
    <w:rsid w:val="00690733"/>
    <w:rsid w:val="006907CD"/>
    <w:rsid w:val="00690854"/>
    <w:rsid w:val="006908FB"/>
    <w:rsid w:val="00690938"/>
    <w:rsid w:val="0069099C"/>
    <w:rsid w:val="006909E2"/>
    <w:rsid w:val="006909FE"/>
    <w:rsid w:val="00690AB5"/>
    <w:rsid w:val="00690C55"/>
    <w:rsid w:val="00690D2A"/>
    <w:rsid w:val="00690D57"/>
    <w:rsid w:val="00690DB1"/>
    <w:rsid w:val="00690E31"/>
    <w:rsid w:val="00690E72"/>
    <w:rsid w:val="00690EF9"/>
    <w:rsid w:val="00690F2F"/>
    <w:rsid w:val="00690FB0"/>
    <w:rsid w:val="00690FB3"/>
    <w:rsid w:val="00691040"/>
    <w:rsid w:val="0069125D"/>
    <w:rsid w:val="006913D8"/>
    <w:rsid w:val="006914CA"/>
    <w:rsid w:val="00691553"/>
    <w:rsid w:val="006915DD"/>
    <w:rsid w:val="0069167E"/>
    <w:rsid w:val="006916AD"/>
    <w:rsid w:val="00691828"/>
    <w:rsid w:val="006918F2"/>
    <w:rsid w:val="00691956"/>
    <w:rsid w:val="00691B2D"/>
    <w:rsid w:val="00691C32"/>
    <w:rsid w:val="00691C90"/>
    <w:rsid w:val="00691E61"/>
    <w:rsid w:val="00691F16"/>
    <w:rsid w:val="00691F70"/>
    <w:rsid w:val="00691FCD"/>
    <w:rsid w:val="00692076"/>
    <w:rsid w:val="00692099"/>
    <w:rsid w:val="00692258"/>
    <w:rsid w:val="00692392"/>
    <w:rsid w:val="006923E1"/>
    <w:rsid w:val="00692426"/>
    <w:rsid w:val="006924D0"/>
    <w:rsid w:val="0069255B"/>
    <w:rsid w:val="0069262B"/>
    <w:rsid w:val="00692665"/>
    <w:rsid w:val="00692767"/>
    <w:rsid w:val="006927B9"/>
    <w:rsid w:val="00692939"/>
    <w:rsid w:val="00692A08"/>
    <w:rsid w:val="00692A12"/>
    <w:rsid w:val="00692A57"/>
    <w:rsid w:val="00692B2F"/>
    <w:rsid w:val="00692C19"/>
    <w:rsid w:val="00692D94"/>
    <w:rsid w:val="00692E25"/>
    <w:rsid w:val="00692E2A"/>
    <w:rsid w:val="00692EFA"/>
    <w:rsid w:val="00692EFC"/>
    <w:rsid w:val="00692F01"/>
    <w:rsid w:val="00692F95"/>
    <w:rsid w:val="006930D0"/>
    <w:rsid w:val="006930F8"/>
    <w:rsid w:val="006932A6"/>
    <w:rsid w:val="0069341A"/>
    <w:rsid w:val="006934AA"/>
    <w:rsid w:val="006934BD"/>
    <w:rsid w:val="006935CE"/>
    <w:rsid w:val="00693602"/>
    <w:rsid w:val="006936F4"/>
    <w:rsid w:val="00693770"/>
    <w:rsid w:val="006937F5"/>
    <w:rsid w:val="006938F2"/>
    <w:rsid w:val="00693A8E"/>
    <w:rsid w:val="00693A9E"/>
    <w:rsid w:val="00693B68"/>
    <w:rsid w:val="00693C2F"/>
    <w:rsid w:val="00693D0D"/>
    <w:rsid w:val="00693F18"/>
    <w:rsid w:val="00694209"/>
    <w:rsid w:val="006943F5"/>
    <w:rsid w:val="006944A9"/>
    <w:rsid w:val="006944B5"/>
    <w:rsid w:val="0069458E"/>
    <w:rsid w:val="006945C3"/>
    <w:rsid w:val="00694856"/>
    <w:rsid w:val="006948D5"/>
    <w:rsid w:val="006948D7"/>
    <w:rsid w:val="0069490E"/>
    <w:rsid w:val="0069492C"/>
    <w:rsid w:val="006949D8"/>
    <w:rsid w:val="00694A1A"/>
    <w:rsid w:val="00694AB4"/>
    <w:rsid w:val="00694BAE"/>
    <w:rsid w:val="00694C21"/>
    <w:rsid w:val="00694C68"/>
    <w:rsid w:val="00694C96"/>
    <w:rsid w:val="00695041"/>
    <w:rsid w:val="006951BB"/>
    <w:rsid w:val="006951CB"/>
    <w:rsid w:val="0069523C"/>
    <w:rsid w:val="006953AD"/>
    <w:rsid w:val="006953F5"/>
    <w:rsid w:val="00695405"/>
    <w:rsid w:val="0069546C"/>
    <w:rsid w:val="00695505"/>
    <w:rsid w:val="006955D8"/>
    <w:rsid w:val="0069560F"/>
    <w:rsid w:val="00695628"/>
    <w:rsid w:val="0069566E"/>
    <w:rsid w:val="00695887"/>
    <w:rsid w:val="006958D2"/>
    <w:rsid w:val="00695A3D"/>
    <w:rsid w:val="00695A84"/>
    <w:rsid w:val="00695DD2"/>
    <w:rsid w:val="00695E78"/>
    <w:rsid w:val="00695EAA"/>
    <w:rsid w:val="00695F49"/>
    <w:rsid w:val="00696093"/>
    <w:rsid w:val="006960EC"/>
    <w:rsid w:val="0069614A"/>
    <w:rsid w:val="0069618A"/>
    <w:rsid w:val="006961A5"/>
    <w:rsid w:val="006961B0"/>
    <w:rsid w:val="006963DD"/>
    <w:rsid w:val="006964F1"/>
    <w:rsid w:val="00696532"/>
    <w:rsid w:val="0069655F"/>
    <w:rsid w:val="006965B6"/>
    <w:rsid w:val="0069675E"/>
    <w:rsid w:val="00696769"/>
    <w:rsid w:val="006967BC"/>
    <w:rsid w:val="006967DE"/>
    <w:rsid w:val="00696883"/>
    <w:rsid w:val="006968AF"/>
    <w:rsid w:val="00696951"/>
    <w:rsid w:val="00696AB9"/>
    <w:rsid w:val="00696AEF"/>
    <w:rsid w:val="00696C35"/>
    <w:rsid w:val="00696C5B"/>
    <w:rsid w:val="00696CA1"/>
    <w:rsid w:val="00696CAF"/>
    <w:rsid w:val="00696D0C"/>
    <w:rsid w:val="00696D40"/>
    <w:rsid w:val="00696D7D"/>
    <w:rsid w:val="00696E90"/>
    <w:rsid w:val="006971E7"/>
    <w:rsid w:val="006973CD"/>
    <w:rsid w:val="0069741C"/>
    <w:rsid w:val="00697444"/>
    <w:rsid w:val="0069746A"/>
    <w:rsid w:val="006974D5"/>
    <w:rsid w:val="00697537"/>
    <w:rsid w:val="006975D5"/>
    <w:rsid w:val="006976FA"/>
    <w:rsid w:val="00697788"/>
    <w:rsid w:val="006977E6"/>
    <w:rsid w:val="00697932"/>
    <w:rsid w:val="006979D0"/>
    <w:rsid w:val="00697B26"/>
    <w:rsid w:val="00697CFC"/>
    <w:rsid w:val="00697D40"/>
    <w:rsid w:val="00697DD0"/>
    <w:rsid w:val="00697EC8"/>
    <w:rsid w:val="006A0000"/>
    <w:rsid w:val="006A00F0"/>
    <w:rsid w:val="006A0177"/>
    <w:rsid w:val="006A01FA"/>
    <w:rsid w:val="006A036F"/>
    <w:rsid w:val="006A03F7"/>
    <w:rsid w:val="006A041B"/>
    <w:rsid w:val="006A05E1"/>
    <w:rsid w:val="006A0731"/>
    <w:rsid w:val="006A0758"/>
    <w:rsid w:val="006A07C2"/>
    <w:rsid w:val="006A080A"/>
    <w:rsid w:val="006A088D"/>
    <w:rsid w:val="006A08AE"/>
    <w:rsid w:val="006A0909"/>
    <w:rsid w:val="006A0A05"/>
    <w:rsid w:val="006A0A43"/>
    <w:rsid w:val="006A0AA4"/>
    <w:rsid w:val="006A0AB5"/>
    <w:rsid w:val="006A0B9C"/>
    <w:rsid w:val="006A0C35"/>
    <w:rsid w:val="006A0C4C"/>
    <w:rsid w:val="006A0C5A"/>
    <w:rsid w:val="006A0D04"/>
    <w:rsid w:val="006A0D0F"/>
    <w:rsid w:val="006A0E13"/>
    <w:rsid w:val="006A0EA3"/>
    <w:rsid w:val="006A105E"/>
    <w:rsid w:val="006A10AD"/>
    <w:rsid w:val="006A10DC"/>
    <w:rsid w:val="006A112B"/>
    <w:rsid w:val="006A126B"/>
    <w:rsid w:val="006A1429"/>
    <w:rsid w:val="006A1446"/>
    <w:rsid w:val="006A1459"/>
    <w:rsid w:val="006A14E8"/>
    <w:rsid w:val="006A1705"/>
    <w:rsid w:val="006A1B30"/>
    <w:rsid w:val="006A1D28"/>
    <w:rsid w:val="006A1D67"/>
    <w:rsid w:val="006A1DE9"/>
    <w:rsid w:val="006A1E97"/>
    <w:rsid w:val="006A1FCD"/>
    <w:rsid w:val="006A206A"/>
    <w:rsid w:val="006A207E"/>
    <w:rsid w:val="006A2150"/>
    <w:rsid w:val="006A2496"/>
    <w:rsid w:val="006A24EB"/>
    <w:rsid w:val="006A2540"/>
    <w:rsid w:val="006A2690"/>
    <w:rsid w:val="006A29BC"/>
    <w:rsid w:val="006A29E3"/>
    <w:rsid w:val="006A2B5E"/>
    <w:rsid w:val="006A2B7E"/>
    <w:rsid w:val="006A2BE1"/>
    <w:rsid w:val="006A2E32"/>
    <w:rsid w:val="006A2E57"/>
    <w:rsid w:val="006A3049"/>
    <w:rsid w:val="006A306A"/>
    <w:rsid w:val="006A3131"/>
    <w:rsid w:val="006A3322"/>
    <w:rsid w:val="006A3375"/>
    <w:rsid w:val="006A3444"/>
    <w:rsid w:val="006A3611"/>
    <w:rsid w:val="006A36D0"/>
    <w:rsid w:val="006A3839"/>
    <w:rsid w:val="006A38B3"/>
    <w:rsid w:val="006A3968"/>
    <w:rsid w:val="006A3BD1"/>
    <w:rsid w:val="006A3C7D"/>
    <w:rsid w:val="006A3D6C"/>
    <w:rsid w:val="006A3DA9"/>
    <w:rsid w:val="006A3DAA"/>
    <w:rsid w:val="006A3E02"/>
    <w:rsid w:val="006A40AC"/>
    <w:rsid w:val="006A4247"/>
    <w:rsid w:val="006A42A4"/>
    <w:rsid w:val="006A4354"/>
    <w:rsid w:val="006A4535"/>
    <w:rsid w:val="006A458F"/>
    <w:rsid w:val="006A463C"/>
    <w:rsid w:val="006A465B"/>
    <w:rsid w:val="006A468B"/>
    <w:rsid w:val="006A473D"/>
    <w:rsid w:val="006A47B6"/>
    <w:rsid w:val="006A47E4"/>
    <w:rsid w:val="006A48CB"/>
    <w:rsid w:val="006A490C"/>
    <w:rsid w:val="006A495A"/>
    <w:rsid w:val="006A4A35"/>
    <w:rsid w:val="006A4A37"/>
    <w:rsid w:val="006A4A4B"/>
    <w:rsid w:val="006A4B4C"/>
    <w:rsid w:val="006A4B9C"/>
    <w:rsid w:val="006A4BD9"/>
    <w:rsid w:val="006A4C04"/>
    <w:rsid w:val="006A4EA0"/>
    <w:rsid w:val="006A4F31"/>
    <w:rsid w:val="006A514D"/>
    <w:rsid w:val="006A51C1"/>
    <w:rsid w:val="006A5242"/>
    <w:rsid w:val="006A5309"/>
    <w:rsid w:val="006A54D7"/>
    <w:rsid w:val="006A558D"/>
    <w:rsid w:val="006A5714"/>
    <w:rsid w:val="006A577B"/>
    <w:rsid w:val="006A57A7"/>
    <w:rsid w:val="006A57D9"/>
    <w:rsid w:val="006A5830"/>
    <w:rsid w:val="006A5967"/>
    <w:rsid w:val="006A5B36"/>
    <w:rsid w:val="006A5BCB"/>
    <w:rsid w:val="006A5E0D"/>
    <w:rsid w:val="006A5E70"/>
    <w:rsid w:val="006A5F33"/>
    <w:rsid w:val="006A600F"/>
    <w:rsid w:val="006A6178"/>
    <w:rsid w:val="006A61AE"/>
    <w:rsid w:val="006A6258"/>
    <w:rsid w:val="006A6386"/>
    <w:rsid w:val="006A640C"/>
    <w:rsid w:val="006A64A7"/>
    <w:rsid w:val="006A6661"/>
    <w:rsid w:val="006A6707"/>
    <w:rsid w:val="006A6955"/>
    <w:rsid w:val="006A69BF"/>
    <w:rsid w:val="006A69E5"/>
    <w:rsid w:val="006A6AF0"/>
    <w:rsid w:val="006A6B1E"/>
    <w:rsid w:val="006A6B41"/>
    <w:rsid w:val="006A6BB3"/>
    <w:rsid w:val="006A6BF8"/>
    <w:rsid w:val="006A6E5A"/>
    <w:rsid w:val="006A6ED9"/>
    <w:rsid w:val="006A70B2"/>
    <w:rsid w:val="006A7318"/>
    <w:rsid w:val="006A73C6"/>
    <w:rsid w:val="006A73EC"/>
    <w:rsid w:val="006A7549"/>
    <w:rsid w:val="006A7552"/>
    <w:rsid w:val="006A76F0"/>
    <w:rsid w:val="006A7737"/>
    <w:rsid w:val="006A775D"/>
    <w:rsid w:val="006A777F"/>
    <w:rsid w:val="006A78B5"/>
    <w:rsid w:val="006A7B5D"/>
    <w:rsid w:val="006A7B9C"/>
    <w:rsid w:val="006A7D42"/>
    <w:rsid w:val="006A7DC4"/>
    <w:rsid w:val="006A7EE3"/>
    <w:rsid w:val="006A7EFC"/>
    <w:rsid w:val="006A7EFF"/>
    <w:rsid w:val="006A7F2D"/>
    <w:rsid w:val="006A7F2F"/>
    <w:rsid w:val="006B009F"/>
    <w:rsid w:val="006B00A2"/>
    <w:rsid w:val="006B0135"/>
    <w:rsid w:val="006B02A4"/>
    <w:rsid w:val="006B0317"/>
    <w:rsid w:val="006B04B3"/>
    <w:rsid w:val="006B04B8"/>
    <w:rsid w:val="006B04CD"/>
    <w:rsid w:val="006B0513"/>
    <w:rsid w:val="006B0527"/>
    <w:rsid w:val="006B05D7"/>
    <w:rsid w:val="006B07DB"/>
    <w:rsid w:val="006B0872"/>
    <w:rsid w:val="006B08D0"/>
    <w:rsid w:val="006B0907"/>
    <w:rsid w:val="006B091F"/>
    <w:rsid w:val="006B0954"/>
    <w:rsid w:val="006B09A4"/>
    <w:rsid w:val="006B0B60"/>
    <w:rsid w:val="006B0C0E"/>
    <w:rsid w:val="006B0CF6"/>
    <w:rsid w:val="006B0D61"/>
    <w:rsid w:val="006B0D6F"/>
    <w:rsid w:val="006B0E07"/>
    <w:rsid w:val="006B103D"/>
    <w:rsid w:val="006B1073"/>
    <w:rsid w:val="006B11B8"/>
    <w:rsid w:val="006B12F9"/>
    <w:rsid w:val="006B13A0"/>
    <w:rsid w:val="006B13F9"/>
    <w:rsid w:val="006B14D6"/>
    <w:rsid w:val="006B1583"/>
    <w:rsid w:val="006B15AF"/>
    <w:rsid w:val="006B16E0"/>
    <w:rsid w:val="006B16ED"/>
    <w:rsid w:val="006B1810"/>
    <w:rsid w:val="006B1947"/>
    <w:rsid w:val="006B19A5"/>
    <w:rsid w:val="006B1A1C"/>
    <w:rsid w:val="006B1A65"/>
    <w:rsid w:val="006B1A86"/>
    <w:rsid w:val="006B1AA4"/>
    <w:rsid w:val="006B1AED"/>
    <w:rsid w:val="006B1C45"/>
    <w:rsid w:val="006B1C64"/>
    <w:rsid w:val="006B1C78"/>
    <w:rsid w:val="006B1CA7"/>
    <w:rsid w:val="006B1D78"/>
    <w:rsid w:val="006B1D8B"/>
    <w:rsid w:val="006B1EED"/>
    <w:rsid w:val="006B1FE7"/>
    <w:rsid w:val="006B1FF0"/>
    <w:rsid w:val="006B20E0"/>
    <w:rsid w:val="006B2146"/>
    <w:rsid w:val="006B2320"/>
    <w:rsid w:val="006B2452"/>
    <w:rsid w:val="006B24BB"/>
    <w:rsid w:val="006B2714"/>
    <w:rsid w:val="006B27A3"/>
    <w:rsid w:val="006B2882"/>
    <w:rsid w:val="006B290D"/>
    <w:rsid w:val="006B2A5B"/>
    <w:rsid w:val="006B2A74"/>
    <w:rsid w:val="006B2CB7"/>
    <w:rsid w:val="006B2E0F"/>
    <w:rsid w:val="006B2F21"/>
    <w:rsid w:val="006B2FAC"/>
    <w:rsid w:val="006B3035"/>
    <w:rsid w:val="006B3095"/>
    <w:rsid w:val="006B30D1"/>
    <w:rsid w:val="006B3176"/>
    <w:rsid w:val="006B31F3"/>
    <w:rsid w:val="006B32E7"/>
    <w:rsid w:val="006B3371"/>
    <w:rsid w:val="006B33FF"/>
    <w:rsid w:val="006B3728"/>
    <w:rsid w:val="006B373E"/>
    <w:rsid w:val="006B39E7"/>
    <w:rsid w:val="006B3A5D"/>
    <w:rsid w:val="006B3A68"/>
    <w:rsid w:val="006B3B55"/>
    <w:rsid w:val="006B3E71"/>
    <w:rsid w:val="006B3F12"/>
    <w:rsid w:val="006B3F28"/>
    <w:rsid w:val="006B3F45"/>
    <w:rsid w:val="006B3F57"/>
    <w:rsid w:val="006B3F76"/>
    <w:rsid w:val="006B3F8C"/>
    <w:rsid w:val="006B3F95"/>
    <w:rsid w:val="006B402A"/>
    <w:rsid w:val="006B4081"/>
    <w:rsid w:val="006B40A9"/>
    <w:rsid w:val="006B411C"/>
    <w:rsid w:val="006B4160"/>
    <w:rsid w:val="006B41B5"/>
    <w:rsid w:val="006B4604"/>
    <w:rsid w:val="006B46EE"/>
    <w:rsid w:val="006B4749"/>
    <w:rsid w:val="006B4783"/>
    <w:rsid w:val="006B4816"/>
    <w:rsid w:val="006B48B7"/>
    <w:rsid w:val="006B4906"/>
    <w:rsid w:val="006B4C0F"/>
    <w:rsid w:val="006B4E9D"/>
    <w:rsid w:val="006B4FA6"/>
    <w:rsid w:val="006B4FE0"/>
    <w:rsid w:val="006B515C"/>
    <w:rsid w:val="006B5199"/>
    <w:rsid w:val="006B5212"/>
    <w:rsid w:val="006B5368"/>
    <w:rsid w:val="006B5377"/>
    <w:rsid w:val="006B5436"/>
    <w:rsid w:val="006B563F"/>
    <w:rsid w:val="006B574F"/>
    <w:rsid w:val="006B5762"/>
    <w:rsid w:val="006B58C7"/>
    <w:rsid w:val="006B58FA"/>
    <w:rsid w:val="006B59A0"/>
    <w:rsid w:val="006B5A10"/>
    <w:rsid w:val="006B5CA8"/>
    <w:rsid w:val="006B5E7B"/>
    <w:rsid w:val="006B5EB4"/>
    <w:rsid w:val="006B6049"/>
    <w:rsid w:val="006B60C7"/>
    <w:rsid w:val="006B61FC"/>
    <w:rsid w:val="006B62A2"/>
    <w:rsid w:val="006B63C5"/>
    <w:rsid w:val="006B63F5"/>
    <w:rsid w:val="006B6528"/>
    <w:rsid w:val="006B653A"/>
    <w:rsid w:val="006B6580"/>
    <w:rsid w:val="006B674C"/>
    <w:rsid w:val="006B6841"/>
    <w:rsid w:val="006B69FF"/>
    <w:rsid w:val="006B6A53"/>
    <w:rsid w:val="006B6A94"/>
    <w:rsid w:val="006B6AD7"/>
    <w:rsid w:val="006B6B46"/>
    <w:rsid w:val="006B6B6D"/>
    <w:rsid w:val="006B6C70"/>
    <w:rsid w:val="006B6CE5"/>
    <w:rsid w:val="006B6D08"/>
    <w:rsid w:val="006B6DEB"/>
    <w:rsid w:val="006B6F3C"/>
    <w:rsid w:val="006B70A0"/>
    <w:rsid w:val="006B71E0"/>
    <w:rsid w:val="006B721E"/>
    <w:rsid w:val="006B72C2"/>
    <w:rsid w:val="006B73A7"/>
    <w:rsid w:val="006B74BE"/>
    <w:rsid w:val="006B74F0"/>
    <w:rsid w:val="006B750F"/>
    <w:rsid w:val="006B75FF"/>
    <w:rsid w:val="006B7614"/>
    <w:rsid w:val="006B76F4"/>
    <w:rsid w:val="006B7A4A"/>
    <w:rsid w:val="006B7B0A"/>
    <w:rsid w:val="006B7B5F"/>
    <w:rsid w:val="006B7C59"/>
    <w:rsid w:val="006B7DBD"/>
    <w:rsid w:val="006B7F25"/>
    <w:rsid w:val="006B7F87"/>
    <w:rsid w:val="006B7FEA"/>
    <w:rsid w:val="006C014F"/>
    <w:rsid w:val="006C0162"/>
    <w:rsid w:val="006C0179"/>
    <w:rsid w:val="006C021B"/>
    <w:rsid w:val="006C02A1"/>
    <w:rsid w:val="006C02CE"/>
    <w:rsid w:val="006C02E4"/>
    <w:rsid w:val="006C0430"/>
    <w:rsid w:val="006C0518"/>
    <w:rsid w:val="006C0678"/>
    <w:rsid w:val="006C06E6"/>
    <w:rsid w:val="006C0700"/>
    <w:rsid w:val="006C07D3"/>
    <w:rsid w:val="006C07EF"/>
    <w:rsid w:val="006C08EF"/>
    <w:rsid w:val="006C0930"/>
    <w:rsid w:val="006C0987"/>
    <w:rsid w:val="006C0A57"/>
    <w:rsid w:val="006C0B8F"/>
    <w:rsid w:val="006C0C53"/>
    <w:rsid w:val="006C0D65"/>
    <w:rsid w:val="006C0DB2"/>
    <w:rsid w:val="006C0E3C"/>
    <w:rsid w:val="006C0EB6"/>
    <w:rsid w:val="006C102B"/>
    <w:rsid w:val="006C103B"/>
    <w:rsid w:val="006C1157"/>
    <w:rsid w:val="006C1199"/>
    <w:rsid w:val="006C125D"/>
    <w:rsid w:val="006C13D1"/>
    <w:rsid w:val="006C1592"/>
    <w:rsid w:val="006C17B5"/>
    <w:rsid w:val="006C1943"/>
    <w:rsid w:val="006C1A0E"/>
    <w:rsid w:val="006C1B21"/>
    <w:rsid w:val="006C1B7E"/>
    <w:rsid w:val="006C1B91"/>
    <w:rsid w:val="006C1BBF"/>
    <w:rsid w:val="006C1EE2"/>
    <w:rsid w:val="006C1F0B"/>
    <w:rsid w:val="006C1FC6"/>
    <w:rsid w:val="006C2078"/>
    <w:rsid w:val="006C216A"/>
    <w:rsid w:val="006C2210"/>
    <w:rsid w:val="006C23BE"/>
    <w:rsid w:val="006C24BE"/>
    <w:rsid w:val="006C261E"/>
    <w:rsid w:val="006C2629"/>
    <w:rsid w:val="006C2724"/>
    <w:rsid w:val="006C2751"/>
    <w:rsid w:val="006C291C"/>
    <w:rsid w:val="006C2A9C"/>
    <w:rsid w:val="006C2AD6"/>
    <w:rsid w:val="006C2FAE"/>
    <w:rsid w:val="006C3036"/>
    <w:rsid w:val="006C30A9"/>
    <w:rsid w:val="006C30C1"/>
    <w:rsid w:val="006C32F1"/>
    <w:rsid w:val="006C34AB"/>
    <w:rsid w:val="006C34E0"/>
    <w:rsid w:val="006C3652"/>
    <w:rsid w:val="006C38DA"/>
    <w:rsid w:val="006C3970"/>
    <w:rsid w:val="006C39A3"/>
    <w:rsid w:val="006C3ACA"/>
    <w:rsid w:val="006C3C18"/>
    <w:rsid w:val="006C3C53"/>
    <w:rsid w:val="006C3C7A"/>
    <w:rsid w:val="006C3D48"/>
    <w:rsid w:val="006C3E15"/>
    <w:rsid w:val="006C3E63"/>
    <w:rsid w:val="006C3EA7"/>
    <w:rsid w:val="006C3EF1"/>
    <w:rsid w:val="006C3F0C"/>
    <w:rsid w:val="006C3F13"/>
    <w:rsid w:val="006C405D"/>
    <w:rsid w:val="006C427A"/>
    <w:rsid w:val="006C431D"/>
    <w:rsid w:val="006C4326"/>
    <w:rsid w:val="006C43E5"/>
    <w:rsid w:val="006C44A3"/>
    <w:rsid w:val="006C44C8"/>
    <w:rsid w:val="006C45B0"/>
    <w:rsid w:val="006C4707"/>
    <w:rsid w:val="006C4759"/>
    <w:rsid w:val="006C47D2"/>
    <w:rsid w:val="006C47D4"/>
    <w:rsid w:val="006C47FA"/>
    <w:rsid w:val="006C482B"/>
    <w:rsid w:val="006C4A73"/>
    <w:rsid w:val="006C4C3D"/>
    <w:rsid w:val="006C4CB5"/>
    <w:rsid w:val="006C4D34"/>
    <w:rsid w:val="006C4ED3"/>
    <w:rsid w:val="006C4F61"/>
    <w:rsid w:val="006C4FD8"/>
    <w:rsid w:val="006C5105"/>
    <w:rsid w:val="006C515A"/>
    <w:rsid w:val="006C51BC"/>
    <w:rsid w:val="006C5210"/>
    <w:rsid w:val="006C5261"/>
    <w:rsid w:val="006C5359"/>
    <w:rsid w:val="006C570A"/>
    <w:rsid w:val="006C5731"/>
    <w:rsid w:val="006C575C"/>
    <w:rsid w:val="006C57C9"/>
    <w:rsid w:val="006C581A"/>
    <w:rsid w:val="006C58A0"/>
    <w:rsid w:val="006C58E6"/>
    <w:rsid w:val="006C597D"/>
    <w:rsid w:val="006C5AA7"/>
    <w:rsid w:val="006C5AD3"/>
    <w:rsid w:val="006C5C23"/>
    <w:rsid w:val="006C5C57"/>
    <w:rsid w:val="006C5CCA"/>
    <w:rsid w:val="006C5DCF"/>
    <w:rsid w:val="006C603A"/>
    <w:rsid w:val="006C6078"/>
    <w:rsid w:val="006C6132"/>
    <w:rsid w:val="006C6175"/>
    <w:rsid w:val="006C617F"/>
    <w:rsid w:val="006C6275"/>
    <w:rsid w:val="006C6362"/>
    <w:rsid w:val="006C6414"/>
    <w:rsid w:val="006C64A6"/>
    <w:rsid w:val="006C6504"/>
    <w:rsid w:val="006C68A1"/>
    <w:rsid w:val="006C68C7"/>
    <w:rsid w:val="006C699F"/>
    <w:rsid w:val="006C6ACD"/>
    <w:rsid w:val="006C6B30"/>
    <w:rsid w:val="006C6C41"/>
    <w:rsid w:val="006C6C73"/>
    <w:rsid w:val="006C6C7C"/>
    <w:rsid w:val="006C6C8E"/>
    <w:rsid w:val="006C6D3F"/>
    <w:rsid w:val="006C6DFD"/>
    <w:rsid w:val="006C6E08"/>
    <w:rsid w:val="006C7075"/>
    <w:rsid w:val="006C72F3"/>
    <w:rsid w:val="006C7373"/>
    <w:rsid w:val="006C7463"/>
    <w:rsid w:val="006C74B8"/>
    <w:rsid w:val="006C7505"/>
    <w:rsid w:val="006C76D7"/>
    <w:rsid w:val="006C77C9"/>
    <w:rsid w:val="006C7857"/>
    <w:rsid w:val="006C7A1F"/>
    <w:rsid w:val="006C7AA2"/>
    <w:rsid w:val="006C7AAE"/>
    <w:rsid w:val="006C7BA7"/>
    <w:rsid w:val="006C7BBA"/>
    <w:rsid w:val="006C7BE9"/>
    <w:rsid w:val="006C7C21"/>
    <w:rsid w:val="006C7CD2"/>
    <w:rsid w:val="006C7CD8"/>
    <w:rsid w:val="006C7E57"/>
    <w:rsid w:val="006C7E73"/>
    <w:rsid w:val="006C7EC6"/>
    <w:rsid w:val="006C7F8F"/>
    <w:rsid w:val="006C7FE3"/>
    <w:rsid w:val="006D004D"/>
    <w:rsid w:val="006D006E"/>
    <w:rsid w:val="006D012C"/>
    <w:rsid w:val="006D0183"/>
    <w:rsid w:val="006D01AD"/>
    <w:rsid w:val="006D0356"/>
    <w:rsid w:val="006D0418"/>
    <w:rsid w:val="006D06C8"/>
    <w:rsid w:val="006D06F1"/>
    <w:rsid w:val="006D0786"/>
    <w:rsid w:val="006D07C2"/>
    <w:rsid w:val="006D098B"/>
    <w:rsid w:val="006D0BC2"/>
    <w:rsid w:val="006D0DF8"/>
    <w:rsid w:val="006D0E43"/>
    <w:rsid w:val="006D0EE7"/>
    <w:rsid w:val="006D1177"/>
    <w:rsid w:val="006D11BD"/>
    <w:rsid w:val="006D1220"/>
    <w:rsid w:val="006D1226"/>
    <w:rsid w:val="006D12DB"/>
    <w:rsid w:val="006D13CC"/>
    <w:rsid w:val="006D14D6"/>
    <w:rsid w:val="006D15BA"/>
    <w:rsid w:val="006D171A"/>
    <w:rsid w:val="006D1846"/>
    <w:rsid w:val="006D1855"/>
    <w:rsid w:val="006D189F"/>
    <w:rsid w:val="006D1ABF"/>
    <w:rsid w:val="006D1B6F"/>
    <w:rsid w:val="006D1C1F"/>
    <w:rsid w:val="006D1C78"/>
    <w:rsid w:val="006D1D81"/>
    <w:rsid w:val="006D1E1A"/>
    <w:rsid w:val="006D1EA3"/>
    <w:rsid w:val="006D1FE1"/>
    <w:rsid w:val="006D2178"/>
    <w:rsid w:val="006D2489"/>
    <w:rsid w:val="006D24C3"/>
    <w:rsid w:val="006D24D5"/>
    <w:rsid w:val="006D2666"/>
    <w:rsid w:val="006D27DD"/>
    <w:rsid w:val="006D289E"/>
    <w:rsid w:val="006D29E6"/>
    <w:rsid w:val="006D2ADC"/>
    <w:rsid w:val="006D2B87"/>
    <w:rsid w:val="006D2C68"/>
    <w:rsid w:val="006D2D68"/>
    <w:rsid w:val="006D2D7E"/>
    <w:rsid w:val="006D2F64"/>
    <w:rsid w:val="006D3288"/>
    <w:rsid w:val="006D330A"/>
    <w:rsid w:val="006D338D"/>
    <w:rsid w:val="006D34B9"/>
    <w:rsid w:val="006D3552"/>
    <w:rsid w:val="006D35BE"/>
    <w:rsid w:val="006D36F6"/>
    <w:rsid w:val="006D372D"/>
    <w:rsid w:val="006D3769"/>
    <w:rsid w:val="006D37F2"/>
    <w:rsid w:val="006D3848"/>
    <w:rsid w:val="006D384F"/>
    <w:rsid w:val="006D3855"/>
    <w:rsid w:val="006D395F"/>
    <w:rsid w:val="006D3AE3"/>
    <w:rsid w:val="006D3AE4"/>
    <w:rsid w:val="006D3B01"/>
    <w:rsid w:val="006D3B85"/>
    <w:rsid w:val="006D3BD0"/>
    <w:rsid w:val="006D3CBD"/>
    <w:rsid w:val="006D3D31"/>
    <w:rsid w:val="006D3D9E"/>
    <w:rsid w:val="006D3EDD"/>
    <w:rsid w:val="006D3F4E"/>
    <w:rsid w:val="006D3FD4"/>
    <w:rsid w:val="006D401D"/>
    <w:rsid w:val="006D4089"/>
    <w:rsid w:val="006D413B"/>
    <w:rsid w:val="006D4260"/>
    <w:rsid w:val="006D4270"/>
    <w:rsid w:val="006D43EE"/>
    <w:rsid w:val="006D44F0"/>
    <w:rsid w:val="006D44F2"/>
    <w:rsid w:val="006D453B"/>
    <w:rsid w:val="006D4578"/>
    <w:rsid w:val="006D45FA"/>
    <w:rsid w:val="006D4652"/>
    <w:rsid w:val="006D46F2"/>
    <w:rsid w:val="006D4737"/>
    <w:rsid w:val="006D47A0"/>
    <w:rsid w:val="006D47A9"/>
    <w:rsid w:val="006D49A9"/>
    <w:rsid w:val="006D4A58"/>
    <w:rsid w:val="006D4ABE"/>
    <w:rsid w:val="006D4B2B"/>
    <w:rsid w:val="006D4B7F"/>
    <w:rsid w:val="006D4D56"/>
    <w:rsid w:val="006D4E50"/>
    <w:rsid w:val="006D503F"/>
    <w:rsid w:val="006D5082"/>
    <w:rsid w:val="006D508B"/>
    <w:rsid w:val="006D52B9"/>
    <w:rsid w:val="006D52D9"/>
    <w:rsid w:val="006D52F1"/>
    <w:rsid w:val="006D534F"/>
    <w:rsid w:val="006D53D3"/>
    <w:rsid w:val="006D554E"/>
    <w:rsid w:val="006D55DC"/>
    <w:rsid w:val="006D55FC"/>
    <w:rsid w:val="006D56AC"/>
    <w:rsid w:val="006D5826"/>
    <w:rsid w:val="006D58C5"/>
    <w:rsid w:val="006D5B7B"/>
    <w:rsid w:val="006D5CFE"/>
    <w:rsid w:val="006D5D52"/>
    <w:rsid w:val="006D5ED5"/>
    <w:rsid w:val="006D5F88"/>
    <w:rsid w:val="006D60B9"/>
    <w:rsid w:val="006D61BF"/>
    <w:rsid w:val="006D6276"/>
    <w:rsid w:val="006D6346"/>
    <w:rsid w:val="006D6373"/>
    <w:rsid w:val="006D6381"/>
    <w:rsid w:val="006D64EB"/>
    <w:rsid w:val="006D65D0"/>
    <w:rsid w:val="006D66AF"/>
    <w:rsid w:val="006D672A"/>
    <w:rsid w:val="006D6766"/>
    <w:rsid w:val="006D69C3"/>
    <w:rsid w:val="006D6A17"/>
    <w:rsid w:val="006D6B3A"/>
    <w:rsid w:val="006D6B88"/>
    <w:rsid w:val="006D6EB9"/>
    <w:rsid w:val="006D6FAE"/>
    <w:rsid w:val="006D7055"/>
    <w:rsid w:val="006D7234"/>
    <w:rsid w:val="006D7262"/>
    <w:rsid w:val="006D72D6"/>
    <w:rsid w:val="006D73A9"/>
    <w:rsid w:val="006D740D"/>
    <w:rsid w:val="006D7442"/>
    <w:rsid w:val="006D759B"/>
    <w:rsid w:val="006D769B"/>
    <w:rsid w:val="006D76F7"/>
    <w:rsid w:val="006D781D"/>
    <w:rsid w:val="006D782E"/>
    <w:rsid w:val="006D7BA4"/>
    <w:rsid w:val="006D7CB5"/>
    <w:rsid w:val="006D7D53"/>
    <w:rsid w:val="006D7E38"/>
    <w:rsid w:val="006D7E7D"/>
    <w:rsid w:val="006D7E98"/>
    <w:rsid w:val="006D7F34"/>
    <w:rsid w:val="006D7F8F"/>
    <w:rsid w:val="006E024E"/>
    <w:rsid w:val="006E02C4"/>
    <w:rsid w:val="006E032A"/>
    <w:rsid w:val="006E03AF"/>
    <w:rsid w:val="006E052C"/>
    <w:rsid w:val="006E053D"/>
    <w:rsid w:val="006E055B"/>
    <w:rsid w:val="006E0644"/>
    <w:rsid w:val="006E0688"/>
    <w:rsid w:val="006E0767"/>
    <w:rsid w:val="006E0847"/>
    <w:rsid w:val="006E0871"/>
    <w:rsid w:val="006E08F0"/>
    <w:rsid w:val="006E091B"/>
    <w:rsid w:val="006E09DD"/>
    <w:rsid w:val="006E0A60"/>
    <w:rsid w:val="006E0AB0"/>
    <w:rsid w:val="006E0AB1"/>
    <w:rsid w:val="006E0BD4"/>
    <w:rsid w:val="006E0BF4"/>
    <w:rsid w:val="006E0C64"/>
    <w:rsid w:val="006E0D20"/>
    <w:rsid w:val="006E0EDD"/>
    <w:rsid w:val="006E0FA3"/>
    <w:rsid w:val="006E1039"/>
    <w:rsid w:val="006E10B4"/>
    <w:rsid w:val="006E10F5"/>
    <w:rsid w:val="006E1130"/>
    <w:rsid w:val="006E1155"/>
    <w:rsid w:val="006E1161"/>
    <w:rsid w:val="006E116B"/>
    <w:rsid w:val="006E118D"/>
    <w:rsid w:val="006E12DB"/>
    <w:rsid w:val="006E12FA"/>
    <w:rsid w:val="006E1380"/>
    <w:rsid w:val="006E1388"/>
    <w:rsid w:val="006E16EA"/>
    <w:rsid w:val="006E17A0"/>
    <w:rsid w:val="006E17CF"/>
    <w:rsid w:val="006E182D"/>
    <w:rsid w:val="006E1841"/>
    <w:rsid w:val="006E18E2"/>
    <w:rsid w:val="006E190F"/>
    <w:rsid w:val="006E19A6"/>
    <w:rsid w:val="006E1A62"/>
    <w:rsid w:val="006E1A84"/>
    <w:rsid w:val="006E1C84"/>
    <w:rsid w:val="006E1CF1"/>
    <w:rsid w:val="006E1CF5"/>
    <w:rsid w:val="006E1D2D"/>
    <w:rsid w:val="006E1DEE"/>
    <w:rsid w:val="006E1E50"/>
    <w:rsid w:val="006E1F61"/>
    <w:rsid w:val="006E210E"/>
    <w:rsid w:val="006E221D"/>
    <w:rsid w:val="006E2226"/>
    <w:rsid w:val="006E225C"/>
    <w:rsid w:val="006E225D"/>
    <w:rsid w:val="006E229F"/>
    <w:rsid w:val="006E236F"/>
    <w:rsid w:val="006E238C"/>
    <w:rsid w:val="006E2392"/>
    <w:rsid w:val="006E2488"/>
    <w:rsid w:val="006E248B"/>
    <w:rsid w:val="006E26E6"/>
    <w:rsid w:val="006E2794"/>
    <w:rsid w:val="006E27D3"/>
    <w:rsid w:val="006E2A72"/>
    <w:rsid w:val="006E2CA7"/>
    <w:rsid w:val="006E2D20"/>
    <w:rsid w:val="006E2D2C"/>
    <w:rsid w:val="006E2D64"/>
    <w:rsid w:val="006E2DD3"/>
    <w:rsid w:val="006E2E1C"/>
    <w:rsid w:val="006E306C"/>
    <w:rsid w:val="006E317F"/>
    <w:rsid w:val="006E322C"/>
    <w:rsid w:val="006E3344"/>
    <w:rsid w:val="006E33C5"/>
    <w:rsid w:val="006E34BB"/>
    <w:rsid w:val="006E374A"/>
    <w:rsid w:val="006E3784"/>
    <w:rsid w:val="006E37E4"/>
    <w:rsid w:val="006E380C"/>
    <w:rsid w:val="006E392F"/>
    <w:rsid w:val="006E39D4"/>
    <w:rsid w:val="006E39D6"/>
    <w:rsid w:val="006E3A31"/>
    <w:rsid w:val="006E3A95"/>
    <w:rsid w:val="006E3B3A"/>
    <w:rsid w:val="006E3E0B"/>
    <w:rsid w:val="006E3E19"/>
    <w:rsid w:val="006E3EF1"/>
    <w:rsid w:val="006E3FC2"/>
    <w:rsid w:val="006E40CB"/>
    <w:rsid w:val="006E40FA"/>
    <w:rsid w:val="006E422A"/>
    <w:rsid w:val="006E42B5"/>
    <w:rsid w:val="006E4463"/>
    <w:rsid w:val="006E4531"/>
    <w:rsid w:val="006E49F6"/>
    <w:rsid w:val="006E4A27"/>
    <w:rsid w:val="006E4B4B"/>
    <w:rsid w:val="006E4BE6"/>
    <w:rsid w:val="006E4BFD"/>
    <w:rsid w:val="006E4C20"/>
    <w:rsid w:val="006E4C67"/>
    <w:rsid w:val="006E4C70"/>
    <w:rsid w:val="006E4DE2"/>
    <w:rsid w:val="006E4DEF"/>
    <w:rsid w:val="006E4F56"/>
    <w:rsid w:val="006E502C"/>
    <w:rsid w:val="006E5074"/>
    <w:rsid w:val="006E50CA"/>
    <w:rsid w:val="006E51EB"/>
    <w:rsid w:val="006E534B"/>
    <w:rsid w:val="006E535D"/>
    <w:rsid w:val="006E56A9"/>
    <w:rsid w:val="006E56CE"/>
    <w:rsid w:val="006E570B"/>
    <w:rsid w:val="006E5717"/>
    <w:rsid w:val="006E572C"/>
    <w:rsid w:val="006E57AC"/>
    <w:rsid w:val="006E57F4"/>
    <w:rsid w:val="006E58C4"/>
    <w:rsid w:val="006E597D"/>
    <w:rsid w:val="006E5AD8"/>
    <w:rsid w:val="006E5C6B"/>
    <w:rsid w:val="006E5C70"/>
    <w:rsid w:val="006E5CAC"/>
    <w:rsid w:val="006E5CE5"/>
    <w:rsid w:val="006E5DF3"/>
    <w:rsid w:val="006E5E6C"/>
    <w:rsid w:val="006E5E7A"/>
    <w:rsid w:val="006E5F0E"/>
    <w:rsid w:val="006E5F2F"/>
    <w:rsid w:val="006E5F81"/>
    <w:rsid w:val="006E60A2"/>
    <w:rsid w:val="006E6390"/>
    <w:rsid w:val="006E6436"/>
    <w:rsid w:val="006E6470"/>
    <w:rsid w:val="006E65CB"/>
    <w:rsid w:val="006E66DE"/>
    <w:rsid w:val="006E66F1"/>
    <w:rsid w:val="006E67AE"/>
    <w:rsid w:val="006E6BAE"/>
    <w:rsid w:val="006E6C15"/>
    <w:rsid w:val="006E6CE6"/>
    <w:rsid w:val="006E6D36"/>
    <w:rsid w:val="006E6D56"/>
    <w:rsid w:val="006E6D5D"/>
    <w:rsid w:val="006E6F75"/>
    <w:rsid w:val="006E70EE"/>
    <w:rsid w:val="006E7170"/>
    <w:rsid w:val="006E718C"/>
    <w:rsid w:val="006E71CF"/>
    <w:rsid w:val="006E729F"/>
    <w:rsid w:val="006E72E6"/>
    <w:rsid w:val="006E72E8"/>
    <w:rsid w:val="006E7314"/>
    <w:rsid w:val="006E76DB"/>
    <w:rsid w:val="006E775B"/>
    <w:rsid w:val="006E77E4"/>
    <w:rsid w:val="006E7B65"/>
    <w:rsid w:val="006E7B86"/>
    <w:rsid w:val="006E7C10"/>
    <w:rsid w:val="006E7C29"/>
    <w:rsid w:val="006E7C55"/>
    <w:rsid w:val="006E7C92"/>
    <w:rsid w:val="006E7CCA"/>
    <w:rsid w:val="006E7ED6"/>
    <w:rsid w:val="006F01BD"/>
    <w:rsid w:val="006F01DD"/>
    <w:rsid w:val="006F0203"/>
    <w:rsid w:val="006F02DC"/>
    <w:rsid w:val="006F060D"/>
    <w:rsid w:val="006F06DB"/>
    <w:rsid w:val="006F06FF"/>
    <w:rsid w:val="006F08D6"/>
    <w:rsid w:val="006F0B8E"/>
    <w:rsid w:val="006F0BB1"/>
    <w:rsid w:val="006F0BCB"/>
    <w:rsid w:val="006F0BDE"/>
    <w:rsid w:val="006F0D16"/>
    <w:rsid w:val="006F0D25"/>
    <w:rsid w:val="006F0DD8"/>
    <w:rsid w:val="006F0E4E"/>
    <w:rsid w:val="006F0EA7"/>
    <w:rsid w:val="006F0FA9"/>
    <w:rsid w:val="006F0FC1"/>
    <w:rsid w:val="006F109E"/>
    <w:rsid w:val="006F1113"/>
    <w:rsid w:val="006F1170"/>
    <w:rsid w:val="006F121E"/>
    <w:rsid w:val="006F1220"/>
    <w:rsid w:val="006F122E"/>
    <w:rsid w:val="006F1297"/>
    <w:rsid w:val="006F132E"/>
    <w:rsid w:val="006F13E8"/>
    <w:rsid w:val="006F1404"/>
    <w:rsid w:val="006F14B7"/>
    <w:rsid w:val="006F15B9"/>
    <w:rsid w:val="006F1614"/>
    <w:rsid w:val="006F168A"/>
    <w:rsid w:val="006F17A8"/>
    <w:rsid w:val="006F17AF"/>
    <w:rsid w:val="006F1828"/>
    <w:rsid w:val="006F18C2"/>
    <w:rsid w:val="006F1906"/>
    <w:rsid w:val="006F190E"/>
    <w:rsid w:val="006F1A49"/>
    <w:rsid w:val="006F1A72"/>
    <w:rsid w:val="006F1B16"/>
    <w:rsid w:val="006F1B4B"/>
    <w:rsid w:val="006F1D35"/>
    <w:rsid w:val="006F1DCC"/>
    <w:rsid w:val="006F1EF3"/>
    <w:rsid w:val="006F207C"/>
    <w:rsid w:val="006F2171"/>
    <w:rsid w:val="006F2197"/>
    <w:rsid w:val="006F21FE"/>
    <w:rsid w:val="006F2308"/>
    <w:rsid w:val="006F247E"/>
    <w:rsid w:val="006F24C8"/>
    <w:rsid w:val="006F25D6"/>
    <w:rsid w:val="006F2610"/>
    <w:rsid w:val="006F265B"/>
    <w:rsid w:val="006F27AB"/>
    <w:rsid w:val="006F27CE"/>
    <w:rsid w:val="006F28A0"/>
    <w:rsid w:val="006F28C6"/>
    <w:rsid w:val="006F29A3"/>
    <w:rsid w:val="006F29AC"/>
    <w:rsid w:val="006F2B2E"/>
    <w:rsid w:val="006F2C2D"/>
    <w:rsid w:val="006F2CB8"/>
    <w:rsid w:val="006F2E63"/>
    <w:rsid w:val="006F301E"/>
    <w:rsid w:val="006F30FF"/>
    <w:rsid w:val="006F3173"/>
    <w:rsid w:val="006F31F2"/>
    <w:rsid w:val="006F3251"/>
    <w:rsid w:val="006F32BA"/>
    <w:rsid w:val="006F344E"/>
    <w:rsid w:val="006F355E"/>
    <w:rsid w:val="006F35C0"/>
    <w:rsid w:val="006F3711"/>
    <w:rsid w:val="006F37D0"/>
    <w:rsid w:val="006F3961"/>
    <w:rsid w:val="006F399D"/>
    <w:rsid w:val="006F3B98"/>
    <w:rsid w:val="006F3C62"/>
    <w:rsid w:val="006F3C7B"/>
    <w:rsid w:val="006F3C83"/>
    <w:rsid w:val="006F3CED"/>
    <w:rsid w:val="006F3DEC"/>
    <w:rsid w:val="006F3E13"/>
    <w:rsid w:val="006F3EE5"/>
    <w:rsid w:val="006F3F63"/>
    <w:rsid w:val="006F3FE8"/>
    <w:rsid w:val="006F4023"/>
    <w:rsid w:val="006F4094"/>
    <w:rsid w:val="006F40A0"/>
    <w:rsid w:val="006F41AA"/>
    <w:rsid w:val="006F41FA"/>
    <w:rsid w:val="006F4251"/>
    <w:rsid w:val="006F4253"/>
    <w:rsid w:val="006F4522"/>
    <w:rsid w:val="006F479D"/>
    <w:rsid w:val="006F492F"/>
    <w:rsid w:val="006F4943"/>
    <w:rsid w:val="006F496F"/>
    <w:rsid w:val="006F4B2A"/>
    <w:rsid w:val="006F4B3B"/>
    <w:rsid w:val="006F4B52"/>
    <w:rsid w:val="006F4BDB"/>
    <w:rsid w:val="006F4D18"/>
    <w:rsid w:val="006F4D67"/>
    <w:rsid w:val="006F4F41"/>
    <w:rsid w:val="006F4FA9"/>
    <w:rsid w:val="006F4FBE"/>
    <w:rsid w:val="006F5002"/>
    <w:rsid w:val="006F5021"/>
    <w:rsid w:val="006F50A7"/>
    <w:rsid w:val="006F50AA"/>
    <w:rsid w:val="006F510A"/>
    <w:rsid w:val="006F5143"/>
    <w:rsid w:val="006F5370"/>
    <w:rsid w:val="006F565D"/>
    <w:rsid w:val="006F5764"/>
    <w:rsid w:val="006F5881"/>
    <w:rsid w:val="006F598A"/>
    <w:rsid w:val="006F5A85"/>
    <w:rsid w:val="006F5C0D"/>
    <w:rsid w:val="006F5D10"/>
    <w:rsid w:val="006F5D1B"/>
    <w:rsid w:val="006F602C"/>
    <w:rsid w:val="006F606B"/>
    <w:rsid w:val="006F60D3"/>
    <w:rsid w:val="006F615A"/>
    <w:rsid w:val="006F62E8"/>
    <w:rsid w:val="006F63AE"/>
    <w:rsid w:val="006F640F"/>
    <w:rsid w:val="006F649A"/>
    <w:rsid w:val="006F6760"/>
    <w:rsid w:val="006F6826"/>
    <w:rsid w:val="006F6A52"/>
    <w:rsid w:val="006F6E16"/>
    <w:rsid w:val="006F6E8C"/>
    <w:rsid w:val="006F6EC2"/>
    <w:rsid w:val="006F6FDC"/>
    <w:rsid w:val="006F70BB"/>
    <w:rsid w:val="006F71D7"/>
    <w:rsid w:val="006F73E2"/>
    <w:rsid w:val="006F7411"/>
    <w:rsid w:val="006F7433"/>
    <w:rsid w:val="006F74A7"/>
    <w:rsid w:val="006F757D"/>
    <w:rsid w:val="006F759C"/>
    <w:rsid w:val="006F75ED"/>
    <w:rsid w:val="006F75F6"/>
    <w:rsid w:val="006F7646"/>
    <w:rsid w:val="006F770B"/>
    <w:rsid w:val="006F7792"/>
    <w:rsid w:val="006F77B7"/>
    <w:rsid w:val="006F7934"/>
    <w:rsid w:val="006F7A67"/>
    <w:rsid w:val="006F7A75"/>
    <w:rsid w:val="006F7AAE"/>
    <w:rsid w:val="006F7ACA"/>
    <w:rsid w:val="006F7B2E"/>
    <w:rsid w:val="006F7B8C"/>
    <w:rsid w:val="006F7BD1"/>
    <w:rsid w:val="006F7C9C"/>
    <w:rsid w:val="006F7DE0"/>
    <w:rsid w:val="006F7E7A"/>
    <w:rsid w:val="0070002E"/>
    <w:rsid w:val="007000C6"/>
    <w:rsid w:val="0070019D"/>
    <w:rsid w:val="007001A5"/>
    <w:rsid w:val="007001CC"/>
    <w:rsid w:val="0070025A"/>
    <w:rsid w:val="0070037D"/>
    <w:rsid w:val="00700383"/>
    <w:rsid w:val="007004EF"/>
    <w:rsid w:val="00700590"/>
    <w:rsid w:val="007005C0"/>
    <w:rsid w:val="0070070A"/>
    <w:rsid w:val="007008E4"/>
    <w:rsid w:val="007009D6"/>
    <w:rsid w:val="00700A4C"/>
    <w:rsid w:val="00700B07"/>
    <w:rsid w:val="00700B16"/>
    <w:rsid w:val="00700B35"/>
    <w:rsid w:val="00700BFA"/>
    <w:rsid w:val="00700C1B"/>
    <w:rsid w:val="00700C5E"/>
    <w:rsid w:val="00700D15"/>
    <w:rsid w:val="00700EEF"/>
    <w:rsid w:val="00700F6E"/>
    <w:rsid w:val="00700F8B"/>
    <w:rsid w:val="0070110B"/>
    <w:rsid w:val="0070112B"/>
    <w:rsid w:val="007011C6"/>
    <w:rsid w:val="007012D5"/>
    <w:rsid w:val="00701431"/>
    <w:rsid w:val="0070147A"/>
    <w:rsid w:val="0070165C"/>
    <w:rsid w:val="00701749"/>
    <w:rsid w:val="00701755"/>
    <w:rsid w:val="00701890"/>
    <w:rsid w:val="00701A10"/>
    <w:rsid w:val="00701A83"/>
    <w:rsid w:val="00701C60"/>
    <w:rsid w:val="00701CCC"/>
    <w:rsid w:val="00701DCD"/>
    <w:rsid w:val="00701E37"/>
    <w:rsid w:val="00701E8F"/>
    <w:rsid w:val="00701E9F"/>
    <w:rsid w:val="00701EAE"/>
    <w:rsid w:val="00701EE6"/>
    <w:rsid w:val="00701FB2"/>
    <w:rsid w:val="00701FFA"/>
    <w:rsid w:val="0070215B"/>
    <w:rsid w:val="007021C7"/>
    <w:rsid w:val="00702224"/>
    <w:rsid w:val="00702309"/>
    <w:rsid w:val="0070236E"/>
    <w:rsid w:val="007023A9"/>
    <w:rsid w:val="00702429"/>
    <w:rsid w:val="0070242C"/>
    <w:rsid w:val="00702492"/>
    <w:rsid w:val="00702505"/>
    <w:rsid w:val="00702668"/>
    <w:rsid w:val="007026EC"/>
    <w:rsid w:val="007026F8"/>
    <w:rsid w:val="00702819"/>
    <w:rsid w:val="00702863"/>
    <w:rsid w:val="0070287F"/>
    <w:rsid w:val="007028C5"/>
    <w:rsid w:val="00702924"/>
    <w:rsid w:val="00702986"/>
    <w:rsid w:val="00702A6D"/>
    <w:rsid w:val="00702E77"/>
    <w:rsid w:val="00702FE5"/>
    <w:rsid w:val="00703184"/>
    <w:rsid w:val="0070319E"/>
    <w:rsid w:val="00703299"/>
    <w:rsid w:val="00703348"/>
    <w:rsid w:val="00703364"/>
    <w:rsid w:val="00703465"/>
    <w:rsid w:val="007034D3"/>
    <w:rsid w:val="0070354F"/>
    <w:rsid w:val="0070371C"/>
    <w:rsid w:val="0070387F"/>
    <w:rsid w:val="007038FC"/>
    <w:rsid w:val="00703960"/>
    <w:rsid w:val="00703986"/>
    <w:rsid w:val="00703A22"/>
    <w:rsid w:val="00703ADC"/>
    <w:rsid w:val="00703B52"/>
    <w:rsid w:val="00703C27"/>
    <w:rsid w:val="00703C5B"/>
    <w:rsid w:val="00703C85"/>
    <w:rsid w:val="007040B7"/>
    <w:rsid w:val="0070416C"/>
    <w:rsid w:val="00704172"/>
    <w:rsid w:val="007042F8"/>
    <w:rsid w:val="0070431D"/>
    <w:rsid w:val="007043AB"/>
    <w:rsid w:val="00704441"/>
    <w:rsid w:val="007044A8"/>
    <w:rsid w:val="007045A6"/>
    <w:rsid w:val="00704649"/>
    <w:rsid w:val="00704656"/>
    <w:rsid w:val="007046D0"/>
    <w:rsid w:val="00704711"/>
    <w:rsid w:val="0070477B"/>
    <w:rsid w:val="007047B4"/>
    <w:rsid w:val="007047C1"/>
    <w:rsid w:val="007047E1"/>
    <w:rsid w:val="00704802"/>
    <w:rsid w:val="00704806"/>
    <w:rsid w:val="00704A06"/>
    <w:rsid w:val="00704B05"/>
    <w:rsid w:val="00704B46"/>
    <w:rsid w:val="00704C04"/>
    <w:rsid w:val="00704C4F"/>
    <w:rsid w:val="00704E68"/>
    <w:rsid w:val="00704E89"/>
    <w:rsid w:val="00704F1C"/>
    <w:rsid w:val="0070512F"/>
    <w:rsid w:val="007051B8"/>
    <w:rsid w:val="007051DF"/>
    <w:rsid w:val="00705230"/>
    <w:rsid w:val="00705370"/>
    <w:rsid w:val="0070543E"/>
    <w:rsid w:val="00705549"/>
    <w:rsid w:val="007055D3"/>
    <w:rsid w:val="007056C9"/>
    <w:rsid w:val="00705766"/>
    <w:rsid w:val="00705AC2"/>
    <w:rsid w:val="00705C40"/>
    <w:rsid w:val="00705C4D"/>
    <w:rsid w:val="00705D37"/>
    <w:rsid w:val="00705E1D"/>
    <w:rsid w:val="00705ED3"/>
    <w:rsid w:val="00705F86"/>
    <w:rsid w:val="00705FBF"/>
    <w:rsid w:val="00706001"/>
    <w:rsid w:val="00706121"/>
    <w:rsid w:val="00706128"/>
    <w:rsid w:val="00706136"/>
    <w:rsid w:val="00706253"/>
    <w:rsid w:val="0070637F"/>
    <w:rsid w:val="0070645A"/>
    <w:rsid w:val="00706522"/>
    <w:rsid w:val="007066A9"/>
    <w:rsid w:val="00706BA1"/>
    <w:rsid w:val="00706C43"/>
    <w:rsid w:val="00706EEF"/>
    <w:rsid w:val="00706F89"/>
    <w:rsid w:val="0070703A"/>
    <w:rsid w:val="007071B3"/>
    <w:rsid w:val="007072B6"/>
    <w:rsid w:val="00707423"/>
    <w:rsid w:val="007074BF"/>
    <w:rsid w:val="00707816"/>
    <w:rsid w:val="00707910"/>
    <w:rsid w:val="00707A3B"/>
    <w:rsid w:val="00707A85"/>
    <w:rsid w:val="00707B15"/>
    <w:rsid w:val="00707CAA"/>
    <w:rsid w:val="00707FBF"/>
    <w:rsid w:val="00707FD2"/>
    <w:rsid w:val="00710028"/>
    <w:rsid w:val="00710074"/>
    <w:rsid w:val="00710146"/>
    <w:rsid w:val="00710201"/>
    <w:rsid w:val="00710238"/>
    <w:rsid w:val="0071026C"/>
    <w:rsid w:val="00710454"/>
    <w:rsid w:val="00710592"/>
    <w:rsid w:val="007105F6"/>
    <w:rsid w:val="0071066E"/>
    <w:rsid w:val="00710722"/>
    <w:rsid w:val="00710818"/>
    <w:rsid w:val="007109E9"/>
    <w:rsid w:val="00710A25"/>
    <w:rsid w:val="00710C49"/>
    <w:rsid w:val="00710C57"/>
    <w:rsid w:val="00710D01"/>
    <w:rsid w:val="00710DB1"/>
    <w:rsid w:val="00711024"/>
    <w:rsid w:val="0071110F"/>
    <w:rsid w:val="007111EB"/>
    <w:rsid w:val="0071122F"/>
    <w:rsid w:val="0071127C"/>
    <w:rsid w:val="007112AA"/>
    <w:rsid w:val="00711345"/>
    <w:rsid w:val="007113C6"/>
    <w:rsid w:val="0071142A"/>
    <w:rsid w:val="00711484"/>
    <w:rsid w:val="00711499"/>
    <w:rsid w:val="00711569"/>
    <w:rsid w:val="007115FC"/>
    <w:rsid w:val="007117A9"/>
    <w:rsid w:val="00711858"/>
    <w:rsid w:val="00711B42"/>
    <w:rsid w:val="00711B5D"/>
    <w:rsid w:val="00711BC3"/>
    <w:rsid w:val="00711C07"/>
    <w:rsid w:val="00711C0C"/>
    <w:rsid w:val="00711C87"/>
    <w:rsid w:val="00711E5E"/>
    <w:rsid w:val="00711FF5"/>
    <w:rsid w:val="00712043"/>
    <w:rsid w:val="0071223D"/>
    <w:rsid w:val="0071235D"/>
    <w:rsid w:val="007123D6"/>
    <w:rsid w:val="00712518"/>
    <w:rsid w:val="00712591"/>
    <w:rsid w:val="0071274C"/>
    <w:rsid w:val="007127EC"/>
    <w:rsid w:val="007127F7"/>
    <w:rsid w:val="007127F9"/>
    <w:rsid w:val="00712A14"/>
    <w:rsid w:val="00712B84"/>
    <w:rsid w:val="00712B85"/>
    <w:rsid w:val="00712C37"/>
    <w:rsid w:val="00712CB0"/>
    <w:rsid w:val="00712D0F"/>
    <w:rsid w:val="00712DB5"/>
    <w:rsid w:val="00712EB9"/>
    <w:rsid w:val="00712EBD"/>
    <w:rsid w:val="00712F40"/>
    <w:rsid w:val="00712F97"/>
    <w:rsid w:val="007130AF"/>
    <w:rsid w:val="007132B8"/>
    <w:rsid w:val="007132BC"/>
    <w:rsid w:val="0071332F"/>
    <w:rsid w:val="007133BA"/>
    <w:rsid w:val="007133F7"/>
    <w:rsid w:val="00713435"/>
    <w:rsid w:val="00713527"/>
    <w:rsid w:val="00713664"/>
    <w:rsid w:val="0071366D"/>
    <w:rsid w:val="007136F0"/>
    <w:rsid w:val="0071373C"/>
    <w:rsid w:val="00713802"/>
    <w:rsid w:val="00713841"/>
    <w:rsid w:val="00713872"/>
    <w:rsid w:val="00713930"/>
    <w:rsid w:val="00713A13"/>
    <w:rsid w:val="00713AED"/>
    <w:rsid w:val="00713BBC"/>
    <w:rsid w:val="00713C76"/>
    <w:rsid w:val="00713D94"/>
    <w:rsid w:val="00713E2E"/>
    <w:rsid w:val="00713E8A"/>
    <w:rsid w:val="00713FA5"/>
    <w:rsid w:val="00714031"/>
    <w:rsid w:val="007140CF"/>
    <w:rsid w:val="00714122"/>
    <w:rsid w:val="0071415E"/>
    <w:rsid w:val="00714286"/>
    <w:rsid w:val="0071446F"/>
    <w:rsid w:val="00714584"/>
    <w:rsid w:val="00714684"/>
    <w:rsid w:val="00714778"/>
    <w:rsid w:val="00714910"/>
    <w:rsid w:val="0071494F"/>
    <w:rsid w:val="00714A09"/>
    <w:rsid w:val="00714ACA"/>
    <w:rsid w:val="00714AD0"/>
    <w:rsid w:val="00714C2A"/>
    <w:rsid w:val="00714C85"/>
    <w:rsid w:val="00714DA6"/>
    <w:rsid w:val="00714ED5"/>
    <w:rsid w:val="007150D5"/>
    <w:rsid w:val="0071517E"/>
    <w:rsid w:val="0071525F"/>
    <w:rsid w:val="00715280"/>
    <w:rsid w:val="0071529A"/>
    <w:rsid w:val="007154F4"/>
    <w:rsid w:val="00715525"/>
    <w:rsid w:val="0071561A"/>
    <w:rsid w:val="0071572C"/>
    <w:rsid w:val="007157BB"/>
    <w:rsid w:val="007157E9"/>
    <w:rsid w:val="007157EB"/>
    <w:rsid w:val="00715864"/>
    <w:rsid w:val="007158A8"/>
    <w:rsid w:val="007158B4"/>
    <w:rsid w:val="00715920"/>
    <w:rsid w:val="00715AE8"/>
    <w:rsid w:val="00715BBC"/>
    <w:rsid w:val="00715BEE"/>
    <w:rsid w:val="00715C33"/>
    <w:rsid w:val="00715D68"/>
    <w:rsid w:val="00715D72"/>
    <w:rsid w:val="00715F3E"/>
    <w:rsid w:val="007160BC"/>
    <w:rsid w:val="00716100"/>
    <w:rsid w:val="00716150"/>
    <w:rsid w:val="00716159"/>
    <w:rsid w:val="00716165"/>
    <w:rsid w:val="007161DE"/>
    <w:rsid w:val="00716251"/>
    <w:rsid w:val="007162C7"/>
    <w:rsid w:val="00716387"/>
    <w:rsid w:val="00716509"/>
    <w:rsid w:val="007165FB"/>
    <w:rsid w:val="007166C6"/>
    <w:rsid w:val="00716859"/>
    <w:rsid w:val="007168A2"/>
    <w:rsid w:val="007168B0"/>
    <w:rsid w:val="00716A74"/>
    <w:rsid w:val="00716C21"/>
    <w:rsid w:val="00716D0E"/>
    <w:rsid w:val="00716E6E"/>
    <w:rsid w:val="00716E94"/>
    <w:rsid w:val="00716EBC"/>
    <w:rsid w:val="00716EF5"/>
    <w:rsid w:val="007172D9"/>
    <w:rsid w:val="0071746C"/>
    <w:rsid w:val="00717556"/>
    <w:rsid w:val="007175F1"/>
    <w:rsid w:val="00717618"/>
    <w:rsid w:val="007176B3"/>
    <w:rsid w:val="007176C2"/>
    <w:rsid w:val="00717761"/>
    <w:rsid w:val="007177DE"/>
    <w:rsid w:val="00717838"/>
    <w:rsid w:val="007178CE"/>
    <w:rsid w:val="00717A47"/>
    <w:rsid w:val="00717A6F"/>
    <w:rsid w:val="00717B25"/>
    <w:rsid w:val="00717B41"/>
    <w:rsid w:val="00717C19"/>
    <w:rsid w:val="00717D45"/>
    <w:rsid w:val="00717D69"/>
    <w:rsid w:val="00717E55"/>
    <w:rsid w:val="00717E83"/>
    <w:rsid w:val="00717FE9"/>
    <w:rsid w:val="00720052"/>
    <w:rsid w:val="00720075"/>
    <w:rsid w:val="007200A9"/>
    <w:rsid w:val="007200B6"/>
    <w:rsid w:val="00720153"/>
    <w:rsid w:val="00720194"/>
    <w:rsid w:val="0072024B"/>
    <w:rsid w:val="00720397"/>
    <w:rsid w:val="007203BC"/>
    <w:rsid w:val="00720492"/>
    <w:rsid w:val="00720639"/>
    <w:rsid w:val="00720888"/>
    <w:rsid w:val="00720915"/>
    <w:rsid w:val="0072092E"/>
    <w:rsid w:val="00720A7E"/>
    <w:rsid w:val="00720AD6"/>
    <w:rsid w:val="00720C75"/>
    <w:rsid w:val="00720C96"/>
    <w:rsid w:val="00720DB5"/>
    <w:rsid w:val="00720E1D"/>
    <w:rsid w:val="00720FAC"/>
    <w:rsid w:val="00720FCB"/>
    <w:rsid w:val="00721004"/>
    <w:rsid w:val="007210C7"/>
    <w:rsid w:val="00721136"/>
    <w:rsid w:val="0072113E"/>
    <w:rsid w:val="00721176"/>
    <w:rsid w:val="007211FC"/>
    <w:rsid w:val="00721231"/>
    <w:rsid w:val="0072131A"/>
    <w:rsid w:val="0072138D"/>
    <w:rsid w:val="00721452"/>
    <w:rsid w:val="0072147B"/>
    <w:rsid w:val="007214F1"/>
    <w:rsid w:val="007216BD"/>
    <w:rsid w:val="00721796"/>
    <w:rsid w:val="00721840"/>
    <w:rsid w:val="0072186A"/>
    <w:rsid w:val="007218A4"/>
    <w:rsid w:val="007218B7"/>
    <w:rsid w:val="00721948"/>
    <w:rsid w:val="00721A71"/>
    <w:rsid w:val="00721A8B"/>
    <w:rsid w:val="00721AAA"/>
    <w:rsid w:val="00721B37"/>
    <w:rsid w:val="00721B4A"/>
    <w:rsid w:val="00721B58"/>
    <w:rsid w:val="00721C2E"/>
    <w:rsid w:val="00721D5D"/>
    <w:rsid w:val="00721E03"/>
    <w:rsid w:val="00721EB3"/>
    <w:rsid w:val="00721FF5"/>
    <w:rsid w:val="00722008"/>
    <w:rsid w:val="0072201F"/>
    <w:rsid w:val="007220CD"/>
    <w:rsid w:val="0072217A"/>
    <w:rsid w:val="00722349"/>
    <w:rsid w:val="0072246A"/>
    <w:rsid w:val="0072248B"/>
    <w:rsid w:val="0072252F"/>
    <w:rsid w:val="00722602"/>
    <w:rsid w:val="0072273F"/>
    <w:rsid w:val="00722760"/>
    <w:rsid w:val="007227D6"/>
    <w:rsid w:val="00722844"/>
    <w:rsid w:val="007229F8"/>
    <w:rsid w:val="00722A72"/>
    <w:rsid w:val="00722AB8"/>
    <w:rsid w:val="00722C04"/>
    <w:rsid w:val="00722CC3"/>
    <w:rsid w:val="00722D4D"/>
    <w:rsid w:val="00722DA0"/>
    <w:rsid w:val="00723021"/>
    <w:rsid w:val="007231D7"/>
    <w:rsid w:val="007231D9"/>
    <w:rsid w:val="007232CD"/>
    <w:rsid w:val="007233A8"/>
    <w:rsid w:val="0072348C"/>
    <w:rsid w:val="007234E1"/>
    <w:rsid w:val="0072362C"/>
    <w:rsid w:val="007236F7"/>
    <w:rsid w:val="0072370E"/>
    <w:rsid w:val="00723755"/>
    <w:rsid w:val="00723784"/>
    <w:rsid w:val="00723785"/>
    <w:rsid w:val="0072388B"/>
    <w:rsid w:val="00723921"/>
    <w:rsid w:val="00723969"/>
    <w:rsid w:val="007239DB"/>
    <w:rsid w:val="00723ACE"/>
    <w:rsid w:val="00723AED"/>
    <w:rsid w:val="00723BD1"/>
    <w:rsid w:val="00723BF8"/>
    <w:rsid w:val="00723C70"/>
    <w:rsid w:val="00723CC6"/>
    <w:rsid w:val="00723D0B"/>
    <w:rsid w:val="00723ECA"/>
    <w:rsid w:val="00723F1E"/>
    <w:rsid w:val="007240A2"/>
    <w:rsid w:val="0072410D"/>
    <w:rsid w:val="0072418B"/>
    <w:rsid w:val="00724283"/>
    <w:rsid w:val="007242EC"/>
    <w:rsid w:val="00724381"/>
    <w:rsid w:val="007243AA"/>
    <w:rsid w:val="007246BF"/>
    <w:rsid w:val="007246D7"/>
    <w:rsid w:val="00724B55"/>
    <w:rsid w:val="00724C13"/>
    <w:rsid w:val="00724CC5"/>
    <w:rsid w:val="00724D15"/>
    <w:rsid w:val="00724D39"/>
    <w:rsid w:val="00724DEF"/>
    <w:rsid w:val="00724EB5"/>
    <w:rsid w:val="00724EEC"/>
    <w:rsid w:val="00724F97"/>
    <w:rsid w:val="00724FAB"/>
    <w:rsid w:val="00724FB6"/>
    <w:rsid w:val="00725080"/>
    <w:rsid w:val="007251C0"/>
    <w:rsid w:val="00725228"/>
    <w:rsid w:val="00725280"/>
    <w:rsid w:val="007252AC"/>
    <w:rsid w:val="00725531"/>
    <w:rsid w:val="00725604"/>
    <w:rsid w:val="00725641"/>
    <w:rsid w:val="007257CB"/>
    <w:rsid w:val="00725823"/>
    <w:rsid w:val="00725854"/>
    <w:rsid w:val="00725899"/>
    <w:rsid w:val="0072595D"/>
    <w:rsid w:val="00725B1C"/>
    <w:rsid w:val="00725C0C"/>
    <w:rsid w:val="00725C31"/>
    <w:rsid w:val="00725C89"/>
    <w:rsid w:val="00725E5C"/>
    <w:rsid w:val="00725E71"/>
    <w:rsid w:val="00725F5D"/>
    <w:rsid w:val="00725F8C"/>
    <w:rsid w:val="0072604F"/>
    <w:rsid w:val="00726051"/>
    <w:rsid w:val="00726172"/>
    <w:rsid w:val="007261DA"/>
    <w:rsid w:val="0072628E"/>
    <w:rsid w:val="007262AC"/>
    <w:rsid w:val="0072632A"/>
    <w:rsid w:val="007263F3"/>
    <w:rsid w:val="00726416"/>
    <w:rsid w:val="00726806"/>
    <w:rsid w:val="00726813"/>
    <w:rsid w:val="00726819"/>
    <w:rsid w:val="00726899"/>
    <w:rsid w:val="00726976"/>
    <w:rsid w:val="007269C2"/>
    <w:rsid w:val="00726A80"/>
    <w:rsid w:val="00726A85"/>
    <w:rsid w:val="00726B60"/>
    <w:rsid w:val="00726BD0"/>
    <w:rsid w:val="00726C50"/>
    <w:rsid w:val="00726CCC"/>
    <w:rsid w:val="00726D20"/>
    <w:rsid w:val="00726D94"/>
    <w:rsid w:val="00726DB2"/>
    <w:rsid w:val="00726F3F"/>
    <w:rsid w:val="00726F4D"/>
    <w:rsid w:val="00726F63"/>
    <w:rsid w:val="0072704E"/>
    <w:rsid w:val="00727151"/>
    <w:rsid w:val="00727220"/>
    <w:rsid w:val="007272D1"/>
    <w:rsid w:val="0072732B"/>
    <w:rsid w:val="007273B4"/>
    <w:rsid w:val="0072746D"/>
    <w:rsid w:val="007274C5"/>
    <w:rsid w:val="00727539"/>
    <w:rsid w:val="007275FF"/>
    <w:rsid w:val="00727619"/>
    <w:rsid w:val="00727725"/>
    <w:rsid w:val="007277A1"/>
    <w:rsid w:val="00727808"/>
    <w:rsid w:val="00727893"/>
    <w:rsid w:val="007278B9"/>
    <w:rsid w:val="0072790E"/>
    <w:rsid w:val="00727918"/>
    <w:rsid w:val="0072794E"/>
    <w:rsid w:val="007279A9"/>
    <w:rsid w:val="007279D2"/>
    <w:rsid w:val="00727A13"/>
    <w:rsid w:val="00727A38"/>
    <w:rsid w:val="00727A4F"/>
    <w:rsid w:val="00727A64"/>
    <w:rsid w:val="00727B18"/>
    <w:rsid w:val="00727BC7"/>
    <w:rsid w:val="00727C55"/>
    <w:rsid w:val="00727CE6"/>
    <w:rsid w:val="00727D17"/>
    <w:rsid w:val="00727D28"/>
    <w:rsid w:val="00727D71"/>
    <w:rsid w:val="00727E4F"/>
    <w:rsid w:val="00727EA4"/>
    <w:rsid w:val="00727EC1"/>
    <w:rsid w:val="00727F00"/>
    <w:rsid w:val="00727F3E"/>
    <w:rsid w:val="007300F0"/>
    <w:rsid w:val="007300F6"/>
    <w:rsid w:val="00730243"/>
    <w:rsid w:val="00730354"/>
    <w:rsid w:val="00730767"/>
    <w:rsid w:val="00730846"/>
    <w:rsid w:val="007308E1"/>
    <w:rsid w:val="00730A60"/>
    <w:rsid w:val="00730B13"/>
    <w:rsid w:val="00730B50"/>
    <w:rsid w:val="00730BA6"/>
    <w:rsid w:val="00730C5E"/>
    <w:rsid w:val="00730CA0"/>
    <w:rsid w:val="00730D0A"/>
    <w:rsid w:val="00730DEC"/>
    <w:rsid w:val="00730E44"/>
    <w:rsid w:val="00730FDD"/>
    <w:rsid w:val="00730FEC"/>
    <w:rsid w:val="00731084"/>
    <w:rsid w:val="00731143"/>
    <w:rsid w:val="007311D7"/>
    <w:rsid w:val="00731268"/>
    <w:rsid w:val="00731287"/>
    <w:rsid w:val="007312AA"/>
    <w:rsid w:val="00731367"/>
    <w:rsid w:val="007313E1"/>
    <w:rsid w:val="00731428"/>
    <w:rsid w:val="00731652"/>
    <w:rsid w:val="007317B2"/>
    <w:rsid w:val="00731957"/>
    <w:rsid w:val="007319B0"/>
    <w:rsid w:val="00731A9F"/>
    <w:rsid w:val="00731B0C"/>
    <w:rsid w:val="00731B5C"/>
    <w:rsid w:val="00731C30"/>
    <w:rsid w:val="00731C62"/>
    <w:rsid w:val="00731EBE"/>
    <w:rsid w:val="00731F44"/>
    <w:rsid w:val="007320C6"/>
    <w:rsid w:val="00732114"/>
    <w:rsid w:val="0073219A"/>
    <w:rsid w:val="007323D4"/>
    <w:rsid w:val="007323DA"/>
    <w:rsid w:val="00732465"/>
    <w:rsid w:val="00732492"/>
    <w:rsid w:val="00732504"/>
    <w:rsid w:val="00732570"/>
    <w:rsid w:val="00732978"/>
    <w:rsid w:val="007329F4"/>
    <w:rsid w:val="00732B5B"/>
    <w:rsid w:val="00732B6D"/>
    <w:rsid w:val="00732C23"/>
    <w:rsid w:val="00732C6E"/>
    <w:rsid w:val="00732D05"/>
    <w:rsid w:val="00732EC3"/>
    <w:rsid w:val="00732FA1"/>
    <w:rsid w:val="00732FBD"/>
    <w:rsid w:val="00732FD2"/>
    <w:rsid w:val="00733051"/>
    <w:rsid w:val="00733101"/>
    <w:rsid w:val="007331C7"/>
    <w:rsid w:val="007331E8"/>
    <w:rsid w:val="0073327F"/>
    <w:rsid w:val="007332AA"/>
    <w:rsid w:val="007333B2"/>
    <w:rsid w:val="0073354A"/>
    <w:rsid w:val="007335ED"/>
    <w:rsid w:val="00733725"/>
    <w:rsid w:val="00733867"/>
    <w:rsid w:val="0073396B"/>
    <w:rsid w:val="0073398E"/>
    <w:rsid w:val="00733AD6"/>
    <w:rsid w:val="00733CDB"/>
    <w:rsid w:val="00733DFB"/>
    <w:rsid w:val="00733E48"/>
    <w:rsid w:val="00733F73"/>
    <w:rsid w:val="00733F8B"/>
    <w:rsid w:val="00733FC1"/>
    <w:rsid w:val="0073425B"/>
    <w:rsid w:val="007342CC"/>
    <w:rsid w:val="0073431A"/>
    <w:rsid w:val="0073434E"/>
    <w:rsid w:val="0073435F"/>
    <w:rsid w:val="0073438B"/>
    <w:rsid w:val="00734520"/>
    <w:rsid w:val="00734561"/>
    <w:rsid w:val="00734589"/>
    <w:rsid w:val="00734707"/>
    <w:rsid w:val="0073487F"/>
    <w:rsid w:val="007348CB"/>
    <w:rsid w:val="00734971"/>
    <w:rsid w:val="007349EB"/>
    <w:rsid w:val="00734BC4"/>
    <w:rsid w:val="00734C13"/>
    <w:rsid w:val="00734C1B"/>
    <w:rsid w:val="00734CD5"/>
    <w:rsid w:val="00734EB2"/>
    <w:rsid w:val="00734F1F"/>
    <w:rsid w:val="00734F99"/>
    <w:rsid w:val="00734F9B"/>
    <w:rsid w:val="007350A6"/>
    <w:rsid w:val="00735259"/>
    <w:rsid w:val="007352D3"/>
    <w:rsid w:val="0073540D"/>
    <w:rsid w:val="0073546B"/>
    <w:rsid w:val="0073568D"/>
    <w:rsid w:val="00735713"/>
    <w:rsid w:val="00735862"/>
    <w:rsid w:val="00735974"/>
    <w:rsid w:val="00735E16"/>
    <w:rsid w:val="00735E45"/>
    <w:rsid w:val="00735E54"/>
    <w:rsid w:val="00735F5A"/>
    <w:rsid w:val="00735FA5"/>
    <w:rsid w:val="00735FDE"/>
    <w:rsid w:val="00736183"/>
    <w:rsid w:val="00736205"/>
    <w:rsid w:val="0073620B"/>
    <w:rsid w:val="00736291"/>
    <w:rsid w:val="007362AA"/>
    <w:rsid w:val="007362BB"/>
    <w:rsid w:val="0073631A"/>
    <w:rsid w:val="00736327"/>
    <w:rsid w:val="00736337"/>
    <w:rsid w:val="00736424"/>
    <w:rsid w:val="0073656A"/>
    <w:rsid w:val="0073661F"/>
    <w:rsid w:val="00736664"/>
    <w:rsid w:val="0073668E"/>
    <w:rsid w:val="00736728"/>
    <w:rsid w:val="007368E9"/>
    <w:rsid w:val="00736928"/>
    <w:rsid w:val="00736A58"/>
    <w:rsid w:val="00736B01"/>
    <w:rsid w:val="00736B7F"/>
    <w:rsid w:val="00736E5D"/>
    <w:rsid w:val="00736EBD"/>
    <w:rsid w:val="00737049"/>
    <w:rsid w:val="00737274"/>
    <w:rsid w:val="00737385"/>
    <w:rsid w:val="0073742F"/>
    <w:rsid w:val="00737439"/>
    <w:rsid w:val="00737457"/>
    <w:rsid w:val="00737510"/>
    <w:rsid w:val="0073764A"/>
    <w:rsid w:val="007376B2"/>
    <w:rsid w:val="007376FC"/>
    <w:rsid w:val="00737A3A"/>
    <w:rsid w:val="00737BA4"/>
    <w:rsid w:val="00737BCA"/>
    <w:rsid w:val="00737BD8"/>
    <w:rsid w:val="00737BDB"/>
    <w:rsid w:val="00737CDF"/>
    <w:rsid w:val="00737D19"/>
    <w:rsid w:val="00737D9D"/>
    <w:rsid w:val="00737E40"/>
    <w:rsid w:val="00737E77"/>
    <w:rsid w:val="00740272"/>
    <w:rsid w:val="007402D8"/>
    <w:rsid w:val="007402EB"/>
    <w:rsid w:val="0074039B"/>
    <w:rsid w:val="0074054A"/>
    <w:rsid w:val="00740617"/>
    <w:rsid w:val="0074067C"/>
    <w:rsid w:val="00740801"/>
    <w:rsid w:val="00740980"/>
    <w:rsid w:val="00740AE2"/>
    <w:rsid w:val="00740CC2"/>
    <w:rsid w:val="00740D0E"/>
    <w:rsid w:val="00740D89"/>
    <w:rsid w:val="00740DB2"/>
    <w:rsid w:val="00740DB5"/>
    <w:rsid w:val="00740E2F"/>
    <w:rsid w:val="00740E76"/>
    <w:rsid w:val="00740EF7"/>
    <w:rsid w:val="00740F27"/>
    <w:rsid w:val="00740F44"/>
    <w:rsid w:val="00741015"/>
    <w:rsid w:val="007410B5"/>
    <w:rsid w:val="007411E5"/>
    <w:rsid w:val="007413F5"/>
    <w:rsid w:val="0074171E"/>
    <w:rsid w:val="00741768"/>
    <w:rsid w:val="0074185A"/>
    <w:rsid w:val="0074185D"/>
    <w:rsid w:val="007419FE"/>
    <w:rsid w:val="00741ABC"/>
    <w:rsid w:val="00741B29"/>
    <w:rsid w:val="00741B2F"/>
    <w:rsid w:val="00741B6F"/>
    <w:rsid w:val="00741C1B"/>
    <w:rsid w:val="00741C4D"/>
    <w:rsid w:val="00741E27"/>
    <w:rsid w:val="00741E39"/>
    <w:rsid w:val="00741E49"/>
    <w:rsid w:val="00741EA3"/>
    <w:rsid w:val="00741FA9"/>
    <w:rsid w:val="007420FA"/>
    <w:rsid w:val="00742480"/>
    <w:rsid w:val="007424F7"/>
    <w:rsid w:val="00742539"/>
    <w:rsid w:val="007425D1"/>
    <w:rsid w:val="007425DE"/>
    <w:rsid w:val="007426B7"/>
    <w:rsid w:val="007427FA"/>
    <w:rsid w:val="0074288E"/>
    <w:rsid w:val="00742A1E"/>
    <w:rsid w:val="00742ABF"/>
    <w:rsid w:val="00742B72"/>
    <w:rsid w:val="00742B90"/>
    <w:rsid w:val="00742C52"/>
    <w:rsid w:val="00742DAC"/>
    <w:rsid w:val="00742DE9"/>
    <w:rsid w:val="00742ECC"/>
    <w:rsid w:val="00742F73"/>
    <w:rsid w:val="00742FDB"/>
    <w:rsid w:val="007431C5"/>
    <w:rsid w:val="007431CE"/>
    <w:rsid w:val="00743366"/>
    <w:rsid w:val="00743375"/>
    <w:rsid w:val="00743388"/>
    <w:rsid w:val="007434C3"/>
    <w:rsid w:val="00743536"/>
    <w:rsid w:val="00743568"/>
    <w:rsid w:val="007436E4"/>
    <w:rsid w:val="007436FB"/>
    <w:rsid w:val="0074372A"/>
    <w:rsid w:val="00743825"/>
    <w:rsid w:val="0074382F"/>
    <w:rsid w:val="00743872"/>
    <w:rsid w:val="0074397D"/>
    <w:rsid w:val="00743B95"/>
    <w:rsid w:val="00743C1F"/>
    <w:rsid w:val="00743C29"/>
    <w:rsid w:val="00743EF5"/>
    <w:rsid w:val="00743F6E"/>
    <w:rsid w:val="0074401D"/>
    <w:rsid w:val="007440D5"/>
    <w:rsid w:val="007441B2"/>
    <w:rsid w:val="0074428D"/>
    <w:rsid w:val="007444E9"/>
    <w:rsid w:val="0074458F"/>
    <w:rsid w:val="0074471F"/>
    <w:rsid w:val="00744A12"/>
    <w:rsid w:val="00744A26"/>
    <w:rsid w:val="00744A86"/>
    <w:rsid w:val="00744AF5"/>
    <w:rsid w:val="00744B9F"/>
    <w:rsid w:val="00744BB1"/>
    <w:rsid w:val="00744CBB"/>
    <w:rsid w:val="00744E52"/>
    <w:rsid w:val="00744F24"/>
    <w:rsid w:val="00744F64"/>
    <w:rsid w:val="00744F66"/>
    <w:rsid w:val="00744F6E"/>
    <w:rsid w:val="00744F79"/>
    <w:rsid w:val="00744FFE"/>
    <w:rsid w:val="00745063"/>
    <w:rsid w:val="0074507C"/>
    <w:rsid w:val="0074516D"/>
    <w:rsid w:val="0074518F"/>
    <w:rsid w:val="00745393"/>
    <w:rsid w:val="007453B3"/>
    <w:rsid w:val="0074550E"/>
    <w:rsid w:val="007455D4"/>
    <w:rsid w:val="00745638"/>
    <w:rsid w:val="007456EB"/>
    <w:rsid w:val="00745707"/>
    <w:rsid w:val="00745757"/>
    <w:rsid w:val="00745766"/>
    <w:rsid w:val="00745799"/>
    <w:rsid w:val="00745832"/>
    <w:rsid w:val="0074589A"/>
    <w:rsid w:val="007459DC"/>
    <w:rsid w:val="007459DE"/>
    <w:rsid w:val="007459EA"/>
    <w:rsid w:val="00745BE4"/>
    <w:rsid w:val="00745C0A"/>
    <w:rsid w:val="00745CCC"/>
    <w:rsid w:val="00745FF6"/>
    <w:rsid w:val="007460A4"/>
    <w:rsid w:val="00746137"/>
    <w:rsid w:val="00746257"/>
    <w:rsid w:val="007462D3"/>
    <w:rsid w:val="007464D9"/>
    <w:rsid w:val="00746701"/>
    <w:rsid w:val="00746788"/>
    <w:rsid w:val="007468D2"/>
    <w:rsid w:val="007469C2"/>
    <w:rsid w:val="00746A1B"/>
    <w:rsid w:val="00746A6E"/>
    <w:rsid w:val="00746AE4"/>
    <w:rsid w:val="00746B3A"/>
    <w:rsid w:val="00746B63"/>
    <w:rsid w:val="00746BCC"/>
    <w:rsid w:val="00746CD8"/>
    <w:rsid w:val="00746D9E"/>
    <w:rsid w:val="00746F59"/>
    <w:rsid w:val="00746FFE"/>
    <w:rsid w:val="00747085"/>
    <w:rsid w:val="007470C2"/>
    <w:rsid w:val="007471A2"/>
    <w:rsid w:val="00747254"/>
    <w:rsid w:val="007472E0"/>
    <w:rsid w:val="0074749C"/>
    <w:rsid w:val="0074756A"/>
    <w:rsid w:val="0074756E"/>
    <w:rsid w:val="0074766F"/>
    <w:rsid w:val="007478C7"/>
    <w:rsid w:val="007478F7"/>
    <w:rsid w:val="007478F9"/>
    <w:rsid w:val="00747915"/>
    <w:rsid w:val="00747BE5"/>
    <w:rsid w:val="00747C06"/>
    <w:rsid w:val="00747D68"/>
    <w:rsid w:val="00747E20"/>
    <w:rsid w:val="00747E9A"/>
    <w:rsid w:val="00747FD4"/>
    <w:rsid w:val="0075007D"/>
    <w:rsid w:val="007501DE"/>
    <w:rsid w:val="007502CD"/>
    <w:rsid w:val="0075034C"/>
    <w:rsid w:val="0075048D"/>
    <w:rsid w:val="00750523"/>
    <w:rsid w:val="007505B9"/>
    <w:rsid w:val="00750683"/>
    <w:rsid w:val="0075076C"/>
    <w:rsid w:val="007507E9"/>
    <w:rsid w:val="0075084F"/>
    <w:rsid w:val="0075088C"/>
    <w:rsid w:val="00750A47"/>
    <w:rsid w:val="00750AEA"/>
    <w:rsid w:val="00750BAA"/>
    <w:rsid w:val="00750C3E"/>
    <w:rsid w:val="00750D12"/>
    <w:rsid w:val="00750D3B"/>
    <w:rsid w:val="00750F5C"/>
    <w:rsid w:val="00751095"/>
    <w:rsid w:val="007511CA"/>
    <w:rsid w:val="00751432"/>
    <w:rsid w:val="007514CB"/>
    <w:rsid w:val="00751504"/>
    <w:rsid w:val="00751523"/>
    <w:rsid w:val="007516E5"/>
    <w:rsid w:val="007516F0"/>
    <w:rsid w:val="007517EC"/>
    <w:rsid w:val="007517F7"/>
    <w:rsid w:val="00751886"/>
    <w:rsid w:val="00751887"/>
    <w:rsid w:val="007518AE"/>
    <w:rsid w:val="00751A2E"/>
    <w:rsid w:val="00751BCD"/>
    <w:rsid w:val="00751CBC"/>
    <w:rsid w:val="00751E4B"/>
    <w:rsid w:val="00751E53"/>
    <w:rsid w:val="00751F9F"/>
    <w:rsid w:val="007522D8"/>
    <w:rsid w:val="0075242A"/>
    <w:rsid w:val="0075247F"/>
    <w:rsid w:val="0075256C"/>
    <w:rsid w:val="00752581"/>
    <w:rsid w:val="0075264C"/>
    <w:rsid w:val="007526CC"/>
    <w:rsid w:val="007526EF"/>
    <w:rsid w:val="00752982"/>
    <w:rsid w:val="00752A2C"/>
    <w:rsid w:val="00752B12"/>
    <w:rsid w:val="00752B94"/>
    <w:rsid w:val="00752CA8"/>
    <w:rsid w:val="00752CAC"/>
    <w:rsid w:val="00752CDF"/>
    <w:rsid w:val="00752DFA"/>
    <w:rsid w:val="00752FD7"/>
    <w:rsid w:val="00753236"/>
    <w:rsid w:val="00753509"/>
    <w:rsid w:val="00753515"/>
    <w:rsid w:val="0075362D"/>
    <w:rsid w:val="00753723"/>
    <w:rsid w:val="0075385B"/>
    <w:rsid w:val="007538BA"/>
    <w:rsid w:val="0075399A"/>
    <w:rsid w:val="007539F3"/>
    <w:rsid w:val="007539FD"/>
    <w:rsid w:val="00753A99"/>
    <w:rsid w:val="00753B3E"/>
    <w:rsid w:val="00753BE8"/>
    <w:rsid w:val="00753E53"/>
    <w:rsid w:val="00754080"/>
    <w:rsid w:val="007540A4"/>
    <w:rsid w:val="007540B7"/>
    <w:rsid w:val="007541C8"/>
    <w:rsid w:val="007541D1"/>
    <w:rsid w:val="007542E9"/>
    <w:rsid w:val="007543BE"/>
    <w:rsid w:val="007543FD"/>
    <w:rsid w:val="00754417"/>
    <w:rsid w:val="0075441D"/>
    <w:rsid w:val="00754442"/>
    <w:rsid w:val="0075454C"/>
    <w:rsid w:val="007545A4"/>
    <w:rsid w:val="007545BA"/>
    <w:rsid w:val="00754653"/>
    <w:rsid w:val="007549FB"/>
    <w:rsid w:val="00754A61"/>
    <w:rsid w:val="00754BF2"/>
    <w:rsid w:val="00754C4E"/>
    <w:rsid w:val="00754CEB"/>
    <w:rsid w:val="00754EF2"/>
    <w:rsid w:val="00754FE0"/>
    <w:rsid w:val="0075507A"/>
    <w:rsid w:val="007550AB"/>
    <w:rsid w:val="0075529C"/>
    <w:rsid w:val="007552EC"/>
    <w:rsid w:val="0075548A"/>
    <w:rsid w:val="0075557E"/>
    <w:rsid w:val="007555B2"/>
    <w:rsid w:val="00755604"/>
    <w:rsid w:val="00755699"/>
    <w:rsid w:val="007557CA"/>
    <w:rsid w:val="00755869"/>
    <w:rsid w:val="00755873"/>
    <w:rsid w:val="007559C5"/>
    <w:rsid w:val="00755B7B"/>
    <w:rsid w:val="00755B85"/>
    <w:rsid w:val="00755BE2"/>
    <w:rsid w:val="00755CD9"/>
    <w:rsid w:val="00755CEF"/>
    <w:rsid w:val="00755E43"/>
    <w:rsid w:val="00755E7A"/>
    <w:rsid w:val="00755FC1"/>
    <w:rsid w:val="0075600F"/>
    <w:rsid w:val="0075610F"/>
    <w:rsid w:val="007561AE"/>
    <w:rsid w:val="00756284"/>
    <w:rsid w:val="0075628C"/>
    <w:rsid w:val="007562F8"/>
    <w:rsid w:val="00756372"/>
    <w:rsid w:val="007563FC"/>
    <w:rsid w:val="007564E7"/>
    <w:rsid w:val="00756576"/>
    <w:rsid w:val="007565CC"/>
    <w:rsid w:val="007566FE"/>
    <w:rsid w:val="0075670D"/>
    <w:rsid w:val="00756962"/>
    <w:rsid w:val="00756ABF"/>
    <w:rsid w:val="00756C54"/>
    <w:rsid w:val="00756CEF"/>
    <w:rsid w:val="00756CF8"/>
    <w:rsid w:val="00756E2F"/>
    <w:rsid w:val="007570B8"/>
    <w:rsid w:val="007570F6"/>
    <w:rsid w:val="00757315"/>
    <w:rsid w:val="00757361"/>
    <w:rsid w:val="0075737A"/>
    <w:rsid w:val="00757577"/>
    <w:rsid w:val="007575B3"/>
    <w:rsid w:val="007575E7"/>
    <w:rsid w:val="00757701"/>
    <w:rsid w:val="007577AF"/>
    <w:rsid w:val="007577D3"/>
    <w:rsid w:val="00757831"/>
    <w:rsid w:val="00757832"/>
    <w:rsid w:val="00757986"/>
    <w:rsid w:val="007579D3"/>
    <w:rsid w:val="00757A95"/>
    <w:rsid w:val="00757B1C"/>
    <w:rsid w:val="00757D5A"/>
    <w:rsid w:val="00757E54"/>
    <w:rsid w:val="0076013D"/>
    <w:rsid w:val="0076015B"/>
    <w:rsid w:val="00760179"/>
    <w:rsid w:val="007601E0"/>
    <w:rsid w:val="00760391"/>
    <w:rsid w:val="00760454"/>
    <w:rsid w:val="0076053A"/>
    <w:rsid w:val="00760905"/>
    <w:rsid w:val="0076093A"/>
    <w:rsid w:val="00760AFE"/>
    <w:rsid w:val="00760B5F"/>
    <w:rsid w:val="00760D8C"/>
    <w:rsid w:val="00760DDF"/>
    <w:rsid w:val="00760E38"/>
    <w:rsid w:val="00760F0D"/>
    <w:rsid w:val="00760FC8"/>
    <w:rsid w:val="00761044"/>
    <w:rsid w:val="007611E8"/>
    <w:rsid w:val="00761312"/>
    <w:rsid w:val="00761335"/>
    <w:rsid w:val="007613E1"/>
    <w:rsid w:val="007613F5"/>
    <w:rsid w:val="00761449"/>
    <w:rsid w:val="00761492"/>
    <w:rsid w:val="007614A3"/>
    <w:rsid w:val="007614E3"/>
    <w:rsid w:val="007615B3"/>
    <w:rsid w:val="00761645"/>
    <w:rsid w:val="00761677"/>
    <w:rsid w:val="0076183A"/>
    <w:rsid w:val="00761895"/>
    <w:rsid w:val="007618D2"/>
    <w:rsid w:val="007618F5"/>
    <w:rsid w:val="00761960"/>
    <w:rsid w:val="007619CF"/>
    <w:rsid w:val="00761A11"/>
    <w:rsid w:val="00761A75"/>
    <w:rsid w:val="00761BA0"/>
    <w:rsid w:val="00761BF8"/>
    <w:rsid w:val="00761CEF"/>
    <w:rsid w:val="00761E30"/>
    <w:rsid w:val="00761F63"/>
    <w:rsid w:val="00761FB5"/>
    <w:rsid w:val="00762020"/>
    <w:rsid w:val="00762069"/>
    <w:rsid w:val="00762231"/>
    <w:rsid w:val="0076227E"/>
    <w:rsid w:val="0076229D"/>
    <w:rsid w:val="007623CA"/>
    <w:rsid w:val="00762416"/>
    <w:rsid w:val="007625B3"/>
    <w:rsid w:val="007625CA"/>
    <w:rsid w:val="0076264F"/>
    <w:rsid w:val="00762663"/>
    <w:rsid w:val="007626C9"/>
    <w:rsid w:val="007626F6"/>
    <w:rsid w:val="007628DD"/>
    <w:rsid w:val="00762936"/>
    <w:rsid w:val="007629C6"/>
    <w:rsid w:val="007629EF"/>
    <w:rsid w:val="00762BCF"/>
    <w:rsid w:val="00762CF7"/>
    <w:rsid w:val="00762D3F"/>
    <w:rsid w:val="00762D67"/>
    <w:rsid w:val="00762E49"/>
    <w:rsid w:val="00762E8C"/>
    <w:rsid w:val="00762F14"/>
    <w:rsid w:val="00763181"/>
    <w:rsid w:val="00763211"/>
    <w:rsid w:val="00763229"/>
    <w:rsid w:val="0076326D"/>
    <w:rsid w:val="00763305"/>
    <w:rsid w:val="00763447"/>
    <w:rsid w:val="00763456"/>
    <w:rsid w:val="00763534"/>
    <w:rsid w:val="00763670"/>
    <w:rsid w:val="00763713"/>
    <w:rsid w:val="00763775"/>
    <w:rsid w:val="0076381F"/>
    <w:rsid w:val="007638C0"/>
    <w:rsid w:val="007639F7"/>
    <w:rsid w:val="00763AA7"/>
    <w:rsid w:val="00763AE5"/>
    <w:rsid w:val="00763B92"/>
    <w:rsid w:val="00763BBC"/>
    <w:rsid w:val="00763C1C"/>
    <w:rsid w:val="00763D1A"/>
    <w:rsid w:val="00763D65"/>
    <w:rsid w:val="00764066"/>
    <w:rsid w:val="0076406D"/>
    <w:rsid w:val="0076412A"/>
    <w:rsid w:val="00764225"/>
    <w:rsid w:val="00764264"/>
    <w:rsid w:val="007643ED"/>
    <w:rsid w:val="0076446E"/>
    <w:rsid w:val="00764589"/>
    <w:rsid w:val="00764678"/>
    <w:rsid w:val="0076473A"/>
    <w:rsid w:val="0076474D"/>
    <w:rsid w:val="007649CD"/>
    <w:rsid w:val="00764BBD"/>
    <w:rsid w:val="00764D8A"/>
    <w:rsid w:val="00764EF1"/>
    <w:rsid w:val="00764FDD"/>
    <w:rsid w:val="00765066"/>
    <w:rsid w:val="00765094"/>
    <w:rsid w:val="00765371"/>
    <w:rsid w:val="007653DA"/>
    <w:rsid w:val="007653E3"/>
    <w:rsid w:val="00765408"/>
    <w:rsid w:val="007654E0"/>
    <w:rsid w:val="00765553"/>
    <w:rsid w:val="00765587"/>
    <w:rsid w:val="0076567E"/>
    <w:rsid w:val="007656B7"/>
    <w:rsid w:val="007657D4"/>
    <w:rsid w:val="00765898"/>
    <w:rsid w:val="0076593D"/>
    <w:rsid w:val="00765BE8"/>
    <w:rsid w:val="00765C0D"/>
    <w:rsid w:val="00765CA4"/>
    <w:rsid w:val="00765EB2"/>
    <w:rsid w:val="00765F39"/>
    <w:rsid w:val="00765FAF"/>
    <w:rsid w:val="00765FD8"/>
    <w:rsid w:val="0076607C"/>
    <w:rsid w:val="00766145"/>
    <w:rsid w:val="0076614E"/>
    <w:rsid w:val="00766219"/>
    <w:rsid w:val="007662E4"/>
    <w:rsid w:val="007663F2"/>
    <w:rsid w:val="0076652E"/>
    <w:rsid w:val="007668FB"/>
    <w:rsid w:val="00766962"/>
    <w:rsid w:val="00766A03"/>
    <w:rsid w:val="00766A07"/>
    <w:rsid w:val="00766A61"/>
    <w:rsid w:val="00766BDF"/>
    <w:rsid w:val="00766CA3"/>
    <w:rsid w:val="00766E48"/>
    <w:rsid w:val="00766EC2"/>
    <w:rsid w:val="00766F47"/>
    <w:rsid w:val="00766F85"/>
    <w:rsid w:val="007672D8"/>
    <w:rsid w:val="007672DD"/>
    <w:rsid w:val="007673D1"/>
    <w:rsid w:val="007673E3"/>
    <w:rsid w:val="007674C7"/>
    <w:rsid w:val="007675FF"/>
    <w:rsid w:val="00767757"/>
    <w:rsid w:val="007677A5"/>
    <w:rsid w:val="007677E8"/>
    <w:rsid w:val="007679E4"/>
    <w:rsid w:val="00767A0E"/>
    <w:rsid w:val="00767A1A"/>
    <w:rsid w:val="00767A5F"/>
    <w:rsid w:val="00767AAE"/>
    <w:rsid w:val="00767C00"/>
    <w:rsid w:val="00767C19"/>
    <w:rsid w:val="00767CD5"/>
    <w:rsid w:val="00767CFC"/>
    <w:rsid w:val="00767D2F"/>
    <w:rsid w:val="00767E3C"/>
    <w:rsid w:val="00767F1D"/>
    <w:rsid w:val="00770047"/>
    <w:rsid w:val="00770089"/>
    <w:rsid w:val="007700F2"/>
    <w:rsid w:val="0077010B"/>
    <w:rsid w:val="0077023A"/>
    <w:rsid w:val="00770242"/>
    <w:rsid w:val="00770328"/>
    <w:rsid w:val="007703EF"/>
    <w:rsid w:val="0077050B"/>
    <w:rsid w:val="00770527"/>
    <w:rsid w:val="0077070D"/>
    <w:rsid w:val="00770892"/>
    <w:rsid w:val="00770952"/>
    <w:rsid w:val="0077098E"/>
    <w:rsid w:val="00770A48"/>
    <w:rsid w:val="00770A9E"/>
    <w:rsid w:val="00770C8E"/>
    <w:rsid w:val="00770D2D"/>
    <w:rsid w:val="00770D83"/>
    <w:rsid w:val="00770FCC"/>
    <w:rsid w:val="00771055"/>
    <w:rsid w:val="0077113D"/>
    <w:rsid w:val="00771156"/>
    <w:rsid w:val="00771306"/>
    <w:rsid w:val="0077138D"/>
    <w:rsid w:val="00771708"/>
    <w:rsid w:val="00771793"/>
    <w:rsid w:val="007718BB"/>
    <w:rsid w:val="007718C7"/>
    <w:rsid w:val="00771B7E"/>
    <w:rsid w:val="00771BCB"/>
    <w:rsid w:val="00771BEE"/>
    <w:rsid w:val="00771C93"/>
    <w:rsid w:val="00771D61"/>
    <w:rsid w:val="0077205D"/>
    <w:rsid w:val="00772105"/>
    <w:rsid w:val="0077212A"/>
    <w:rsid w:val="00772135"/>
    <w:rsid w:val="0077219E"/>
    <w:rsid w:val="007721BA"/>
    <w:rsid w:val="007724FE"/>
    <w:rsid w:val="0077264F"/>
    <w:rsid w:val="00772702"/>
    <w:rsid w:val="00772716"/>
    <w:rsid w:val="0077279A"/>
    <w:rsid w:val="00772813"/>
    <w:rsid w:val="00772832"/>
    <w:rsid w:val="00772949"/>
    <w:rsid w:val="0077294E"/>
    <w:rsid w:val="007729CD"/>
    <w:rsid w:val="00772A29"/>
    <w:rsid w:val="00772A82"/>
    <w:rsid w:val="00772B0F"/>
    <w:rsid w:val="00772BD8"/>
    <w:rsid w:val="00772C00"/>
    <w:rsid w:val="00772D8C"/>
    <w:rsid w:val="00772D96"/>
    <w:rsid w:val="00772EA5"/>
    <w:rsid w:val="00772F36"/>
    <w:rsid w:val="00772FA3"/>
    <w:rsid w:val="0077320E"/>
    <w:rsid w:val="00773231"/>
    <w:rsid w:val="007732B7"/>
    <w:rsid w:val="007732BA"/>
    <w:rsid w:val="0077338C"/>
    <w:rsid w:val="007733E8"/>
    <w:rsid w:val="0077342A"/>
    <w:rsid w:val="00773558"/>
    <w:rsid w:val="007735FA"/>
    <w:rsid w:val="007736A0"/>
    <w:rsid w:val="00773725"/>
    <w:rsid w:val="0077378C"/>
    <w:rsid w:val="007738B6"/>
    <w:rsid w:val="0077391A"/>
    <w:rsid w:val="00773991"/>
    <w:rsid w:val="00773AB5"/>
    <w:rsid w:val="00773AD0"/>
    <w:rsid w:val="00773B72"/>
    <w:rsid w:val="00773BB4"/>
    <w:rsid w:val="00773BFE"/>
    <w:rsid w:val="00773C93"/>
    <w:rsid w:val="00773CB9"/>
    <w:rsid w:val="00773CBA"/>
    <w:rsid w:val="00773DE8"/>
    <w:rsid w:val="00773E4B"/>
    <w:rsid w:val="00773F57"/>
    <w:rsid w:val="00774018"/>
    <w:rsid w:val="00774030"/>
    <w:rsid w:val="0077407F"/>
    <w:rsid w:val="00774149"/>
    <w:rsid w:val="007741F8"/>
    <w:rsid w:val="00774226"/>
    <w:rsid w:val="00774239"/>
    <w:rsid w:val="00774339"/>
    <w:rsid w:val="00774441"/>
    <w:rsid w:val="00774498"/>
    <w:rsid w:val="00774632"/>
    <w:rsid w:val="0077471E"/>
    <w:rsid w:val="00774742"/>
    <w:rsid w:val="0077484F"/>
    <w:rsid w:val="007748B4"/>
    <w:rsid w:val="00774920"/>
    <w:rsid w:val="00774940"/>
    <w:rsid w:val="00774958"/>
    <w:rsid w:val="00774A55"/>
    <w:rsid w:val="00774AE1"/>
    <w:rsid w:val="00774B20"/>
    <w:rsid w:val="00774B43"/>
    <w:rsid w:val="00774BEB"/>
    <w:rsid w:val="00774CA5"/>
    <w:rsid w:val="00774D7A"/>
    <w:rsid w:val="00774D7F"/>
    <w:rsid w:val="00774D8D"/>
    <w:rsid w:val="00774DDB"/>
    <w:rsid w:val="00774E8E"/>
    <w:rsid w:val="00774F37"/>
    <w:rsid w:val="00774F96"/>
    <w:rsid w:val="00775304"/>
    <w:rsid w:val="00775390"/>
    <w:rsid w:val="007753FC"/>
    <w:rsid w:val="0077540C"/>
    <w:rsid w:val="00775609"/>
    <w:rsid w:val="0077561C"/>
    <w:rsid w:val="0077561F"/>
    <w:rsid w:val="007756EA"/>
    <w:rsid w:val="00775816"/>
    <w:rsid w:val="007758A4"/>
    <w:rsid w:val="007758FB"/>
    <w:rsid w:val="0077594B"/>
    <w:rsid w:val="00775C11"/>
    <w:rsid w:val="00775CAE"/>
    <w:rsid w:val="00775CFB"/>
    <w:rsid w:val="00775D1C"/>
    <w:rsid w:val="00775EE7"/>
    <w:rsid w:val="00775F34"/>
    <w:rsid w:val="00775F5D"/>
    <w:rsid w:val="00775FD7"/>
    <w:rsid w:val="00776007"/>
    <w:rsid w:val="0077617E"/>
    <w:rsid w:val="0077621D"/>
    <w:rsid w:val="00776290"/>
    <w:rsid w:val="007762A9"/>
    <w:rsid w:val="007762B2"/>
    <w:rsid w:val="007762FC"/>
    <w:rsid w:val="0077638F"/>
    <w:rsid w:val="007763EE"/>
    <w:rsid w:val="00776439"/>
    <w:rsid w:val="007764F3"/>
    <w:rsid w:val="007764F8"/>
    <w:rsid w:val="00776521"/>
    <w:rsid w:val="00776574"/>
    <w:rsid w:val="0077659D"/>
    <w:rsid w:val="007767EC"/>
    <w:rsid w:val="00776817"/>
    <w:rsid w:val="0077684D"/>
    <w:rsid w:val="0077694D"/>
    <w:rsid w:val="00776967"/>
    <w:rsid w:val="007769C4"/>
    <w:rsid w:val="00776D1F"/>
    <w:rsid w:val="00776DB4"/>
    <w:rsid w:val="00776F3F"/>
    <w:rsid w:val="00776F6E"/>
    <w:rsid w:val="0077701B"/>
    <w:rsid w:val="00777166"/>
    <w:rsid w:val="007771E4"/>
    <w:rsid w:val="0077720B"/>
    <w:rsid w:val="00777252"/>
    <w:rsid w:val="00777316"/>
    <w:rsid w:val="00777370"/>
    <w:rsid w:val="007774D8"/>
    <w:rsid w:val="00777673"/>
    <w:rsid w:val="007776AD"/>
    <w:rsid w:val="007777A8"/>
    <w:rsid w:val="00777805"/>
    <w:rsid w:val="007778F3"/>
    <w:rsid w:val="007779F7"/>
    <w:rsid w:val="00777A6E"/>
    <w:rsid w:val="00777B1A"/>
    <w:rsid w:val="00777B4B"/>
    <w:rsid w:val="00777C1A"/>
    <w:rsid w:val="00777CBD"/>
    <w:rsid w:val="00777FFE"/>
    <w:rsid w:val="00780061"/>
    <w:rsid w:val="0078021F"/>
    <w:rsid w:val="00780288"/>
    <w:rsid w:val="00780354"/>
    <w:rsid w:val="007803E4"/>
    <w:rsid w:val="0078056B"/>
    <w:rsid w:val="00780965"/>
    <w:rsid w:val="00780992"/>
    <w:rsid w:val="00780AD4"/>
    <w:rsid w:val="00780BDC"/>
    <w:rsid w:val="00780C3F"/>
    <w:rsid w:val="00780CA4"/>
    <w:rsid w:val="00780DE6"/>
    <w:rsid w:val="00780E00"/>
    <w:rsid w:val="00780EE3"/>
    <w:rsid w:val="00780F07"/>
    <w:rsid w:val="00780F9B"/>
    <w:rsid w:val="00781091"/>
    <w:rsid w:val="0078109A"/>
    <w:rsid w:val="007810E5"/>
    <w:rsid w:val="007811CD"/>
    <w:rsid w:val="00781240"/>
    <w:rsid w:val="0078124E"/>
    <w:rsid w:val="00781280"/>
    <w:rsid w:val="00781468"/>
    <w:rsid w:val="00781590"/>
    <w:rsid w:val="00781725"/>
    <w:rsid w:val="00781746"/>
    <w:rsid w:val="00781763"/>
    <w:rsid w:val="00781958"/>
    <w:rsid w:val="007819A4"/>
    <w:rsid w:val="00781A1C"/>
    <w:rsid w:val="00781BCC"/>
    <w:rsid w:val="00781BFF"/>
    <w:rsid w:val="00781D9C"/>
    <w:rsid w:val="00782035"/>
    <w:rsid w:val="00782065"/>
    <w:rsid w:val="00782133"/>
    <w:rsid w:val="0078229B"/>
    <w:rsid w:val="0078231D"/>
    <w:rsid w:val="00782342"/>
    <w:rsid w:val="007823A9"/>
    <w:rsid w:val="007823BF"/>
    <w:rsid w:val="007823FC"/>
    <w:rsid w:val="0078247D"/>
    <w:rsid w:val="0078249A"/>
    <w:rsid w:val="00782547"/>
    <w:rsid w:val="00782753"/>
    <w:rsid w:val="00782974"/>
    <w:rsid w:val="00782BBB"/>
    <w:rsid w:val="00782BD3"/>
    <w:rsid w:val="00782BF7"/>
    <w:rsid w:val="00782D16"/>
    <w:rsid w:val="00782E3E"/>
    <w:rsid w:val="00782F4F"/>
    <w:rsid w:val="00782F90"/>
    <w:rsid w:val="00782FC2"/>
    <w:rsid w:val="00782FF2"/>
    <w:rsid w:val="00783000"/>
    <w:rsid w:val="00783157"/>
    <w:rsid w:val="00783238"/>
    <w:rsid w:val="0078337D"/>
    <w:rsid w:val="0078342D"/>
    <w:rsid w:val="007835D0"/>
    <w:rsid w:val="0078362C"/>
    <w:rsid w:val="007836C7"/>
    <w:rsid w:val="007839D8"/>
    <w:rsid w:val="007839E3"/>
    <w:rsid w:val="00783AAF"/>
    <w:rsid w:val="00783AEE"/>
    <w:rsid w:val="00783AF7"/>
    <w:rsid w:val="00783BB6"/>
    <w:rsid w:val="00783C89"/>
    <w:rsid w:val="00783D7D"/>
    <w:rsid w:val="00783DC4"/>
    <w:rsid w:val="00783DE1"/>
    <w:rsid w:val="00783E8F"/>
    <w:rsid w:val="00783EF8"/>
    <w:rsid w:val="00783FB8"/>
    <w:rsid w:val="00783FED"/>
    <w:rsid w:val="007840C1"/>
    <w:rsid w:val="00784173"/>
    <w:rsid w:val="00784200"/>
    <w:rsid w:val="00784279"/>
    <w:rsid w:val="007842F0"/>
    <w:rsid w:val="00784313"/>
    <w:rsid w:val="00784321"/>
    <w:rsid w:val="007847E6"/>
    <w:rsid w:val="00784972"/>
    <w:rsid w:val="00784A6F"/>
    <w:rsid w:val="00784B62"/>
    <w:rsid w:val="00784C04"/>
    <w:rsid w:val="00784C06"/>
    <w:rsid w:val="00784CFC"/>
    <w:rsid w:val="00784D1A"/>
    <w:rsid w:val="00784F46"/>
    <w:rsid w:val="00784F4A"/>
    <w:rsid w:val="00784F91"/>
    <w:rsid w:val="0078508B"/>
    <w:rsid w:val="00785305"/>
    <w:rsid w:val="007853F6"/>
    <w:rsid w:val="007854D4"/>
    <w:rsid w:val="00785667"/>
    <w:rsid w:val="007856F5"/>
    <w:rsid w:val="00785988"/>
    <w:rsid w:val="00785A3F"/>
    <w:rsid w:val="00785B5B"/>
    <w:rsid w:val="00785B72"/>
    <w:rsid w:val="00785C3B"/>
    <w:rsid w:val="00785C75"/>
    <w:rsid w:val="00785D69"/>
    <w:rsid w:val="00785E1E"/>
    <w:rsid w:val="00785E43"/>
    <w:rsid w:val="00785E6B"/>
    <w:rsid w:val="00785F2E"/>
    <w:rsid w:val="0078605D"/>
    <w:rsid w:val="00786134"/>
    <w:rsid w:val="0078613A"/>
    <w:rsid w:val="0078628C"/>
    <w:rsid w:val="00786379"/>
    <w:rsid w:val="00786494"/>
    <w:rsid w:val="0078661C"/>
    <w:rsid w:val="00786646"/>
    <w:rsid w:val="007866C0"/>
    <w:rsid w:val="007866CB"/>
    <w:rsid w:val="00786722"/>
    <w:rsid w:val="007867D2"/>
    <w:rsid w:val="007867FE"/>
    <w:rsid w:val="00786866"/>
    <w:rsid w:val="0078690D"/>
    <w:rsid w:val="00786911"/>
    <w:rsid w:val="00786A7A"/>
    <w:rsid w:val="00786A91"/>
    <w:rsid w:val="00786C30"/>
    <w:rsid w:val="00786C49"/>
    <w:rsid w:val="00786C6F"/>
    <w:rsid w:val="00786C87"/>
    <w:rsid w:val="00786CD0"/>
    <w:rsid w:val="00786DAC"/>
    <w:rsid w:val="00786FD4"/>
    <w:rsid w:val="00787033"/>
    <w:rsid w:val="007870D7"/>
    <w:rsid w:val="00787224"/>
    <w:rsid w:val="00787405"/>
    <w:rsid w:val="0078765E"/>
    <w:rsid w:val="00787705"/>
    <w:rsid w:val="0078772C"/>
    <w:rsid w:val="007877A3"/>
    <w:rsid w:val="00787920"/>
    <w:rsid w:val="00787934"/>
    <w:rsid w:val="00787B9B"/>
    <w:rsid w:val="00787BB9"/>
    <w:rsid w:val="00787D93"/>
    <w:rsid w:val="00787DE1"/>
    <w:rsid w:val="00787EAA"/>
    <w:rsid w:val="00787EDE"/>
    <w:rsid w:val="00787F05"/>
    <w:rsid w:val="00787F0E"/>
    <w:rsid w:val="00787F74"/>
    <w:rsid w:val="00787F99"/>
    <w:rsid w:val="0079001A"/>
    <w:rsid w:val="00790035"/>
    <w:rsid w:val="00790230"/>
    <w:rsid w:val="00790433"/>
    <w:rsid w:val="00790648"/>
    <w:rsid w:val="00790779"/>
    <w:rsid w:val="007907B9"/>
    <w:rsid w:val="00790833"/>
    <w:rsid w:val="00790956"/>
    <w:rsid w:val="007909BC"/>
    <w:rsid w:val="00790A02"/>
    <w:rsid w:val="00790B46"/>
    <w:rsid w:val="00790D73"/>
    <w:rsid w:val="00790D93"/>
    <w:rsid w:val="00790F8B"/>
    <w:rsid w:val="007910C9"/>
    <w:rsid w:val="007910D8"/>
    <w:rsid w:val="00791103"/>
    <w:rsid w:val="00791133"/>
    <w:rsid w:val="0079114E"/>
    <w:rsid w:val="00791209"/>
    <w:rsid w:val="0079122B"/>
    <w:rsid w:val="00791387"/>
    <w:rsid w:val="00791464"/>
    <w:rsid w:val="007914FD"/>
    <w:rsid w:val="0079157C"/>
    <w:rsid w:val="0079162C"/>
    <w:rsid w:val="00791639"/>
    <w:rsid w:val="007916AE"/>
    <w:rsid w:val="007916D6"/>
    <w:rsid w:val="007916E3"/>
    <w:rsid w:val="007916EB"/>
    <w:rsid w:val="007917A2"/>
    <w:rsid w:val="00791819"/>
    <w:rsid w:val="00791838"/>
    <w:rsid w:val="007918A1"/>
    <w:rsid w:val="0079195A"/>
    <w:rsid w:val="00791AE1"/>
    <w:rsid w:val="00791AEA"/>
    <w:rsid w:val="00791C09"/>
    <w:rsid w:val="00791CDB"/>
    <w:rsid w:val="00791D01"/>
    <w:rsid w:val="00791D70"/>
    <w:rsid w:val="00791D91"/>
    <w:rsid w:val="00791FFD"/>
    <w:rsid w:val="00792152"/>
    <w:rsid w:val="007921A2"/>
    <w:rsid w:val="00792307"/>
    <w:rsid w:val="00792369"/>
    <w:rsid w:val="00792432"/>
    <w:rsid w:val="00792470"/>
    <w:rsid w:val="007924AC"/>
    <w:rsid w:val="007924FC"/>
    <w:rsid w:val="007925FB"/>
    <w:rsid w:val="00792659"/>
    <w:rsid w:val="00792670"/>
    <w:rsid w:val="00792738"/>
    <w:rsid w:val="00792868"/>
    <w:rsid w:val="00792985"/>
    <w:rsid w:val="00792A44"/>
    <w:rsid w:val="00792B0E"/>
    <w:rsid w:val="00792D1C"/>
    <w:rsid w:val="00792E58"/>
    <w:rsid w:val="00792E78"/>
    <w:rsid w:val="00792EC0"/>
    <w:rsid w:val="00792F6D"/>
    <w:rsid w:val="0079305A"/>
    <w:rsid w:val="00793231"/>
    <w:rsid w:val="00793258"/>
    <w:rsid w:val="0079328D"/>
    <w:rsid w:val="0079355F"/>
    <w:rsid w:val="00793B27"/>
    <w:rsid w:val="00793C91"/>
    <w:rsid w:val="00793D56"/>
    <w:rsid w:val="00793D7B"/>
    <w:rsid w:val="00793DD3"/>
    <w:rsid w:val="00793F8A"/>
    <w:rsid w:val="007941D1"/>
    <w:rsid w:val="00794506"/>
    <w:rsid w:val="0079464F"/>
    <w:rsid w:val="00794668"/>
    <w:rsid w:val="007948FC"/>
    <w:rsid w:val="007949BB"/>
    <w:rsid w:val="007949F8"/>
    <w:rsid w:val="00794C9A"/>
    <w:rsid w:val="00795032"/>
    <w:rsid w:val="00795267"/>
    <w:rsid w:val="00795299"/>
    <w:rsid w:val="007952CE"/>
    <w:rsid w:val="00795339"/>
    <w:rsid w:val="00795389"/>
    <w:rsid w:val="007953B6"/>
    <w:rsid w:val="007953E6"/>
    <w:rsid w:val="007953FD"/>
    <w:rsid w:val="007954C2"/>
    <w:rsid w:val="007954D6"/>
    <w:rsid w:val="0079553A"/>
    <w:rsid w:val="00795615"/>
    <w:rsid w:val="0079564B"/>
    <w:rsid w:val="007956B7"/>
    <w:rsid w:val="00795AC3"/>
    <w:rsid w:val="00795C71"/>
    <w:rsid w:val="00795DD7"/>
    <w:rsid w:val="00795F74"/>
    <w:rsid w:val="0079612F"/>
    <w:rsid w:val="00796162"/>
    <w:rsid w:val="00796328"/>
    <w:rsid w:val="0079655E"/>
    <w:rsid w:val="007965F5"/>
    <w:rsid w:val="007966A8"/>
    <w:rsid w:val="00796799"/>
    <w:rsid w:val="007969B8"/>
    <w:rsid w:val="007969C5"/>
    <w:rsid w:val="007969F4"/>
    <w:rsid w:val="00796A74"/>
    <w:rsid w:val="00796C87"/>
    <w:rsid w:val="00796E02"/>
    <w:rsid w:val="00796E43"/>
    <w:rsid w:val="00796F34"/>
    <w:rsid w:val="00797079"/>
    <w:rsid w:val="007970E2"/>
    <w:rsid w:val="007970E7"/>
    <w:rsid w:val="0079710B"/>
    <w:rsid w:val="00797270"/>
    <w:rsid w:val="0079728A"/>
    <w:rsid w:val="00797291"/>
    <w:rsid w:val="007973D9"/>
    <w:rsid w:val="00797423"/>
    <w:rsid w:val="00797424"/>
    <w:rsid w:val="007974A7"/>
    <w:rsid w:val="007974CF"/>
    <w:rsid w:val="0079754F"/>
    <w:rsid w:val="007976A9"/>
    <w:rsid w:val="00797701"/>
    <w:rsid w:val="0079789A"/>
    <w:rsid w:val="007978A5"/>
    <w:rsid w:val="007978C6"/>
    <w:rsid w:val="00797926"/>
    <w:rsid w:val="00797998"/>
    <w:rsid w:val="00797C78"/>
    <w:rsid w:val="00797D62"/>
    <w:rsid w:val="00797D86"/>
    <w:rsid w:val="00797EA1"/>
    <w:rsid w:val="00797F70"/>
    <w:rsid w:val="007A0058"/>
    <w:rsid w:val="007A009F"/>
    <w:rsid w:val="007A00D2"/>
    <w:rsid w:val="007A0212"/>
    <w:rsid w:val="007A0242"/>
    <w:rsid w:val="007A027C"/>
    <w:rsid w:val="007A0292"/>
    <w:rsid w:val="007A0406"/>
    <w:rsid w:val="007A053B"/>
    <w:rsid w:val="007A064B"/>
    <w:rsid w:val="007A068F"/>
    <w:rsid w:val="007A06FC"/>
    <w:rsid w:val="007A0796"/>
    <w:rsid w:val="007A07DF"/>
    <w:rsid w:val="007A0928"/>
    <w:rsid w:val="007A0AE0"/>
    <w:rsid w:val="007A0C32"/>
    <w:rsid w:val="007A0E16"/>
    <w:rsid w:val="007A0E1F"/>
    <w:rsid w:val="007A0EBA"/>
    <w:rsid w:val="007A0EC3"/>
    <w:rsid w:val="007A0EE2"/>
    <w:rsid w:val="007A1017"/>
    <w:rsid w:val="007A1122"/>
    <w:rsid w:val="007A115B"/>
    <w:rsid w:val="007A11C1"/>
    <w:rsid w:val="007A12D5"/>
    <w:rsid w:val="007A12DC"/>
    <w:rsid w:val="007A1421"/>
    <w:rsid w:val="007A1531"/>
    <w:rsid w:val="007A1584"/>
    <w:rsid w:val="007A158B"/>
    <w:rsid w:val="007A17AE"/>
    <w:rsid w:val="007A18AA"/>
    <w:rsid w:val="007A191D"/>
    <w:rsid w:val="007A1B08"/>
    <w:rsid w:val="007A1B9E"/>
    <w:rsid w:val="007A1D96"/>
    <w:rsid w:val="007A1E5B"/>
    <w:rsid w:val="007A1F15"/>
    <w:rsid w:val="007A1F20"/>
    <w:rsid w:val="007A21D2"/>
    <w:rsid w:val="007A21DE"/>
    <w:rsid w:val="007A2203"/>
    <w:rsid w:val="007A237F"/>
    <w:rsid w:val="007A23CA"/>
    <w:rsid w:val="007A23F2"/>
    <w:rsid w:val="007A2436"/>
    <w:rsid w:val="007A24AD"/>
    <w:rsid w:val="007A254B"/>
    <w:rsid w:val="007A256C"/>
    <w:rsid w:val="007A259F"/>
    <w:rsid w:val="007A2620"/>
    <w:rsid w:val="007A2896"/>
    <w:rsid w:val="007A2A0B"/>
    <w:rsid w:val="007A2B84"/>
    <w:rsid w:val="007A2CB7"/>
    <w:rsid w:val="007A2D09"/>
    <w:rsid w:val="007A2DA7"/>
    <w:rsid w:val="007A2EE0"/>
    <w:rsid w:val="007A2F43"/>
    <w:rsid w:val="007A2FAC"/>
    <w:rsid w:val="007A30A1"/>
    <w:rsid w:val="007A30C2"/>
    <w:rsid w:val="007A3121"/>
    <w:rsid w:val="007A32A4"/>
    <w:rsid w:val="007A32E9"/>
    <w:rsid w:val="007A32ED"/>
    <w:rsid w:val="007A3398"/>
    <w:rsid w:val="007A340C"/>
    <w:rsid w:val="007A345D"/>
    <w:rsid w:val="007A3491"/>
    <w:rsid w:val="007A34EE"/>
    <w:rsid w:val="007A3523"/>
    <w:rsid w:val="007A35AF"/>
    <w:rsid w:val="007A365F"/>
    <w:rsid w:val="007A3667"/>
    <w:rsid w:val="007A37BB"/>
    <w:rsid w:val="007A3859"/>
    <w:rsid w:val="007A387C"/>
    <w:rsid w:val="007A396D"/>
    <w:rsid w:val="007A3A30"/>
    <w:rsid w:val="007A3A45"/>
    <w:rsid w:val="007A3A8B"/>
    <w:rsid w:val="007A3A8E"/>
    <w:rsid w:val="007A3AB3"/>
    <w:rsid w:val="007A3C33"/>
    <w:rsid w:val="007A3D8D"/>
    <w:rsid w:val="007A3E90"/>
    <w:rsid w:val="007A3F55"/>
    <w:rsid w:val="007A3F5A"/>
    <w:rsid w:val="007A408C"/>
    <w:rsid w:val="007A41F3"/>
    <w:rsid w:val="007A42E9"/>
    <w:rsid w:val="007A43A6"/>
    <w:rsid w:val="007A459C"/>
    <w:rsid w:val="007A4831"/>
    <w:rsid w:val="007A483E"/>
    <w:rsid w:val="007A4984"/>
    <w:rsid w:val="007A498A"/>
    <w:rsid w:val="007A4A1D"/>
    <w:rsid w:val="007A4AD8"/>
    <w:rsid w:val="007A4B92"/>
    <w:rsid w:val="007A4C3B"/>
    <w:rsid w:val="007A4C48"/>
    <w:rsid w:val="007A4CDA"/>
    <w:rsid w:val="007A4E91"/>
    <w:rsid w:val="007A4F59"/>
    <w:rsid w:val="007A5059"/>
    <w:rsid w:val="007A50B0"/>
    <w:rsid w:val="007A515B"/>
    <w:rsid w:val="007A51DD"/>
    <w:rsid w:val="007A534F"/>
    <w:rsid w:val="007A54A5"/>
    <w:rsid w:val="007A57E8"/>
    <w:rsid w:val="007A5801"/>
    <w:rsid w:val="007A5894"/>
    <w:rsid w:val="007A59E4"/>
    <w:rsid w:val="007A5A96"/>
    <w:rsid w:val="007A5DBE"/>
    <w:rsid w:val="007A5E50"/>
    <w:rsid w:val="007A6097"/>
    <w:rsid w:val="007A6133"/>
    <w:rsid w:val="007A6170"/>
    <w:rsid w:val="007A618D"/>
    <w:rsid w:val="007A61CD"/>
    <w:rsid w:val="007A6200"/>
    <w:rsid w:val="007A6329"/>
    <w:rsid w:val="007A64E1"/>
    <w:rsid w:val="007A6502"/>
    <w:rsid w:val="007A6511"/>
    <w:rsid w:val="007A6553"/>
    <w:rsid w:val="007A65B2"/>
    <w:rsid w:val="007A6729"/>
    <w:rsid w:val="007A675D"/>
    <w:rsid w:val="007A67D0"/>
    <w:rsid w:val="007A6880"/>
    <w:rsid w:val="007A69CF"/>
    <w:rsid w:val="007A6DC0"/>
    <w:rsid w:val="007A6E27"/>
    <w:rsid w:val="007A6EED"/>
    <w:rsid w:val="007A6F18"/>
    <w:rsid w:val="007A6F1F"/>
    <w:rsid w:val="007A6FE3"/>
    <w:rsid w:val="007A7045"/>
    <w:rsid w:val="007A7062"/>
    <w:rsid w:val="007A70A3"/>
    <w:rsid w:val="007A70CD"/>
    <w:rsid w:val="007A7113"/>
    <w:rsid w:val="007A71C1"/>
    <w:rsid w:val="007A7286"/>
    <w:rsid w:val="007A729C"/>
    <w:rsid w:val="007A7375"/>
    <w:rsid w:val="007A73EF"/>
    <w:rsid w:val="007A741B"/>
    <w:rsid w:val="007A74AE"/>
    <w:rsid w:val="007A74D3"/>
    <w:rsid w:val="007A75C6"/>
    <w:rsid w:val="007A77EF"/>
    <w:rsid w:val="007A783C"/>
    <w:rsid w:val="007A78AF"/>
    <w:rsid w:val="007A790B"/>
    <w:rsid w:val="007A7A19"/>
    <w:rsid w:val="007A7E6B"/>
    <w:rsid w:val="007A7EA9"/>
    <w:rsid w:val="007B00A8"/>
    <w:rsid w:val="007B0266"/>
    <w:rsid w:val="007B030A"/>
    <w:rsid w:val="007B0359"/>
    <w:rsid w:val="007B039C"/>
    <w:rsid w:val="007B03A8"/>
    <w:rsid w:val="007B0512"/>
    <w:rsid w:val="007B07B8"/>
    <w:rsid w:val="007B08A5"/>
    <w:rsid w:val="007B090D"/>
    <w:rsid w:val="007B0980"/>
    <w:rsid w:val="007B09C4"/>
    <w:rsid w:val="007B0BE8"/>
    <w:rsid w:val="007B0C23"/>
    <w:rsid w:val="007B0D4E"/>
    <w:rsid w:val="007B0DA9"/>
    <w:rsid w:val="007B0E05"/>
    <w:rsid w:val="007B0E7C"/>
    <w:rsid w:val="007B0EF9"/>
    <w:rsid w:val="007B106E"/>
    <w:rsid w:val="007B112D"/>
    <w:rsid w:val="007B1240"/>
    <w:rsid w:val="007B13D8"/>
    <w:rsid w:val="007B186E"/>
    <w:rsid w:val="007B192A"/>
    <w:rsid w:val="007B1977"/>
    <w:rsid w:val="007B19BB"/>
    <w:rsid w:val="007B19FB"/>
    <w:rsid w:val="007B1ABA"/>
    <w:rsid w:val="007B1AF1"/>
    <w:rsid w:val="007B1CE1"/>
    <w:rsid w:val="007B1E76"/>
    <w:rsid w:val="007B1EA9"/>
    <w:rsid w:val="007B1F90"/>
    <w:rsid w:val="007B1FD2"/>
    <w:rsid w:val="007B1FF1"/>
    <w:rsid w:val="007B2090"/>
    <w:rsid w:val="007B20A1"/>
    <w:rsid w:val="007B20BA"/>
    <w:rsid w:val="007B20F1"/>
    <w:rsid w:val="007B2118"/>
    <w:rsid w:val="007B21A0"/>
    <w:rsid w:val="007B2325"/>
    <w:rsid w:val="007B2400"/>
    <w:rsid w:val="007B2438"/>
    <w:rsid w:val="007B24E0"/>
    <w:rsid w:val="007B252D"/>
    <w:rsid w:val="007B2730"/>
    <w:rsid w:val="007B2977"/>
    <w:rsid w:val="007B29C4"/>
    <w:rsid w:val="007B2A39"/>
    <w:rsid w:val="007B2A56"/>
    <w:rsid w:val="007B2A91"/>
    <w:rsid w:val="007B2AEE"/>
    <w:rsid w:val="007B2B3C"/>
    <w:rsid w:val="007B2B4E"/>
    <w:rsid w:val="007B2BD8"/>
    <w:rsid w:val="007B2BE5"/>
    <w:rsid w:val="007B2C14"/>
    <w:rsid w:val="007B2C6D"/>
    <w:rsid w:val="007B2EA5"/>
    <w:rsid w:val="007B2F06"/>
    <w:rsid w:val="007B2FB1"/>
    <w:rsid w:val="007B2FD6"/>
    <w:rsid w:val="007B3185"/>
    <w:rsid w:val="007B32BE"/>
    <w:rsid w:val="007B32E3"/>
    <w:rsid w:val="007B33F0"/>
    <w:rsid w:val="007B350C"/>
    <w:rsid w:val="007B374C"/>
    <w:rsid w:val="007B3801"/>
    <w:rsid w:val="007B3820"/>
    <w:rsid w:val="007B392B"/>
    <w:rsid w:val="007B39D3"/>
    <w:rsid w:val="007B3ADC"/>
    <w:rsid w:val="007B3C0E"/>
    <w:rsid w:val="007B3C3D"/>
    <w:rsid w:val="007B3F28"/>
    <w:rsid w:val="007B3F54"/>
    <w:rsid w:val="007B3FCB"/>
    <w:rsid w:val="007B4145"/>
    <w:rsid w:val="007B41CD"/>
    <w:rsid w:val="007B41E2"/>
    <w:rsid w:val="007B425E"/>
    <w:rsid w:val="007B4261"/>
    <w:rsid w:val="007B43A6"/>
    <w:rsid w:val="007B4513"/>
    <w:rsid w:val="007B467E"/>
    <w:rsid w:val="007B471B"/>
    <w:rsid w:val="007B492F"/>
    <w:rsid w:val="007B49E3"/>
    <w:rsid w:val="007B49F2"/>
    <w:rsid w:val="007B4A0E"/>
    <w:rsid w:val="007B4ADC"/>
    <w:rsid w:val="007B4BDA"/>
    <w:rsid w:val="007B4C15"/>
    <w:rsid w:val="007B4DCD"/>
    <w:rsid w:val="007B4DF4"/>
    <w:rsid w:val="007B4E2B"/>
    <w:rsid w:val="007B4ED2"/>
    <w:rsid w:val="007B4F81"/>
    <w:rsid w:val="007B52E0"/>
    <w:rsid w:val="007B5459"/>
    <w:rsid w:val="007B545C"/>
    <w:rsid w:val="007B548F"/>
    <w:rsid w:val="007B5491"/>
    <w:rsid w:val="007B54C9"/>
    <w:rsid w:val="007B5569"/>
    <w:rsid w:val="007B563C"/>
    <w:rsid w:val="007B573A"/>
    <w:rsid w:val="007B5783"/>
    <w:rsid w:val="007B582E"/>
    <w:rsid w:val="007B58B3"/>
    <w:rsid w:val="007B58B7"/>
    <w:rsid w:val="007B58BD"/>
    <w:rsid w:val="007B591C"/>
    <w:rsid w:val="007B5A12"/>
    <w:rsid w:val="007B5A1D"/>
    <w:rsid w:val="007B5B0E"/>
    <w:rsid w:val="007B5B5B"/>
    <w:rsid w:val="007B5E5A"/>
    <w:rsid w:val="007B5F50"/>
    <w:rsid w:val="007B5FB6"/>
    <w:rsid w:val="007B6107"/>
    <w:rsid w:val="007B619F"/>
    <w:rsid w:val="007B61AB"/>
    <w:rsid w:val="007B63C3"/>
    <w:rsid w:val="007B64A6"/>
    <w:rsid w:val="007B6939"/>
    <w:rsid w:val="007B6979"/>
    <w:rsid w:val="007B69B7"/>
    <w:rsid w:val="007B6A12"/>
    <w:rsid w:val="007B6B6B"/>
    <w:rsid w:val="007B6BB1"/>
    <w:rsid w:val="007B6BDF"/>
    <w:rsid w:val="007B6C40"/>
    <w:rsid w:val="007B6C48"/>
    <w:rsid w:val="007B6D6D"/>
    <w:rsid w:val="007B6DC9"/>
    <w:rsid w:val="007B6DFC"/>
    <w:rsid w:val="007B6E03"/>
    <w:rsid w:val="007B6EC7"/>
    <w:rsid w:val="007B7003"/>
    <w:rsid w:val="007B70E3"/>
    <w:rsid w:val="007B7129"/>
    <w:rsid w:val="007B7148"/>
    <w:rsid w:val="007B744A"/>
    <w:rsid w:val="007B7651"/>
    <w:rsid w:val="007B7A10"/>
    <w:rsid w:val="007B7A60"/>
    <w:rsid w:val="007B7A8A"/>
    <w:rsid w:val="007B7C10"/>
    <w:rsid w:val="007B7C5A"/>
    <w:rsid w:val="007B7C60"/>
    <w:rsid w:val="007B7C8E"/>
    <w:rsid w:val="007B7CA9"/>
    <w:rsid w:val="007B7F13"/>
    <w:rsid w:val="007B7FFE"/>
    <w:rsid w:val="007C008A"/>
    <w:rsid w:val="007C0209"/>
    <w:rsid w:val="007C0231"/>
    <w:rsid w:val="007C0333"/>
    <w:rsid w:val="007C0406"/>
    <w:rsid w:val="007C04AD"/>
    <w:rsid w:val="007C04E3"/>
    <w:rsid w:val="007C0540"/>
    <w:rsid w:val="007C056C"/>
    <w:rsid w:val="007C0596"/>
    <w:rsid w:val="007C05D9"/>
    <w:rsid w:val="007C05E2"/>
    <w:rsid w:val="007C0665"/>
    <w:rsid w:val="007C06D2"/>
    <w:rsid w:val="007C06D6"/>
    <w:rsid w:val="007C0875"/>
    <w:rsid w:val="007C0AAA"/>
    <w:rsid w:val="007C0B6F"/>
    <w:rsid w:val="007C0B8A"/>
    <w:rsid w:val="007C0C20"/>
    <w:rsid w:val="007C0C76"/>
    <w:rsid w:val="007C0CBD"/>
    <w:rsid w:val="007C0DB5"/>
    <w:rsid w:val="007C0E28"/>
    <w:rsid w:val="007C1169"/>
    <w:rsid w:val="007C1186"/>
    <w:rsid w:val="007C1322"/>
    <w:rsid w:val="007C150D"/>
    <w:rsid w:val="007C1602"/>
    <w:rsid w:val="007C1760"/>
    <w:rsid w:val="007C195F"/>
    <w:rsid w:val="007C196C"/>
    <w:rsid w:val="007C1B3A"/>
    <w:rsid w:val="007C1B43"/>
    <w:rsid w:val="007C1C39"/>
    <w:rsid w:val="007C1E2C"/>
    <w:rsid w:val="007C1F45"/>
    <w:rsid w:val="007C1FC0"/>
    <w:rsid w:val="007C2018"/>
    <w:rsid w:val="007C2074"/>
    <w:rsid w:val="007C2199"/>
    <w:rsid w:val="007C21C5"/>
    <w:rsid w:val="007C24EB"/>
    <w:rsid w:val="007C253C"/>
    <w:rsid w:val="007C26EF"/>
    <w:rsid w:val="007C281C"/>
    <w:rsid w:val="007C28D6"/>
    <w:rsid w:val="007C28D9"/>
    <w:rsid w:val="007C29E4"/>
    <w:rsid w:val="007C29FE"/>
    <w:rsid w:val="007C2A9F"/>
    <w:rsid w:val="007C2B9C"/>
    <w:rsid w:val="007C2BA3"/>
    <w:rsid w:val="007C2D90"/>
    <w:rsid w:val="007C2DD7"/>
    <w:rsid w:val="007C2EEE"/>
    <w:rsid w:val="007C2F0A"/>
    <w:rsid w:val="007C2FE2"/>
    <w:rsid w:val="007C3030"/>
    <w:rsid w:val="007C304A"/>
    <w:rsid w:val="007C309A"/>
    <w:rsid w:val="007C3171"/>
    <w:rsid w:val="007C31CC"/>
    <w:rsid w:val="007C32CD"/>
    <w:rsid w:val="007C3301"/>
    <w:rsid w:val="007C333C"/>
    <w:rsid w:val="007C33C3"/>
    <w:rsid w:val="007C3569"/>
    <w:rsid w:val="007C35DC"/>
    <w:rsid w:val="007C360F"/>
    <w:rsid w:val="007C36AC"/>
    <w:rsid w:val="007C36F0"/>
    <w:rsid w:val="007C3765"/>
    <w:rsid w:val="007C3933"/>
    <w:rsid w:val="007C3A04"/>
    <w:rsid w:val="007C3AC0"/>
    <w:rsid w:val="007C3B4A"/>
    <w:rsid w:val="007C3C9D"/>
    <w:rsid w:val="007C3D1D"/>
    <w:rsid w:val="007C3D98"/>
    <w:rsid w:val="007C3EE8"/>
    <w:rsid w:val="007C3F79"/>
    <w:rsid w:val="007C3FA6"/>
    <w:rsid w:val="007C40A6"/>
    <w:rsid w:val="007C41E4"/>
    <w:rsid w:val="007C4296"/>
    <w:rsid w:val="007C42AF"/>
    <w:rsid w:val="007C4435"/>
    <w:rsid w:val="007C45B4"/>
    <w:rsid w:val="007C472C"/>
    <w:rsid w:val="007C4826"/>
    <w:rsid w:val="007C4845"/>
    <w:rsid w:val="007C4876"/>
    <w:rsid w:val="007C4916"/>
    <w:rsid w:val="007C4BE6"/>
    <w:rsid w:val="007C4C8B"/>
    <w:rsid w:val="007C4CAD"/>
    <w:rsid w:val="007C4CFF"/>
    <w:rsid w:val="007C4D91"/>
    <w:rsid w:val="007C4DF0"/>
    <w:rsid w:val="007C4ED1"/>
    <w:rsid w:val="007C4F2F"/>
    <w:rsid w:val="007C4FBC"/>
    <w:rsid w:val="007C4FC7"/>
    <w:rsid w:val="007C50CE"/>
    <w:rsid w:val="007C51DA"/>
    <w:rsid w:val="007C5329"/>
    <w:rsid w:val="007C54C6"/>
    <w:rsid w:val="007C5521"/>
    <w:rsid w:val="007C5747"/>
    <w:rsid w:val="007C5849"/>
    <w:rsid w:val="007C5884"/>
    <w:rsid w:val="007C58D7"/>
    <w:rsid w:val="007C5A0E"/>
    <w:rsid w:val="007C5AD4"/>
    <w:rsid w:val="007C5B41"/>
    <w:rsid w:val="007C5C63"/>
    <w:rsid w:val="007C5DDE"/>
    <w:rsid w:val="007C5EF2"/>
    <w:rsid w:val="007C5F57"/>
    <w:rsid w:val="007C6067"/>
    <w:rsid w:val="007C60EA"/>
    <w:rsid w:val="007C628B"/>
    <w:rsid w:val="007C62FC"/>
    <w:rsid w:val="007C6363"/>
    <w:rsid w:val="007C63B6"/>
    <w:rsid w:val="007C6434"/>
    <w:rsid w:val="007C662B"/>
    <w:rsid w:val="007C67BE"/>
    <w:rsid w:val="007C68E6"/>
    <w:rsid w:val="007C6960"/>
    <w:rsid w:val="007C6980"/>
    <w:rsid w:val="007C6981"/>
    <w:rsid w:val="007C6AA6"/>
    <w:rsid w:val="007C6BFF"/>
    <w:rsid w:val="007C6C70"/>
    <w:rsid w:val="007C6C96"/>
    <w:rsid w:val="007C6D68"/>
    <w:rsid w:val="007C6DB3"/>
    <w:rsid w:val="007C6E7B"/>
    <w:rsid w:val="007C710E"/>
    <w:rsid w:val="007C736F"/>
    <w:rsid w:val="007C7376"/>
    <w:rsid w:val="007C7441"/>
    <w:rsid w:val="007C750D"/>
    <w:rsid w:val="007C76E7"/>
    <w:rsid w:val="007C7707"/>
    <w:rsid w:val="007C77A3"/>
    <w:rsid w:val="007C77E0"/>
    <w:rsid w:val="007C780E"/>
    <w:rsid w:val="007C78C1"/>
    <w:rsid w:val="007C7944"/>
    <w:rsid w:val="007C79CE"/>
    <w:rsid w:val="007C7A59"/>
    <w:rsid w:val="007C7A64"/>
    <w:rsid w:val="007C7A7B"/>
    <w:rsid w:val="007C7C55"/>
    <w:rsid w:val="007C7C63"/>
    <w:rsid w:val="007C7DEE"/>
    <w:rsid w:val="007C7E19"/>
    <w:rsid w:val="007D02CA"/>
    <w:rsid w:val="007D0379"/>
    <w:rsid w:val="007D0433"/>
    <w:rsid w:val="007D0486"/>
    <w:rsid w:val="007D06BF"/>
    <w:rsid w:val="007D0935"/>
    <w:rsid w:val="007D0958"/>
    <w:rsid w:val="007D0972"/>
    <w:rsid w:val="007D0982"/>
    <w:rsid w:val="007D09E8"/>
    <w:rsid w:val="007D0A8B"/>
    <w:rsid w:val="007D0A8F"/>
    <w:rsid w:val="007D0AC3"/>
    <w:rsid w:val="007D0B6A"/>
    <w:rsid w:val="007D0D80"/>
    <w:rsid w:val="007D0DA5"/>
    <w:rsid w:val="007D0E8B"/>
    <w:rsid w:val="007D0EDC"/>
    <w:rsid w:val="007D0F2A"/>
    <w:rsid w:val="007D0F58"/>
    <w:rsid w:val="007D0FCA"/>
    <w:rsid w:val="007D108C"/>
    <w:rsid w:val="007D10F7"/>
    <w:rsid w:val="007D1196"/>
    <w:rsid w:val="007D11C2"/>
    <w:rsid w:val="007D11FB"/>
    <w:rsid w:val="007D120A"/>
    <w:rsid w:val="007D1283"/>
    <w:rsid w:val="007D1309"/>
    <w:rsid w:val="007D1322"/>
    <w:rsid w:val="007D1516"/>
    <w:rsid w:val="007D157D"/>
    <w:rsid w:val="007D160C"/>
    <w:rsid w:val="007D1615"/>
    <w:rsid w:val="007D17D9"/>
    <w:rsid w:val="007D189D"/>
    <w:rsid w:val="007D195E"/>
    <w:rsid w:val="007D19CE"/>
    <w:rsid w:val="007D1A26"/>
    <w:rsid w:val="007D1AFD"/>
    <w:rsid w:val="007D1D6B"/>
    <w:rsid w:val="007D1DAD"/>
    <w:rsid w:val="007D1F19"/>
    <w:rsid w:val="007D1F27"/>
    <w:rsid w:val="007D1FC7"/>
    <w:rsid w:val="007D22BC"/>
    <w:rsid w:val="007D2523"/>
    <w:rsid w:val="007D2596"/>
    <w:rsid w:val="007D25BD"/>
    <w:rsid w:val="007D2650"/>
    <w:rsid w:val="007D2743"/>
    <w:rsid w:val="007D27AD"/>
    <w:rsid w:val="007D29B7"/>
    <w:rsid w:val="007D2AB1"/>
    <w:rsid w:val="007D2C18"/>
    <w:rsid w:val="007D2C27"/>
    <w:rsid w:val="007D2C87"/>
    <w:rsid w:val="007D2CEE"/>
    <w:rsid w:val="007D2CF0"/>
    <w:rsid w:val="007D2D99"/>
    <w:rsid w:val="007D2E03"/>
    <w:rsid w:val="007D2E08"/>
    <w:rsid w:val="007D2EB7"/>
    <w:rsid w:val="007D2EC9"/>
    <w:rsid w:val="007D2EFB"/>
    <w:rsid w:val="007D2F4E"/>
    <w:rsid w:val="007D310C"/>
    <w:rsid w:val="007D3112"/>
    <w:rsid w:val="007D31CD"/>
    <w:rsid w:val="007D31D2"/>
    <w:rsid w:val="007D3407"/>
    <w:rsid w:val="007D348F"/>
    <w:rsid w:val="007D34A3"/>
    <w:rsid w:val="007D3559"/>
    <w:rsid w:val="007D3666"/>
    <w:rsid w:val="007D36A9"/>
    <w:rsid w:val="007D385E"/>
    <w:rsid w:val="007D3877"/>
    <w:rsid w:val="007D396F"/>
    <w:rsid w:val="007D397C"/>
    <w:rsid w:val="007D3A59"/>
    <w:rsid w:val="007D3B87"/>
    <w:rsid w:val="007D3BE5"/>
    <w:rsid w:val="007D3C55"/>
    <w:rsid w:val="007D3C76"/>
    <w:rsid w:val="007D3C82"/>
    <w:rsid w:val="007D3CCF"/>
    <w:rsid w:val="007D3E95"/>
    <w:rsid w:val="007D3ED6"/>
    <w:rsid w:val="007D4042"/>
    <w:rsid w:val="007D40AF"/>
    <w:rsid w:val="007D424E"/>
    <w:rsid w:val="007D436B"/>
    <w:rsid w:val="007D442B"/>
    <w:rsid w:val="007D4497"/>
    <w:rsid w:val="007D45D5"/>
    <w:rsid w:val="007D460D"/>
    <w:rsid w:val="007D47BC"/>
    <w:rsid w:val="007D48F2"/>
    <w:rsid w:val="007D497A"/>
    <w:rsid w:val="007D4B0D"/>
    <w:rsid w:val="007D4BC4"/>
    <w:rsid w:val="007D4BF8"/>
    <w:rsid w:val="007D4C1A"/>
    <w:rsid w:val="007D4C60"/>
    <w:rsid w:val="007D4C92"/>
    <w:rsid w:val="007D4CB5"/>
    <w:rsid w:val="007D4CBE"/>
    <w:rsid w:val="007D4CF3"/>
    <w:rsid w:val="007D4D47"/>
    <w:rsid w:val="007D4EF8"/>
    <w:rsid w:val="007D4F01"/>
    <w:rsid w:val="007D4FD5"/>
    <w:rsid w:val="007D4FDC"/>
    <w:rsid w:val="007D51BA"/>
    <w:rsid w:val="007D525A"/>
    <w:rsid w:val="007D5388"/>
    <w:rsid w:val="007D53EF"/>
    <w:rsid w:val="007D54D3"/>
    <w:rsid w:val="007D559B"/>
    <w:rsid w:val="007D56CC"/>
    <w:rsid w:val="007D5748"/>
    <w:rsid w:val="007D57C0"/>
    <w:rsid w:val="007D57F9"/>
    <w:rsid w:val="007D5948"/>
    <w:rsid w:val="007D59E9"/>
    <w:rsid w:val="007D5A06"/>
    <w:rsid w:val="007D5A2F"/>
    <w:rsid w:val="007D5C51"/>
    <w:rsid w:val="007D5D30"/>
    <w:rsid w:val="007D5DE0"/>
    <w:rsid w:val="007D5E59"/>
    <w:rsid w:val="007D5EAC"/>
    <w:rsid w:val="007D5F28"/>
    <w:rsid w:val="007D5F9C"/>
    <w:rsid w:val="007D5FD3"/>
    <w:rsid w:val="007D60C8"/>
    <w:rsid w:val="007D6152"/>
    <w:rsid w:val="007D62C9"/>
    <w:rsid w:val="007D6352"/>
    <w:rsid w:val="007D6496"/>
    <w:rsid w:val="007D64B8"/>
    <w:rsid w:val="007D64C7"/>
    <w:rsid w:val="007D6577"/>
    <w:rsid w:val="007D66BD"/>
    <w:rsid w:val="007D6835"/>
    <w:rsid w:val="007D6871"/>
    <w:rsid w:val="007D68BC"/>
    <w:rsid w:val="007D697B"/>
    <w:rsid w:val="007D6AA9"/>
    <w:rsid w:val="007D6AD5"/>
    <w:rsid w:val="007D6C27"/>
    <w:rsid w:val="007D6C89"/>
    <w:rsid w:val="007D6E42"/>
    <w:rsid w:val="007D6F92"/>
    <w:rsid w:val="007D6FB7"/>
    <w:rsid w:val="007D6FF0"/>
    <w:rsid w:val="007D701B"/>
    <w:rsid w:val="007D70FE"/>
    <w:rsid w:val="007D71CD"/>
    <w:rsid w:val="007D71DA"/>
    <w:rsid w:val="007D71F8"/>
    <w:rsid w:val="007D7256"/>
    <w:rsid w:val="007D7335"/>
    <w:rsid w:val="007D73D0"/>
    <w:rsid w:val="007D740A"/>
    <w:rsid w:val="007D7581"/>
    <w:rsid w:val="007D7591"/>
    <w:rsid w:val="007D76DD"/>
    <w:rsid w:val="007D7704"/>
    <w:rsid w:val="007D7779"/>
    <w:rsid w:val="007D7847"/>
    <w:rsid w:val="007D7897"/>
    <w:rsid w:val="007D7938"/>
    <w:rsid w:val="007D79E1"/>
    <w:rsid w:val="007D7B74"/>
    <w:rsid w:val="007D7EDA"/>
    <w:rsid w:val="007D7FF0"/>
    <w:rsid w:val="007D7FF3"/>
    <w:rsid w:val="007E0163"/>
    <w:rsid w:val="007E0230"/>
    <w:rsid w:val="007E0302"/>
    <w:rsid w:val="007E03C0"/>
    <w:rsid w:val="007E0420"/>
    <w:rsid w:val="007E0640"/>
    <w:rsid w:val="007E0738"/>
    <w:rsid w:val="007E0774"/>
    <w:rsid w:val="007E085B"/>
    <w:rsid w:val="007E08C1"/>
    <w:rsid w:val="007E08C5"/>
    <w:rsid w:val="007E08DE"/>
    <w:rsid w:val="007E0AA2"/>
    <w:rsid w:val="007E0B81"/>
    <w:rsid w:val="007E0D37"/>
    <w:rsid w:val="007E0D7E"/>
    <w:rsid w:val="007E0DAF"/>
    <w:rsid w:val="007E0DE2"/>
    <w:rsid w:val="007E0E35"/>
    <w:rsid w:val="007E1070"/>
    <w:rsid w:val="007E1094"/>
    <w:rsid w:val="007E1146"/>
    <w:rsid w:val="007E126F"/>
    <w:rsid w:val="007E139D"/>
    <w:rsid w:val="007E13D2"/>
    <w:rsid w:val="007E1460"/>
    <w:rsid w:val="007E157F"/>
    <w:rsid w:val="007E1584"/>
    <w:rsid w:val="007E166E"/>
    <w:rsid w:val="007E179B"/>
    <w:rsid w:val="007E1819"/>
    <w:rsid w:val="007E186A"/>
    <w:rsid w:val="007E1A4C"/>
    <w:rsid w:val="007E1A7B"/>
    <w:rsid w:val="007E1CB1"/>
    <w:rsid w:val="007E1D0C"/>
    <w:rsid w:val="007E1D60"/>
    <w:rsid w:val="007E1FFC"/>
    <w:rsid w:val="007E201D"/>
    <w:rsid w:val="007E2030"/>
    <w:rsid w:val="007E2034"/>
    <w:rsid w:val="007E2187"/>
    <w:rsid w:val="007E2226"/>
    <w:rsid w:val="007E242C"/>
    <w:rsid w:val="007E2446"/>
    <w:rsid w:val="007E244F"/>
    <w:rsid w:val="007E274D"/>
    <w:rsid w:val="007E2836"/>
    <w:rsid w:val="007E2842"/>
    <w:rsid w:val="007E297B"/>
    <w:rsid w:val="007E2A43"/>
    <w:rsid w:val="007E2AA9"/>
    <w:rsid w:val="007E2AC5"/>
    <w:rsid w:val="007E2B14"/>
    <w:rsid w:val="007E2B2C"/>
    <w:rsid w:val="007E2B8A"/>
    <w:rsid w:val="007E2C0B"/>
    <w:rsid w:val="007E2C3F"/>
    <w:rsid w:val="007E2C87"/>
    <w:rsid w:val="007E2C9F"/>
    <w:rsid w:val="007E2D0C"/>
    <w:rsid w:val="007E2D8A"/>
    <w:rsid w:val="007E2DC1"/>
    <w:rsid w:val="007E2DE7"/>
    <w:rsid w:val="007E2F76"/>
    <w:rsid w:val="007E3015"/>
    <w:rsid w:val="007E316B"/>
    <w:rsid w:val="007E346E"/>
    <w:rsid w:val="007E3522"/>
    <w:rsid w:val="007E36DE"/>
    <w:rsid w:val="007E3815"/>
    <w:rsid w:val="007E389F"/>
    <w:rsid w:val="007E3A4D"/>
    <w:rsid w:val="007E3AC9"/>
    <w:rsid w:val="007E3AD3"/>
    <w:rsid w:val="007E3D76"/>
    <w:rsid w:val="007E3DFA"/>
    <w:rsid w:val="007E3F67"/>
    <w:rsid w:val="007E4193"/>
    <w:rsid w:val="007E4222"/>
    <w:rsid w:val="007E425C"/>
    <w:rsid w:val="007E42DF"/>
    <w:rsid w:val="007E433A"/>
    <w:rsid w:val="007E44F8"/>
    <w:rsid w:val="007E454D"/>
    <w:rsid w:val="007E45C9"/>
    <w:rsid w:val="007E4613"/>
    <w:rsid w:val="007E4653"/>
    <w:rsid w:val="007E4742"/>
    <w:rsid w:val="007E4752"/>
    <w:rsid w:val="007E4783"/>
    <w:rsid w:val="007E47EB"/>
    <w:rsid w:val="007E4819"/>
    <w:rsid w:val="007E486D"/>
    <w:rsid w:val="007E48A3"/>
    <w:rsid w:val="007E48F8"/>
    <w:rsid w:val="007E49E3"/>
    <w:rsid w:val="007E4A6C"/>
    <w:rsid w:val="007E4C46"/>
    <w:rsid w:val="007E4DD3"/>
    <w:rsid w:val="007E4DEB"/>
    <w:rsid w:val="007E4FBA"/>
    <w:rsid w:val="007E50C7"/>
    <w:rsid w:val="007E5194"/>
    <w:rsid w:val="007E5409"/>
    <w:rsid w:val="007E5423"/>
    <w:rsid w:val="007E546C"/>
    <w:rsid w:val="007E54E0"/>
    <w:rsid w:val="007E5510"/>
    <w:rsid w:val="007E55EC"/>
    <w:rsid w:val="007E562B"/>
    <w:rsid w:val="007E568A"/>
    <w:rsid w:val="007E5718"/>
    <w:rsid w:val="007E58BB"/>
    <w:rsid w:val="007E5AF5"/>
    <w:rsid w:val="007E5C95"/>
    <w:rsid w:val="007E5CA0"/>
    <w:rsid w:val="007E5D38"/>
    <w:rsid w:val="007E5DA9"/>
    <w:rsid w:val="007E5F32"/>
    <w:rsid w:val="007E5FDB"/>
    <w:rsid w:val="007E5FEC"/>
    <w:rsid w:val="007E5FEE"/>
    <w:rsid w:val="007E6064"/>
    <w:rsid w:val="007E6083"/>
    <w:rsid w:val="007E6116"/>
    <w:rsid w:val="007E612E"/>
    <w:rsid w:val="007E61DF"/>
    <w:rsid w:val="007E63AA"/>
    <w:rsid w:val="007E63FA"/>
    <w:rsid w:val="007E64EC"/>
    <w:rsid w:val="007E65AB"/>
    <w:rsid w:val="007E660A"/>
    <w:rsid w:val="007E6617"/>
    <w:rsid w:val="007E66B7"/>
    <w:rsid w:val="007E67A0"/>
    <w:rsid w:val="007E6852"/>
    <w:rsid w:val="007E6963"/>
    <w:rsid w:val="007E6A00"/>
    <w:rsid w:val="007E6A9E"/>
    <w:rsid w:val="007E6AA8"/>
    <w:rsid w:val="007E6AF8"/>
    <w:rsid w:val="007E6B35"/>
    <w:rsid w:val="007E6CDD"/>
    <w:rsid w:val="007E6DC8"/>
    <w:rsid w:val="007E6EAF"/>
    <w:rsid w:val="007E6F35"/>
    <w:rsid w:val="007E6F39"/>
    <w:rsid w:val="007E6F5C"/>
    <w:rsid w:val="007E6FBF"/>
    <w:rsid w:val="007E6FD6"/>
    <w:rsid w:val="007E707B"/>
    <w:rsid w:val="007E711D"/>
    <w:rsid w:val="007E718F"/>
    <w:rsid w:val="007E7294"/>
    <w:rsid w:val="007E73CC"/>
    <w:rsid w:val="007E73F7"/>
    <w:rsid w:val="007E76C6"/>
    <w:rsid w:val="007E776A"/>
    <w:rsid w:val="007E77A5"/>
    <w:rsid w:val="007E7958"/>
    <w:rsid w:val="007E7995"/>
    <w:rsid w:val="007E7A5F"/>
    <w:rsid w:val="007E7A8A"/>
    <w:rsid w:val="007E7B2F"/>
    <w:rsid w:val="007E7B40"/>
    <w:rsid w:val="007E7B85"/>
    <w:rsid w:val="007E7BE8"/>
    <w:rsid w:val="007E7D24"/>
    <w:rsid w:val="007E7D45"/>
    <w:rsid w:val="007E7D8E"/>
    <w:rsid w:val="007E7D93"/>
    <w:rsid w:val="007E7E47"/>
    <w:rsid w:val="007E7E67"/>
    <w:rsid w:val="007E7EE0"/>
    <w:rsid w:val="007E7FE7"/>
    <w:rsid w:val="007F022F"/>
    <w:rsid w:val="007F0357"/>
    <w:rsid w:val="007F03D2"/>
    <w:rsid w:val="007F0575"/>
    <w:rsid w:val="007F0592"/>
    <w:rsid w:val="007F0601"/>
    <w:rsid w:val="007F0692"/>
    <w:rsid w:val="007F081D"/>
    <w:rsid w:val="007F084E"/>
    <w:rsid w:val="007F09C1"/>
    <w:rsid w:val="007F0AE8"/>
    <w:rsid w:val="007F0B1F"/>
    <w:rsid w:val="007F0CD3"/>
    <w:rsid w:val="007F0CFC"/>
    <w:rsid w:val="007F0D03"/>
    <w:rsid w:val="007F0DDE"/>
    <w:rsid w:val="007F0DE2"/>
    <w:rsid w:val="007F0E0A"/>
    <w:rsid w:val="007F0F0B"/>
    <w:rsid w:val="007F1022"/>
    <w:rsid w:val="007F103E"/>
    <w:rsid w:val="007F137D"/>
    <w:rsid w:val="007F13EB"/>
    <w:rsid w:val="007F14EB"/>
    <w:rsid w:val="007F16DC"/>
    <w:rsid w:val="007F172F"/>
    <w:rsid w:val="007F1796"/>
    <w:rsid w:val="007F17C5"/>
    <w:rsid w:val="007F1907"/>
    <w:rsid w:val="007F193F"/>
    <w:rsid w:val="007F1A13"/>
    <w:rsid w:val="007F1A47"/>
    <w:rsid w:val="007F1A6F"/>
    <w:rsid w:val="007F1CCF"/>
    <w:rsid w:val="007F1CEE"/>
    <w:rsid w:val="007F1F9E"/>
    <w:rsid w:val="007F2073"/>
    <w:rsid w:val="007F2085"/>
    <w:rsid w:val="007F2130"/>
    <w:rsid w:val="007F2139"/>
    <w:rsid w:val="007F219E"/>
    <w:rsid w:val="007F219F"/>
    <w:rsid w:val="007F21CB"/>
    <w:rsid w:val="007F224B"/>
    <w:rsid w:val="007F2299"/>
    <w:rsid w:val="007F235A"/>
    <w:rsid w:val="007F23C7"/>
    <w:rsid w:val="007F240E"/>
    <w:rsid w:val="007F2411"/>
    <w:rsid w:val="007F24DE"/>
    <w:rsid w:val="007F262B"/>
    <w:rsid w:val="007F2657"/>
    <w:rsid w:val="007F2688"/>
    <w:rsid w:val="007F273C"/>
    <w:rsid w:val="007F2760"/>
    <w:rsid w:val="007F279D"/>
    <w:rsid w:val="007F284E"/>
    <w:rsid w:val="007F2970"/>
    <w:rsid w:val="007F2A68"/>
    <w:rsid w:val="007F2C65"/>
    <w:rsid w:val="007F2CBB"/>
    <w:rsid w:val="007F2F56"/>
    <w:rsid w:val="007F3046"/>
    <w:rsid w:val="007F3162"/>
    <w:rsid w:val="007F3191"/>
    <w:rsid w:val="007F3265"/>
    <w:rsid w:val="007F327F"/>
    <w:rsid w:val="007F329F"/>
    <w:rsid w:val="007F330B"/>
    <w:rsid w:val="007F3339"/>
    <w:rsid w:val="007F343E"/>
    <w:rsid w:val="007F349F"/>
    <w:rsid w:val="007F3658"/>
    <w:rsid w:val="007F366F"/>
    <w:rsid w:val="007F3691"/>
    <w:rsid w:val="007F3711"/>
    <w:rsid w:val="007F3800"/>
    <w:rsid w:val="007F3927"/>
    <w:rsid w:val="007F39B9"/>
    <w:rsid w:val="007F3B42"/>
    <w:rsid w:val="007F3BA8"/>
    <w:rsid w:val="007F3BB4"/>
    <w:rsid w:val="007F3D3C"/>
    <w:rsid w:val="007F3E72"/>
    <w:rsid w:val="007F3EDF"/>
    <w:rsid w:val="007F409E"/>
    <w:rsid w:val="007F40C3"/>
    <w:rsid w:val="007F41B5"/>
    <w:rsid w:val="007F4203"/>
    <w:rsid w:val="007F424B"/>
    <w:rsid w:val="007F4258"/>
    <w:rsid w:val="007F42AF"/>
    <w:rsid w:val="007F437D"/>
    <w:rsid w:val="007F438C"/>
    <w:rsid w:val="007F4396"/>
    <w:rsid w:val="007F439A"/>
    <w:rsid w:val="007F43CE"/>
    <w:rsid w:val="007F43EC"/>
    <w:rsid w:val="007F4408"/>
    <w:rsid w:val="007F4552"/>
    <w:rsid w:val="007F4584"/>
    <w:rsid w:val="007F46FB"/>
    <w:rsid w:val="007F4722"/>
    <w:rsid w:val="007F4828"/>
    <w:rsid w:val="007F4AA7"/>
    <w:rsid w:val="007F4AB5"/>
    <w:rsid w:val="007F4AF5"/>
    <w:rsid w:val="007F4B14"/>
    <w:rsid w:val="007F4B9B"/>
    <w:rsid w:val="007F4C63"/>
    <w:rsid w:val="007F4CAF"/>
    <w:rsid w:val="007F4DC3"/>
    <w:rsid w:val="007F4E15"/>
    <w:rsid w:val="007F4F2A"/>
    <w:rsid w:val="007F500C"/>
    <w:rsid w:val="007F5078"/>
    <w:rsid w:val="007F5144"/>
    <w:rsid w:val="007F520F"/>
    <w:rsid w:val="007F5322"/>
    <w:rsid w:val="007F534F"/>
    <w:rsid w:val="007F5490"/>
    <w:rsid w:val="007F54AA"/>
    <w:rsid w:val="007F54B8"/>
    <w:rsid w:val="007F5621"/>
    <w:rsid w:val="007F57B5"/>
    <w:rsid w:val="007F57F2"/>
    <w:rsid w:val="007F5813"/>
    <w:rsid w:val="007F5895"/>
    <w:rsid w:val="007F58C6"/>
    <w:rsid w:val="007F5A32"/>
    <w:rsid w:val="007F5A4C"/>
    <w:rsid w:val="007F5B10"/>
    <w:rsid w:val="007F5B76"/>
    <w:rsid w:val="007F5BAD"/>
    <w:rsid w:val="007F5BF3"/>
    <w:rsid w:val="007F5DC8"/>
    <w:rsid w:val="007F5ECD"/>
    <w:rsid w:val="007F6027"/>
    <w:rsid w:val="007F6072"/>
    <w:rsid w:val="007F608D"/>
    <w:rsid w:val="007F60D5"/>
    <w:rsid w:val="007F61DD"/>
    <w:rsid w:val="007F6255"/>
    <w:rsid w:val="007F630B"/>
    <w:rsid w:val="007F63BA"/>
    <w:rsid w:val="007F64BA"/>
    <w:rsid w:val="007F6561"/>
    <w:rsid w:val="007F6961"/>
    <w:rsid w:val="007F6AB5"/>
    <w:rsid w:val="007F6AEB"/>
    <w:rsid w:val="007F6CAF"/>
    <w:rsid w:val="007F6CFF"/>
    <w:rsid w:val="007F6D88"/>
    <w:rsid w:val="007F71CB"/>
    <w:rsid w:val="007F71E7"/>
    <w:rsid w:val="007F728E"/>
    <w:rsid w:val="007F731B"/>
    <w:rsid w:val="007F73A6"/>
    <w:rsid w:val="007F7536"/>
    <w:rsid w:val="007F755C"/>
    <w:rsid w:val="007F7590"/>
    <w:rsid w:val="007F77C4"/>
    <w:rsid w:val="007F783F"/>
    <w:rsid w:val="007F78A7"/>
    <w:rsid w:val="007F7905"/>
    <w:rsid w:val="007F7A8C"/>
    <w:rsid w:val="007F7B02"/>
    <w:rsid w:val="007F7D28"/>
    <w:rsid w:val="007F7D30"/>
    <w:rsid w:val="007F7D85"/>
    <w:rsid w:val="007F7F19"/>
    <w:rsid w:val="0080001F"/>
    <w:rsid w:val="008000E5"/>
    <w:rsid w:val="00800213"/>
    <w:rsid w:val="0080034C"/>
    <w:rsid w:val="00800357"/>
    <w:rsid w:val="0080035E"/>
    <w:rsid w:val="00800366"/>
    <w:rsid w:val="0080042C"/>
    <w:rsid w:val="00800441"/>
    <w:rsid w:val="008004F1"/>
    <w:rsid w:val="008005AF"/>
    <w:rsid w:val="008005C8"/>
    <w:rsid w:val="008006BE"/>
    <w:rsid w:val="00800730"/>
    <w:rsid w:val="008007C5"/>
    <w:rsid w:val="0080089F"/>
    <w:rsid w:val="00800997"/>
    <w:rsid w:val="00800A6E"/>
    <w:rsid w:val="00800AF4"/>
    <w:rsid w:val="00800B0D"/>
    <w:rsid w:val="00800E57"/>
    <w:rsid w:val="00800E60"/>
    <w:rsid w:val="00800E63"/>
    <w:rsid w:val="00800EA7"/>
    <w:rsid w:val="008011B8"/>
    <w:rsid w:val="00801258"/>
    <w:rsid w:val="00801293"/>
    <w:rsid w:val="008012D5"/>
    <w:rsid w:val="008013C3"/>
    <w:rsid w:val="0080141C"/>
    <w:rsid w:val="008014F6"/>
    <w:rsid w:val="00801549"/>
    <w:rsid w:val="0080155A"/>
    <w:rsid w:val="008015D9"/>
    <w:rsid w:val="00801700"/>
    <w:rsid w:val="0080174A"/>
    <w:rsid w:val="0080178C"/>
    <w:rsid w:val="0080182D"/>
    <w:rsid w:val="00801956"/>
    <w:rsid w:val="0080198E"/>
    <w:rsid w:val="00801BAD"/>
    <w:rsid w:val="00801CBC"/>
    <w:rsid w:val="00801D1F"/>
    <w:rsid w:val="00801D62"/>
    <w:rsid w:val="00802249"/>
    <w:rsid w:val="0080225B"/>
    <w:rsid w:val="00802276"/>
    <w:rsid w:val="008023F7"/>
    <w:rsid w:val="00802460"/>
    <w:rsid w:val="00802509"/>
    <w:rsid w:val="008028FE"/>
    <w:rsid w:val="00802B3F"/>
    <w:rsid w:val="00802C3F"/>
    <w:rsid w:val="00802CCB"/>
    <w:rsid w:val="00803061"/>
    <w:rsid w:val="0080320A"/>
    <w:rsid w:val="008032CE"/>
    <w:rsid w:val="00803531"/>
    <w:rsid w:val="008036E9"/>
    <w:rsid w:val="008036F6"/>
    <w:rsid w:val="00803721"/>
    <w:rsid w:val="0080374E"/>
    <w:rsid w:val="008037EC"/>
    <w:rsid w:val="0080381E"/>
    <w:rsid w:val="0080397A"/>
    <w:rsid w:val="008039B8"/>
    <w:rsid w:val="00803B90"/>
    <w:rsid w:val="00803D1D"/>
    <w:rsid w:val="00803F11"/>
    <w:rsid w:val="00804050"/>
    <w:rsid w:val="00804102"/>
    <w:rsid w:val="00804139"/>
    <w:rsid w:val="00804178"/>
    <w:rsid w:val="0080424A"/>
    <w:rsid w:val="00804394"/>
    <w:rsid w:val="008044E5"/>
    <w:rsid w:val="008045D9"/>
    <w:rsid w:val="00804612"/>
    <w:rsid w:val="00804820"/>
    <w:rsid w:val="008048B6"/>
    <w:rsid w:val="008048CA"/>
    <w:rsid w:val="0080493E"/>
    <w:rsid w:val="008049B6"/>
    <w:rsid w:val="00804ACB"/>
    <w:rsid w:val="00804ACE"/>
    <w:rsid w:val="00804CB4"/>
    <w:rsid w:val="00804CC6"/>
    <w:rsid w:val="00804CD8"/>
    <w:rsid w:val="00804D96"/>
    <w:rsid w:val="00804F7D"/>
    <w:rsid w:val="00805063"/>
    <w:rsid w:val="00805111"/>
    <w:rsid w:val="0080511D"/>
    <w:rsid w:val="00805150"/>
    <w:rsid w:val="0080519D"/>
    <w:rsid w:val="00805291"/>
    <w:rsid w:val="008052CE"/>
    <w:rsid w:val="0080534E"/>
    <w:rsid w:val="008053D0"/>
    <w:rsid w:val="008053E0"/>
    <w:rsid w:val="008053F5"/>
    <w:rsid w:val="00805471"/>
    <w:rsid w:val="008054A9"/>
    <w:rsid w:val="00805553"/>
    <w:rsid w:val="0080562C"/>
    <w:rsid w:val="0080562E"/>
    <w:rsid w:val="0080576C"/>
    <w:rsid w:val="008058E0"/>
    <w:rsid w:val="0080598C"/>
    <w:rsid w:val="00805AD1"/>
    <w:rsid w:val="00805B09"/>
    <w:rsid w:val="00805BEB"/>
    <w:rsid w:val="00805C14"/>
    <w:rsid w:val="00805C3F"/>
    <w:rsid w:val="00805C9F"/>
    <w:rsid w:val="00805CF4"/>
    <w:rsid w:val="00805D84"/>
    <w:rsid w:val="00805DB4"/>
    <w:rsid w:val="00805F66"/>
    <w:rsid w:val="00805F71"/>
    <w:rsid w:val="00806067"/>
    <w:rsid w:val="00806086"/>
    <w:rsid w:val="008060D3"/>
    <w:rsid w:val="00806245"/>
    <w:rsid w:val="008064A0"/>
    <w:rsid w:val="008065AB"/>
    <w:rsid w:val="008065CA"/>
    <w:rsid w:val="008066CE"/>
    <w:rsid w:val="00806776"/>
    <w:rsid w:val="00806A24"/>
    <w:rsid w:val="00806B7D"/>
    <w:rsid w:val="00806C16"/>
    <w:rsid w:val="00806C95"/>
    <w:rsid w:val="00806DDA"/>
    <w:rsid w:val="00806E25"/>
    <w:rsid w:val="00806E74"/>
    <w:rsid w:val="00806E9B"/>
    <w:rsid w:val="00806ED2"/>
    <w:rsid w:val="00807054"/>
    <w:rsid w:val="0080710D"/>
    <w:rsid w:val="0080728A"/>
    <w:rsid w:val="008072F7"/>
    <w:rsid w:val="008073BD"/>
    <w:rsid w:val="0080759F"/>
    <w:rsid w:val="008075E9"/>
    <w:rsid w:val="008076A2"/>
    <w:rsid w:val="008076C2"/>
    <w:rsid w:val="00807767"/>
    <w:rsid w:val="008077C7"/>
    <w:rsid w:val="0080784F"/>
    <w:rsid w:val="008078BD"/>
    <w:rsid w:val="00807DB6"/>
    <w:rsid w:val="00807DD8"/>
    <w:rsid w:val="00807F2C"/>
    <w:rsid w:val="00807F5B"/>
    <w:rsid w:val="00807FCB"/>
    <w:rsid w:val="008100AE"/>
    <w:rsid w:val="008100D5"/>
    <w:rsid w:val="00810315"/>
    <w:rsid w:val="00810316"/>
    <w:rsid w:val="0081048B"/>
    <w:rsid w:val="00810492"/>
    <w:rsid w:val="008104E1"/>
    <w:rsid w:val="00810513"/>
    <w:rsid w:val="00810514"/>
    <w:rsid w:val="00810545"/>
    <w:rsid w:val="0081070A"/>
    <w:rsid w:val="008107AF"/>
    <w:rsid w:val="00810847"/>
    <w:rsid w:val="00810A22"/>
    <w:rsid w:val="00810ADA"/>
    <w:rsid w:val="00810B3A"/>
    <w:rsid w:val="00810B80"/>
    <w:rsid w:val="00810BB0"/>
    <w:rsid w:val="00810C80"/>
    <w:rsid w:val="00810D16"/>
    <w:rsid w:val="00810D1F"/>
    <w:rsid w:val="00810D5F"/>
    <w:rsid w:val="00810E26"/>
    <w:rsid w:val="00810EBA"/>
    <w:rsid w:val="00810F18"/>
    <w:rsid w:val="00810F33"/>
    <w:rsid w:val="00810F7D"/>
    <w:rsid w:val="00810F8D"/>
    <w:rsid w:val="00810FFE"/>
    <w:rsid w:val="00811002"/>
    <w:rsid w:val="00811066"/>
    <w:rsid w:val="008110C9"/>
    <w:rsid w:val="0081126C"/>
    <w:rsid w:val="0081135F"/>
    <w:rsid w:val="008116D5"/>
    <w:rsid w:val="008117C2"/>
    <w:rsid w:val="0081188A"/>
    <w:rsid w:val="0081191A"/>
    <w:rsid w:val="008119EE"/>
    <w:rsid w:val="00811BA5"/>
    <w:rsid w:val="00811BE9"/>
    <w:rsid w:val="00811CC8"/>
    <w:rsid w:val="00811D7E"/>
    <w:rsid w:val="00811ED9"/>
    <w:rsid w:val="00812038"/>
    <w:rsid w:val="008120A4"/>
    <w:rsid w:val="008120B8"/>
    <w:rsid w:val="008120E6"/>
    <w:rsid w:val="00812106"/>
    <w:rsid w:val="00812222"/>
    <w:rsid w:val="0081224E"/>
    <w:rsid w:val="00812320"/>
    <w:rsid w:val="0081239D"/>
    <w:rsid w:val="008123B2"/>
    <w:rsid w:val="0081254C"/>
    <w:rsid w:val="0081258F"/>
    <w:rsid w:val="008125CD"/>
    <w:rsid w:val="008127C7"/>
    <w:rsid w:val="008127CF"/>
    <w:rsid w:val="00812898"/>
    <w:rsid w:val="0081290C"/>
    <w:rsid w:val="00812A27"/>
    <w:rsid w:val="00812AE2"/>
    <w:rsid w:val="00812C64"/>
    <w:rsid w:val="00812EC4"/>
    <w:rsid w:val="00812F22"/>
    <w:rsid w:val="00812F5C"/>
    <w:rsid w:val="00812F88"/>
    <w:rsid w:val="0081302E"/>
    <w:rsid w:val="008131C3"/>
    <w:rsid w:val="008131D5"/>
    <w:rsid w:val="008133BD"/>
    <w:rsid w:val="00813557"/>
    <w:rsid w:val="008135FA"/>
    <w:rsid w:val="00813684"/>
    <w:rsid w:val="008136BA"/>
    <w:rsid w:val="0081382D"/>
    <w:rsid w:val="00813A49"/>
    <w:rsid w:val="00813B24"/>
    <w:rsid w:val="00813DBC"/>
    <w:rsid w:val="00813F63"/>
    <w:rsid w:val="00813F7A"/>
    <w:rsid w:val="00814014"/>
    <w:rsid w:val="00814100"/>
    <w:rsid w:val="00814151"/>
    <w:rsid w:val="008141C4"/>
    <w:rsid w:val="0081423A"/>
    <w:rsid w:val="0081429F"/>
    <w:rsid w:val="00814471"/>
    <w:rsid w:val="008145A6"/>
    <w:rsid w:val="0081466F"/>
    <w:rsid w:val="008146C0"/>
    <w:rsid w:val="00814725"/>
    <w:rsid w:val="00814735"/>
    <w:rsid w:val="0081475E"/>
    <w:rsid w:val="00814763"/>
    <w:rsid w:val="0081478D"/>
    <w:rsid w:val="008147D6"/>
    <w:rsid w:val="00814AA0"/>
    <w:rsid w:val="00814AD9"/>
    <w:rsid w:val="00814B01"/>
    <w:rsid w:val="00814B90"/>
    <w:rsid w:val="00814B9D"/>
    <w:rsid w:val="00814BAC"/>
    <w:rsid w:val="00814CA8"/>
    <w:rsid w:val="008150AB"/>
    <w:rsid w:val="00815271"/>
    <w:rsid w:val="008152D5"/>
    <w:rsid w:val="0081533C"/>
    <w:rsid w:val="00815375"/>
    <w:rsid w:val="008155CF"/>
    <w:rsid w:val="008156D4"/>
    <w:rsid w:val="00815709"/>
    <w:rsid w:val="00815773"/>
    <w:rsid w:val="00815822"/>
    <w:rsid w:val="00815852"/>
    <w:rsid w:val="00815E74"/>
    <w:rsid w:val="00815EE0"/>
    <w:rsid w:val="00815FA1"/>
    <w:rsid w:val="0081608F"/>
    <w:rsid w:val="008160C0"/>
    <w:rsid w:val="00816107"/>
    <w:rsid w:val="0081620C"/>
    <w:rsid w:val="0081629E"/>
    <w:rsid w:val="008164FC"/>
    <w:rsid w:val="008165F7"/>
    <w:rsid w:val="00816673"/>
    <w:rsid w:val="00816689"/>
    <w:rsid w:val="008166BF"/>
    <w:rsid w:val="00816777"/>
    <w:rsid w:val="008169AA"/>
    <w:rsid w:val="00816AB4"/>
    <w:rsid w:val="00816FE3"/>
    <w:rsid w:val="00817012"/>
    <w:rsid w:val="00817013"/>
    <w:rsid w:val="008171A8"/>
    <w:rsid w:val="008171C8"/>
    <w:rsid w:val="00817222"/>
    <w:rsid w:val="0081723C"/>
    <w:rsid w:val="00817334"/>
    <w:rsid w:val="0081741B"/>
    <w:rsid w:val="00817424"/>
    <w:rsid w:val="00817430"/>
    <w:rsid w:val="008174BC"/>
    <w:rsid w:val="00817579"/>
    <w:rsid w:val="00817596"/>
    <w:rsid w:val="00817607"/>
    <w:rsid w:val="0081761D"/>
    <w:rsid w:val="0081773D"/>
    <w:rsid w:val="00817758"/>
    <w:rsid w:val="0081783C"/>
    <w:rsid w:val="00817841"/>
    <w:rsid w:val="008178BD"/>
    <w:rsid w:val="008179E1"/>
    <w:rsid w:val="00817B3E"/>
    <w:rsid w:val="00817B7D"/>
    <w:rsid w:val="00817B7F"/>
    <w:rsid w:val="00817E23"/>
    <w:rsid w:val="00817E8C"/>
    <w:rsid w:val="0082010F"/>
    <w:rsid w:val="008201B9"/>
    <w:rsid w:val="008201CB"/>
    <w:rsid w:val="008201E9"/>
    <w:rsid w:val="008202B3"/>
    <w:rsid w:val="008202E9"/>
    <w:rsid w:val="00820467"/>
    <w:rsid w:val="008204AF"/>
    <w:rsid w:val="008204D6"/>
    <w:rsid w:val="00820613"/>
    <w:rsid w:val="00820621"/>
    <w:rsid w:val="00820769"/>
    <w:rsid w:val="0082076C"/>
    <w:rsid w:val="008209FF"/>
    <w:rsid w:val="00820B20"/>
    <w:rsid w:val="00820CA0"/>
    <w:rsid w:val="00820D7D"/>
    <w:rsid w:val="00820E50"/>
    <w:rsid w:val="00820EB8"/>
    <w:rsid w:val="00820F2D"/>
    <w:rsid w:val="00820FD6"/>
    <w:rsid w:val="00821025"/>
    <w:rsid w:val="008211C1"/>
    <w:rsid w:val="008212D8"/>
    <w:rsid w:val="00821318"/>
    <w:rsid w:val="008213F4"/>
    <w:rsid w:val="00821453"/>
    <w:rsid w:val="008215A3"/>
    <w:rsid w:val="0082164E"/>
    <w:rsid w:val="00821703"/>
    <w:rsid w:val="0082177F"/>
    <w:rsid w:val="008217A2"/>
    <w:rsid w:val="00821813"/>
    <w:rsid w:val="00821817"/>
    <w:rsid w:val="00821838"/>
    <w:rsid w:val="008218A6"/>
    <w:rsid w:val="008219CA"/>
    <w:rsid w:val="00821A7F"/>
    <w:rsid w:val="00821BE7"/>
    <w:rsid w:val="00821D17"/>
    <w:rsid w:val="00821D61"/>
    <w:rsid w:val="00821DD7"/>
    <w:rsid w:val="00821E48"/>
    <w:rsid w:val="00821E4C"/>
    <w:rsid w:val="00821E96"/>
    <w:rsid w:val="00821F18"/>
    <w:rsid w:val="00822020"/>
    <w:rsid w:val="00822057"/>
    <w:rsid w:val="008220CA"/>
    <w:rsid w:val="008222EE"/>
    <w:rsid w:val="008223C3"/>
    <w:rsid w:val="00822424"/>
    <w:rsid w:val="00822575"/>
    <w:rsid w:val="00822705"/>
    <w:rsid w:val="0082275D"/>
    <w:rsid w:val="008227E9"/>
    <w:rsid w:val="008227FB"/>
    <w:rsid w:val="00822830"/>
    <w:rsid w:val="00822995"/>
    <w:rsid w:val="00822A1E"/>
    <w:rsid w:val="00822ADC"/>
    <w:rsid w:val="00822B62"/>
    <w:rsid w:val="00822B66"/>
    <w:rsid w:val="00822B6B"/>
    <w:rsid w:val="00822D4D"/>
    <w:rsid w:val="00822D9B"/>
    <w:rsid w:val="00822DA3"/>
    <w:rsid w:val="00822EFD"/>
    <w:rsid w:val="00822F25"/>
    <w:rsid w:val="00822FC7"/>
    <w:rsid w:val="00823068"/>
    <w:rsid w:val="00823148"/>
    <w:rsid w:val="008232F4"/>
    <w:rsid w:val="0082330C"/>
    <w:rsid w:val="008233C3"/>
    <w:rsid w:val="008233E9"/>
    <w:rsid w:val="0082363C"/>
    <w:rsid w:val="0082368F"/>
    <w:rsid w:val="0082372A"/>
    <w:rsid w:val="008237F7"/>
    <w:rsid w:val="0082389F"/>
    <w:rsid w:val="008238E7"/>
    <w:rsid w:val="00823A81"/>
    <w:rsid w:val="00823B3D"/>
    <w:rsid w:val="00823B95"/>
    <w:rsid w:val="00823BA9"/>
    <w:rsid w:val="00823C6C"/>
    <w:rsid w:val="00823CC7"/>
    <w:rsid w:val="00823D5C"/>
    <w:rsid w:val="00823DD1"/>
    <w:rsid w:val="00823E9B"/>
    <w:rsid w:val="00823FC7"/>
    <w:rsid w:val="00824329"/>
    <w:rsid w:val="0082432B"/>
    <w:rsid w:val="008243C2"/>
    <w:rsid w:val="008243C6"/>
    <w:rsid w:val="008243EF"/>
    <w:rsid w:val="00824450"/>
    <w:rsid w:val="00824537"/>
    <w:rsid w:val="0082453D"/>
    <w:rsid w:val="00824552"/>
    <w:rsid w:val="00824635"/>
    <w:rsid w:val="008247DC"/>
    <w:rsid w:val="00824835"/>
    <w:rsid w:val="008248C3"/>
    <w:rsid w:val="008248D9"/>
    <w:rsid w:val="00824AE4"/>
    <w:rsid w:val="00824B66"/>
    <w:rsid w:val="00824CD8"/>
    <w:rsid w:val="00824ED9"/>
    <w:rsid w:val="00825060"/>
    <w:rsid w:val="008250CC"/>
    <w:rsid w:val="0082547D"/>
    <w:rsid w:val="0082547E"/>
    <w:rsid w:val="008254BE"/>
    <w:rsid w:val="00825598"/>
    <w:rsid w:val="0082563B"/>
    <w:rsid w:val="008257AC"/>
    <w:rsid w:val="008258A8"/>
    <w:rsid w:val="008259F9"/>
    <w:rsid w:val="00825AB5"/>
    <w:rsid w:val="00825AF4"/>
    <w:rsid w:val="00825C2A"/>
    <w:rsid w:val="00825CB7"/>
    <w:rsid w:val="00825DED"/>
    <w:rsid w:val="00825F3C"/>
    <w:rsid w:val="00825FE9"/>
    <w:rsid w:val="00826032"/>
    <w:rsid w:val="00826093"/>
    <w:rsid w:val="0082620E"/>
    <w:rsid w:val="008264A1"/>
    <w:rsid w:val="008264D3"/>
    <w:rsid w:val="008264EA"/>
    <w:rsid w:val="0082661F"/>
    <w:rsid w:val="00826645"/>
    <w:rsid w:val="00826763"/>
    <w:rsid w:val="0082676D"/>
    <w:rsid w:val="00826790"/>
    <w:rsid w:val="0082687B"/>
    <w:rsid w:val="0082695F"/>
    <w:rsid w:val="00826986"/>
    <w:rsid w:val="00826B4E"/>
    <w:rsid w:val="00826BB5"/>
    <w:rsid w:val="00826BC8"/>
    <w:rsid w:val="00826C34"/>
    <w:rsid w:val="00826D22"/>
    <w:rsid w:val="00826DE2"/>
    <w:rsid w:val="00826E41"/>
    <w:rsid w:val="00826EBD"/>
    <w:rsid w:val="00826EF7"/>
    <w:rsid w:val="00826F48"/>
    <w:rsid w:val="00826F8A"/>
    <w:rsid w:val="0082705F"/>
    <w:rsid w:val="008271A4"/>
    <w:rsid w:val="008271E6"/>
    <w:rsid w:val="008272A7"/>
    <w:rsid w:val="008272FA"/>
    <w:rsid w:val="00827316"/>
    <w:rsid w:val="008273CD"/>
    <w:rsid w:val="00827486"/>
    <w:rsid w:val="008274B4"/>
    <w:rsid w:val="008274FB"/>
    <w:rsid w:val="008275AE"/>
    <w:rsid w:val="008275E7"/>
    <w:rsid w:val="0082760D"/>
    <w:rsid w:val="00827629"/>
    <w:rsid w:val="00827676"/>
    <w:rsid w:val="008276BB"/>
    <w:rsid w:val="008276EB"/>
    <w:rsid w:val="00827818"/>
    <w:rsid w:val="0082781B"/>
    <w:rsid w:val="00827B3E"/>
    <w:rsid w:val="00827BC6"/>
    <w:rsid w:val="00827C68"/>
    <w:rsid w:val="00827C87"/>
    <w:rsid w:val="00827CCB"/>
    <w:rsid w:val="00827DAA"/>
    <w:rsid w:val="00827EA6"/>
    <w:rsid w:val="00827EC7"/>
    <w:rsid w:val="00830214"/>
    <w:rsid w:val="008302DC"/>
    <w:rsid w:val="00830494"/>
    <w:rsid w:val="008304E4"/>
    <w:rsid w:val="0083058A"/>
    <w:rsid w:val="008305B1"/>
    <w:rsid w:val="008305B4"/>
    <w:rsid w:val="00830603"/>
    <w:rsid w:val="008306BC"/>
    <w:rsid w:val="0083071A"/>
    <w:rsid w:val="008307C8"/>
    <w:rsid w:val="00830B91"/>
    <w:rsid w:val="00830C9E"/>
    <w:rsid w:val="00830E34"/>
    <w:rsid w:val="00830E4E"/>
    <w:rsid w:val="00830FEA"/>
    <w:rsid w:val="0083106C"/>
    <w:rsid w:val="00831093"/>
    <w:rsid w:val="00831329"/>
    <w:rsid w:val="00831413"/>
    <w:rsid w:val="00831474"/>
    <w:rsid w:val="00831505"/>
    <w:rsid w:val="00831584"/>
    <w:rsid w:val="00831648"/>
    <w:rsid w:val="008316BC"/>
    <w:rsid w:val="008316FD"/>
    <w:rsid w:val="00831725"/>
    <w:rsid w:val="008317DB"/>
    <w:rsid w:val="00831802"/>
    <w:rsid w:val="0083185F"/>
    <w:rsid w:val="0083193A"/>
    <w:rsid w:val="008319BA"/>
    <w:rsid w:val="00831A1D"/>
    <w:rsid w:val="00831AB5"/>
    <w:rsid w:val="00831BB8"/>
    <w:rsid w:val="00831C0C"/>
    <w:rsid w:val="00831D87"/>
    <w:rsid w:val="00831EA3"/>
    <w:rsid w:val="00831F82"/>
    <w:rsid w:val="00831FF0"/>
    <w:rsid w:val="0083214B"/>
    <w:rsid w:val="00832155"/>
    <w:rsid w:val="00832228"/>
    <w:rsid w:val="00832247"/>
    <w:rsid w:val="0083228A"/>
    <w:rsid w:val="008322A1"/>
    <w:rsid w:val="008322D6"/>
    <w:rsid w:val="0083234D"/>
    <w:rsid w:val="00832390"/>
    <w:rsid w:val="008323E4"/>
    <w:rsid w:val="008323ED"/>
    <w:rsid w:val="00832418"/>
    <w:rsid w:val="0083242E"/>
    <w:rsid w:val="008324FA"/>
    <w:rsid w:val="00832619"/>
    <w:rsid w:val="00832639"/>
    <w:rsid w:val="0083266B"/>
    <w:rsid w:val="008326DB"/>
    <w:rsid w:val="008327A9"/>
    <w:rsid w:val="008327EA"/>
    <w:rsid w:val="00832817"/>
    <w:rsid w:val="00832832"/>
    <w:rsid w:val="008328BC"/>
    <w:rsid w:val="008328E8"/>
    <w:rsid w:val="00832906"/>
    <w:rsid w:val="00832926"/>
    <w:rsid w:val="00832CF1"/>
    <w:rsid w:val="00832DE1"/>
    <w:rsid w:val="00832DF3"/>
    <w:rsid w:val="00832DF6"/>
    <w:rsid w:val="00832E75"/>
    <w:rsid w:val="00832F1E"/>
    <w:rsid w:val="00832F44"/>
    <w:rsid w:val="00833016"/>
    <w:rsid w:val="0083307C"/>
    <w:rsid w:val="008331B4"/>
    <w:rsid w:val="0083320C"/>
    <w:rsid w:val="00833293"/>
    <w:rsid w:val="008332BE"/>
    <w:rsid w:val="008332CF"/>
    <w:rsid w:val="008332E7"/>
    <w:rsid w:val="00833458"/>
    <w:rsid w:val="0083346E"/>
    <w:rsid w:val="008334EF"/>
    <w:rsid w:val="0083360D"/>
    <w:rsid w:val="00833815"/>
    <w:rsid w:val="00833977"/>
    <w:rsid w:val="008339BD"/>
    <w:rsid w:val="00833C19"/>
    <w:rsid w:val="00833C51"/>
    <w:rsid w:val="00833D9E"/>
    <w:rsid w:val="00833E87"/>
    <w:rsid w:val="00833EEE"/>
    <w:rsid w:val="00834030"/>
    <w:rsid w:val="00834033"/>
    <w:rsid w:val="00834135"/>
    <w:rsid w:val="00834168"/>
    <w:rsid w:val="008341D9"/>
    <w:rsid w:val="00834475"/>
    <w:rsid w:val="00834823"/>
    <w:rsid w:val="00834834"/>
    <w:rsid w:val="0083492A"/>
    <w:rsid w:val="00834B2D"/>
    <w:rsid w:val="00834BD8"/>
    <w:rsid w:val="00834D10"/>
    <w:rsid w:val="00834D2C"/>
    <w:rsid w:val="00834E03"/>
    <w:rsid w:val="00834EC7"/>
    <w:rsid w:val="00834FC7"/>
    <w:rsid w:val="008350AA"/>
    <w:rsid w:val="0083517F"/>
    <w:rsid w:val="008352AF"/>
    <w:rsid w:val="008352D7"/>
    <w:rsid w:val="00835338"/>
    <w:rsid w:val="008354D2"/>
    <w:rsid w:val="008354DD"/>
    <w:rsid w:val="00835509"/>
    <w:rsid w:val="008355B0"/>
    <w:rsid w:val="008355FF"/>
    <w:rsid w:val="008357C5"/>
    <w:rsid w:val="00835846"/>
    <w:rsid w:val="0083593F"/>
    <w:rsid w:val="00835990"/>
    <w:rsid w:val="00835A69"/>
    <w:rsid w:val="00835AD5"/>
    <w:rsid w:val="00835B82"/>
    <w:rsid w:val="00835BCE"/>
    <w:rsid w:val="00835D2B"/>
    <w:rsid w:val="00835D71"/>
    <w:rsid w:val="00835E97"/>
    <w:rsid w:val="00835EE5"/>
    <w:rsid w:val="00835F10"/>
    <w:rsid w:val="00835F46"/>
    <w:rsid w:val="00835F8F"/>
    <w:rsid w:val="00836178"/>
    <w:rsid w:val="00836413"/>
    <w:rsid w:val="008364EB"/>
    <w:rsid w:val="008364EC"/>
    <w:rsid w:val="0083651F"/>
    <w:rsid w:val="00836857"/>
    <w:rsid w:val="008369CD"/>
    <w:rsid w:val="00836A3A"/>
    <w:rsid w:val="00836A4D"/>
    <w:rsid w:val="00836A4E"/>
    <w:rsid w:val="00836C02"/>
    <w:rsid w:val="00836CB8"/>
    <w:rsid w:val="00836D26"/>
    <w:rsid w:val="00836E1A"/>
    <w:rsid w:val="00836F0C"/>
    <w:rsid w:val="00836FF6"/>
    <w:rsid w:val="00837003"/>
    <w:rsid w:val="00837217"/>
    <w:rsid w:val="00837270"/>
    <w:rsid w:val="008372AA"/>
    <w:rsid w:val="0083741D"/>
    <w:rsid w:val="0083749D"/>
    <w:rsid w:val="00837560"/>
    <w:rsid w:val="00837586"/>
    <w:rsid w:val="00837807"/>
    <w:rsid w:val="00837808"/>
    <w:rsid w:val="0083781F"/>
    <w:rsid w:val="00837845"/>
    <w:rsid w:val="008378E3"/>
    <w:rsid w:val="00837928"/>
    <w:rsid w:val="00837AC7"/>
    <w:rsid w:val="00837ADC"/>
    <w:rsid w:val="00837AF3"/>
    <w:rsid w:val="00837B42"/>
    <w:rsid w:val="00837C14"/>
    <w:rsid w:val="00837C41"/>
    <w:rsid w:val="00837CF9"/>
    <w:rsid w:val="00837DAA"/>
    <w:rsid w:val="00837EE2"/>
    <w:rsid w:val="0084008C"/>
    <w:rsid w:val="0084021F"/>
    <w:rsid w:val="0084028B"/>
    <w:rsid w:val="008402B9"/>
    <w:rsid w:val="008403A6"/>
    <w:rsid w:val="00840476"/>
    <w:rsid w:val="008404CA"/>
    <w:rsid w:val="008404D8"/>
    <w:rsid w:val="00840602"/>
    <w:rsid w:val="008406FE"/>
    <w:rsid w:val="0084075C"/>
    <w:rsid w:val="008408DA"/>
    <w:rsid w:val="00840B13"/>
    <w:rsid w:val="00840B27"/>
    <w:rsid w:val="00840BEB"/>
    <w:rsid w:val="00840CA7"/>
    <w:rsid w:val="00840D86"/>
    <w:rsid w:val="00840E20"/>
    <w:rsid w:val="0084102E"/>
    <w:rsid w:val="00841099"/>
    <w:rsid w:val="008410A7"/>
    <w:rsid w:val="0084112E"/>
    <w:rsid w:val="0084118F"/>
    <w:rsid w:val="00841273"/>
    <w:rsid w:val="008412C5"/>
    <w:rsid w:val="00841305"/>
    <w:rsid w:val="008413DB"/>
    <w:rsid w:val="008413E5"/>
    <w:rsid w:val="0084143B"/>
    <w:rsid w:val="0084169D"/>
    <w:rsid w:val="00841745"/>
    <w:rsid w:val="0084188A"/>
    <w:rsid w:val="008418F8"/>
    <w:rsid w:val="00841917"/>
    <w:rsid w:val="008419E2"/>
    <w:rsid w:val="008419E9"/>
    <w:rsid w:val="00841A07"/>
    <w:rsid w:val="00841A88"/>
    <w:rsid w:val="00841A9C"/>
    <w:rsid w:val="00841AA4"/>
    <w:rsid w:val="00841B21"/>
    <w:rsid w:val="00841BB4"/>
    <w:rsid w:val="00841BC4"/>
    <w:rsid w:val="00841C62"/>
    <w:rsid w:val="00841DA0"/>
    <w:rsid w:val="00841DB0"/>
    <w:rsid w:val="00841EA6"/>
    <w:rsid w:val="00841EAF"/>
    <w:rsid w:val="00841FA7"/>
    <w:rsid w:val="008420C7"/>
    <w:rsid w:val="0084215D"/>
    <w:rsid w:val="008421DD"/>
    <w:rsid w:val="0084220A"/>
    <w:rsid w:val="008422BB"/>
    <w:rsid w:val="008422FB"/>
    <w:rsid w:val="00842324"/>
    <w:rsid w:val="008423AC"/>
    <w:rsid w:val="0084240B"/>
    <w:rsid w:val="00842503"/>
    <w:rsid w:val="00842549"/>
    <w:rsid w:val="008425BB"/>
    <w:rsid w:val="008425BD"/>
    <w:rsid w:val="008425F0"/>
    <w:rsid w:val="0084263F"/>
    <w:rsid w:val="00842874"/>
    <w:rsid w:val="0084287C"/>
    <w:rsid w:val="008428A5"/>
    <w:rsid w:val="00842A47"/>
    <w:rsid w:val="00842AB5"/>
    <w:rsid w:val="00842C13"/>
    <w:rsid w:val="00842D7E"/>
    <w:rsid w:val="00842DA7"/>
    <w:rsid w:val="00842ECB"/>
    <w:rsid w:val="0084301A"/>
    <w:rsid w:val="0084325B"/>
    <w:rsid w:val="00843309"/>
    <w:rsid w:val="00843327"/>
    <w:rsid w:val="00843427"/>
    <w:rsid w:val="008434B6"/>
    <w:rsid w:val="00843525"/>
    <w:rsid w:val="00843645"/>
    <w:rsid w:val="008437CA"/>
    <w:rsid w:val="0084381C"/>
    <w:rsid w:val="0084389C"/>
    <w:rsid w:val="008438AB"/>
    <w:rsid w:val="00843993"/>
    <w:rsid w:val="008439A3"/>
    <w:rsid w:val="00843AD6"/>
    <w:rsid w:val="00843BC6"/>
    <w:rsid w:val="00843CF7"/>
    <w:rsid w:val="00843D97"/>
    <w:rsid w:val="00843DF6"/>
    <w:rsid w:val="00843E31"/>
    <w:rsid w:val="00843F21"/>
    <w:rsid w:val="00843FBD"/>
    <w:rsid w:val="008440B7"/>
    <w:rsid w:val="008440D8"/>
    <w:rsid w:val="0084430B"/>
    <w:rsid w:val="00844398"/>
    <w:rsid w:val="00844440"/>
    <w:rsid w:val="008444D3"/>
    <w:rsid w:val="0084451E"/>
    <w:rsid w:val="008445A6"/>
    <w:rsid w:val="00844679"/>
    <w:rsid w:val="008446DE"/>
    <w:rsid w:val="008447FC"/>
    <w:rsid w:val="00844827"/>
    <w:rsid w:val="00844A6E"/>
    <w:rsid w:val="00844BDB"/>
    <w:rsid w:val="00844EC9"/>
    <w:rsid w:val="00844EF0"/>
    <w:rsid w:val="00844F0E"/>
    <w:rsid w:val="0084506C"/>
    <w:rsid w:val="008450CF"/>
    <w:rsid w:val="00845161"/>
    <w:rsid w:val="0084526A"/>
    <w:rsid w:val="008452C6"/>
    <w:rsid w:val="008452FE"/>
    <w:rsid w:val="00845372"/>
    <w:rsid w:val="00845378"/>
    <w:rsid w:val="0084548A"/>
    <w:rsid w:val="00845679"/>
    <w:rsid w:val="00845720"/>
    <w:rsid w:val="00845774"/>
    <w:rsid w:val="00845810"/>
    <w:rsid w:val="008458AD"/>
    <w:rsid w:val="008458CE"/>
    <w:rsid w:val="0084598A"/>
    <w:rsid w:val="0084599B"/>
    <w:rsid w:val="00845AD0"/>
    <w:rsid w:val="00845B5F"/>
    <w:rsid w:val="00845DB5"/>
    <w:rsid w:val="00845E08"/>
    <w:rsid w:val="00845F0F"/>
    <w:rsid w:val="008461C4"/>
    <w:rsid w:val="008461CA"/>
    <w:rsid w:val="008461DF"/>
    <w:rsid w:val="00846203"/>
    <w:rsid w:val="00846265"/>
    <w:rsid w:val="008462A1"/>
    <w:rsid w:val="008462CA"/>
    <w:rsid w:val="008463A2"/>
    <w:rsid w:val="00846426"/>
    <w:rsid w:val="0084649F"/>
    <w:rsid w:val="008464C3"/>
    <w:rsid w:val="008464EB"/>
    <w:rsid w:val="008465E8"/>
    <w:rsid w:val="008466FC"/>
    <w:rsid w:val="008467DF"/>
    <w:rsid w:val="008468E3"/>
    <w:rsid w:val="008468E6"/>
    <w:rsid w:val="00846BB2"/>
    <w:rsid w:val="00846BBF"/>
    <w:rsid w:val="00846D78"/>
    <w:rsid w:val="00846E59"/>
    <w:rsid w:val="00846F78"/>
    <w:rsid w:val="00846F99"/>
    <w:rsid w:val="0084709C"/>
    <w:rsid w:val="008470ED"/>
    <w:rsid w:val="0084728E"/>
    <w:rsid w:val="008472E5"/>
    <w:rsid w:val="00847394"/>
    <w:rsid w:val="008473FB"/>
    <w:rsid w:val="00847661"/>
    <w:rsid w:val="00847728"/>
    <w:rsid w:val="008477DD"/>
    <w:rsid w:val="00847801"/>
    <w:rsid w:val="00847869"/>
    <w:rsid w:val="00847946"/>
    <w:rsid w:val="008479BC"/>
    <w:rsid w:val="00847A20"/>
    <w:rsid w:val="00847D43"/>
    <w:rsid w:val="00847D6A"/>
    <w:rsid w:val="00847DBE"/>
    <w:rsid w:val="00847EE6"/>
    <w:rsid w:val="00847F03"/>
    <w:rsid w:val="00847FA4"/>
    <w:rsid w:val="008500A7"/>
    <w:rsid w:val="00850134"/>
    <w:rsid w:val="008501D3"/>
    <w:rsid w:val="008502E2"/>
    <w:rsid w:val="008502F4"/>
    <w:rsid w:val="00850365"/>
    <w:rsid w:val="0085045A"/>
    <w:rsid w:val="008504A5"/>
    <w:rsid w:val="008507F6"/>
    <w:rsid w:val="00850B1D"/>
    <w:rsid w:val="00850CF3"/>
    <w:rsid w:val="00850EF0"/>
    <w:rsid w:val="00850F25"/>
    <w:rsid w:val="00851033"/>
    <w:rsid w:val="00851036"/>
    <w:rsid w:val="0085135F"/>
    <w:rsid w:val="008513B7"/>
    <w:rsid w:val="008514BE"/>
    <w:rsid w:val="008515F1"/>
    <w:rsid w:val="0085168D"/>
    <w:rsid w:val="008516D0"/>
    <w:rsid w:val="00851913"/>
    <w:rsid w:val="00851943"/>
    <w:rsid w:val="00851A06"/>
    <w:rsid w:val="00851B9A"/>
    <w:rsid w:val="00851BAB"/>
    <w:rsid w:val="00851C1E"/>
    <w:rsid w:val="00851CC2"/>
    <w:rsid w:val="00851EA9"/>
    <w:rsid w:val="00851EF5"/>
    <w:rsid w:val="00851F1C"/>
    <w:rsid w:val="00851F98"/>
    <w:rsid w:val="00851FCE"/>
    <w:rsid w:val="0085212D"/>
    <w:rsid w:val="0085217F"/>
    <w:rsid w:val="00852189"/>
    <w:rsid w:val="008521A3"/>
    <w:rsid w:val="00852247"/>
    <w:rsid w:val="0085231F"/>
    <w:rsid w:val="00852389"/>
    <w:rsid w:val="0085265C"/>
    <w:rsid w:val="008526A2"/>
    <w:rsid w:val="008527B9"/>
    <w:rsid w:val="0085287C"/>
    <w:rsid w:val="00852893"/>
    <w:rsid w:val="008529B0"/>
    <w:rsid w:val="00852A1D"/>
    <w:rsid w:val="00852A3C"/>
    <w:rsid w:val="00852A77"/>
    <w:rsid w:val="00852AF1"/>
    <w:rsid w:val="00852B6B"/>
    <w:rsid w:val="00852B76"/>
    <w:rsid w:val="00852C54"/>
    <w:rsid w:val="00852D3A"/>
    <w:rsid w:val="00852D5A"/>
    <w:rsid w:val="00852F49"/>
    <w:rsid w:val="00853002"/>
    <w:rsid w:val="0085327F"/>
    <w:rsid w:val="008532ED"/>
    <w:rsid w:val="008533E0"/>
    <w:rsid w:val="0085347D"/>
    <w:rsid w:val="008534AD"/>
    <w:rsid w:val="008534B6"/>
    <w:rsid w:val="008534C6"/>
    <w:rsid w:val="0085354A"/>
    <w:rsid w:val="00853600"/>
    <w:rsid w:val="008536E3"/>
    <w:rsid w:val="00853772"/>
    <w:rsid w:val="0085378C"/>
    <w:rsid w:val="008537DF"/>
    <w:rsid w:val="0085386E"/>
    <w:rsid w:val="008538A5"/>
    <w:rsid w:val="00853A65"/>
    <w:rsid w:val="00853A7E"/>
    <w:rsid w:val="00853A8D"/>
    <w:rsid w:val="00853A95"/>
    <w:rsid w:val="00853B3E"/>
    <w:rsid w:val="00853DAA"/>
    <w:rsid w:val="00853F15"/>
    <w:rsid w:val="00853F28"/>
    <w:rsid w:val="00853F52"/>
    <w:rsid w:val="00854141"/>
    <w:rsid w:val="00854187"/>
    <w:rsid w:val="0085429B"/>
    <w:rsid w:val="00854309"/>
    <w:rsid w:val="0085436F"/>
    <w:rsid w:val="008544F7"/>
    <w:rsid w:val="0085451E"/>
    <w:rsid w:val="00854538"/>
    <w:rsid w:val="008545E4"/>
    <w:rsid w:val="008545F9"/>
    <w:rsid w:val="00854704"/>
    <w:rsid w:val="008548C0"/>
    <w:rsid w:val="008549CD"/>
    <w:rsid w:val="00854BF2"/>
    <w:rsid w:val="00854C9F"/>
    <w:rsid w:val="00854CC6"/>
    <w:rsid w:val="00854E21"/>
    <w:rsid w:val="00854F2A"/>
    <w:rsid w:val="0085500D"/>
    <w:rsid w:val="008550F0"/>
    <w:rsid w:val="0085513E"/>
    <w:rsid w:val="008551AA"/>
    <w:rsid w:val="008551F5"/>
    <w:rsid w:val="008553FB"/>
    <w:rsid w:val="008553FF"/>
    <w:rsid w:val="0085565F"/>
    <w:rsid w:val="0085571E"/>
    <w:rsid w:val="0085572C"/>
    <w:rsid w:val="00855755"/>
    <w:rsid w:val="008557DC"/>
    <w:rsid w:val="0085580B"/>
    <w:rsid w:val="00855859"/>
    <w:rsid w:val="00855988"/>
    <w:rsid w:val="00855A22"/>
    <w:rsid w:val="00855A90"/>
    <w:rsid w:val="00855A91"/>
    <w:rsid w:val="00855A9A"/>
    <w:rsid w:val="00855BC9"/>
    <w:rsid w:val="00855BE9"/>
    <w:rsid w:val="00855C2C"/>
    <w:rsid w:val="00855C6A"/>
    <w:rsid w:val="00855C9D"/>
    <w:rsid w:val="00855E0B"/>
    <w:rsid w:val="00855FA4"/>
    <w:rsid w:val="00856189"/>
    <w:rsid w:val="0085634E"/>
    <w:rsid w:val="0085644D"/>
    <w:rsid w:val="0085645A"/>
    <w:rsid w:val="008564A3"/>
    <w:rsid w:val="008564C9"/>
    <w:rsid w:val="00856526"/>
    <w:rsid w:val="00856664"/>
    <w:rsid w:val="008566E6"/>
    <w:rsid w:val="00856736"/>
    <w:rsid w:val="0085673D"/>
    <w:rsid w:val="00856749"/>
    <w:rsid w:val="008567C9"/>
    <w:rsid w:val="008567CA"/>
    <w:rsid w:val="00856812"/>
    <w:rsid w:val="008569CE"/>
    <w:rsid w:val="00856A0E"/>
    <w:rsid w:val="00856A3D"/>
    <w:rsid w:val="00856AA9"/>
    <w:rsid w:val="00856C43"/>
    <w:rsid w:val="00856C81"/>
    <w:rsid w:val="00856CE5"/>
    <w:rsid w:val="00856D5E"/>
    <w:rsid w:val="00856DDE"/>
    <w:rsid w:val="00856EC3"/>
    <w:rsid w:val="00856EFD"/>
    <w:rsid w:val="00856F82"/>
    <w:rsid w:val="00856FF8"/>
    <w:rsid w:val="008570DB"/>
    <w:rsid w:val="0085722F"/>
    <w:rsid w:val="0085727A"/>
    <w:rsid w:val="00857317"/>
    <w:rsid w:val="00857354"/>
    <w:rsid w:val="0085742B"/>
    <w:rsid w:val="0085748A"/>
    <w:rsid w:val="008576D3"/>
    <w:rsid w:val="0085770B"/>
    <w:rsid w:val="0085776E"/>
    <w:rsid w:val="00857908"/>
    <w:rsid w:val="0085792E"/>
    <w:rsid w:val="0085794B"/>
    <w:rsid w:val="0085798B"/>
    <w:rsid w:val="00857B77"/>
    <w:rsid w:val="00857D09"/>
    <w:rsid w:val="00857DD0"/>
    <w:rsid w:val="00857E3E"/>
    <w:rsid w:val="00857F91"/>
    <w:rsid w:val="00860067"/>
    <w:rsid w:val="0086021B"/>
    <w:rsid w:val="00860403"/>
    <w:rsid w:val="008604C5"/>
    <w:rsid w:val="00860526"/>
    <w:rsid w:val="00860544"/>
    <w:rsid w:val="008605C4"/>
    <w:rsid w:val="00860604"/>
    <w:rsid w:val="008606E3"/>
    <w:rsid w:val="00860AB1"/>
    <w:rsid w:val="00860BE0"/>
    <w:rsid w:val="00860F3A"/>
    <w:rsid w:val="00860F63"/>
    <w:rsid w:val="00860F8F"/>
    <w:rsid w:val="0086105B"/>
    <w:rsid w:val="00861152"/>
    <w:rsid w:val="00861185"/>
    <w:rsid w:val="0086124E"/>
    <w:rsid w:val="00861278"/>
    <w:rsid w:val="008613BD"/>
    <w:rsid w:val="008613F5"/>
    <w:rsid w:val="0086159C"/>
    <w:rsid w:val="008615E1"/>
    <w:rsid w:val="0086162A"/>
    <w:rsid w:val="00861742"/>
    <w:rsid w:val="0086179D"/>
    <w:rsid w:val="0086199E"/>
    <w:rsid w:val="00861B8E"/>
    <w:rsid w:val="00861C32"/>
    <w:rsid w:val="00861C7D"/>
    <w:rsid w:val="00861DF5"/>
    <w:rsid w:val="00861E72"/>
    <w:rsid w:val="00861F19"/>
    <w:rsid w:val="0086206E"/>
    <w:rsid w:val="008620FE"/>
    <w:rsid w:val="00862132"/>
    <w:rsid w:val="0086227C"/>
    <w:rsid w:val="0086238D"/>
    <w:rsid w:val="0086258D"/>
    <w:rsid w:val="0086286D"/>
    <w:rsid w:val="00862997"/>
    <w:rsid w:val="00862A7A"/>
    <w:rsid w:val="00862B7B"/>
    <w:rsid w:val="00862F0B"/>
    <w:rsid w:val="0086308C"/>
    <w:rsid w:val="00863111"/>
    <w:rsid w:val="008631CE"/>
    <w:rsid w:val="00863224"/>
    <w:rsid w:val="00863239"/>
    <w:rsid w:val="00863317"/>
    <w:rsid w:val="008633B2"/>
    <w:rsid w:val="00863450"/>
    <w:rsid w:val="008634E1"/>
    <w:rsid w:val="008636D6"/>
    <w:rsid w:val="00863757"/>
    <w:rsid w:val="00863899"/>
    <w:rsid w:val="00863A3E"/>
    <w:rsid w:val="00863A4B"/>
    <w:rsid w:val="00863C09"/>
    <w:rsid w:val="00863C58"/>
    <w:rsid w:val="00863D2B"/>
    <w:rsid w:val="00863DAB"/>
    <w:rsid w:val="00864013"/>
    <w:rsid w:val="008640CA"/>
    <w:rsid w:val="0086416B"/>
    <w:rsid w:val="0086436E"/>
    <w:rsid w:val="008643DF"/>
    <w:rsid w:val="0086443E"/>
    <w:rsid w:val="0086445F"/>
    <w:rsid w:val="008646B9"/>
    <w:rsid w:val="00864703"/>
    <w:rsid w:val="00864721"/>
    <w:rsid w:val="008647D2"/>
    <w:rsid w:val="00864899"/>
    <w:rsid w:val="008648A0"/>
    <w:rsid w:val="00864A97"/>
    <w:rsid w:val="00864CD2"/>
    <w:rsid w:val="00864D56"/>
    <w:rsid w:val="00864DA1"/>
    <w:rsid w:val="00864DE4"/>
    <w:rsid w:val="00864ED3"/>
    <w:rsid w:val="00864F52"/>
    <w:rsid w:val="00864FAE"/>
    <w:rsid w:val="00865172"/>
    <w:rsid w:val="00865270"/>
    <w:rsid w:val="008652F6"/>
    <w:rsid w:val="008653E4"/>
    <w:rsid w:val="00865406"/>
    <w:rsid w:val="008655A0"/>
    <w:rsid w:val="008655F6"/>
    <w:rsid w:val="00865612"/>
    <w:rsid w:val="008656B6"/>
    <w:rsid w:val="008656F7"/>
    <w:rsid w:val="0086574D"/>
    <w:rsid w:val="00865799"/>
    <w:rsid w:val="00865F41"/>
    <w:rsid w:val="00865F4D"/>
    <w:rsid w:val="00866075"/>
    <w:rsid w:val="00866244"/>
    <w:rsid w:val="00866262"/>
    <w:rsid w:val="0086642A"/>
    <w:rsid w:val="0086649A"/>
    <w:rsid w:val="00866581"/>
    <w:rsid w:val="0086667F"/>
    <w:rsid w:val="00866726"/>
    <w:rsid w:val="00866849"/>
    <w:rsid w:val="008669AA"/>
    <w:rsid w:val="00866B03"/>
    <w:rsid w:val="00866B1D"/>
    <w:rsid w:val="00866B36"/>
    <w:rsid w:val="00866C41"/>
    <w:rsid w:val="00866C61"/>
    <w:rsid w:val="00866E4A"/>
    <w:rsid w:val="00866F29"/>
    <w:rsid w:val="00866FD8"/>
    <w:rsid w:val="00867027"/>
    <w:rsid w:val="008671A5"/>
    <w:rsid w:val="008671F7"/>
    <w:rsid w:val="00867231"/>
    <w:rsid w:val="00867241"/>
    <w:rsid w:val="00867253"/>
    <w:rsid w:val="00867441"/>
    <w:rsid w:val="00867495"/>
    <w:rsid w:val="008676C8"/>
    <w:rsid w:val="008677DD"/>
    <w:rsid w:val="00867840"/>
    <w:rsid w:val="00867BA6"/>
    <w:rsid w:val="00867C96"/>
    <w:rsid w:val="00867C98"/>
    <w:rsid w:val="00867E55"/>
    <w:rsid w:val="00867FC9"/>
    <w:rsid w:val="008704E7"/>
    <w:rsid w:val="00870563"/>
    <w:rsid w:val="0087057B"/>
    <w:rsid w:val="008705EA"/>
    <w:rsid w:val="00870637"/>
    <w:rsid w:val="00870766"/>
    <w:rsid w:val="008708CC"/>
    <w:rsid w:val="00870920"/>
    <w:rsid w:val="00870A31"/>
    <w:rsid w:val="00870B9B"/>
    <w:rsid w:val="00870E61"/>
    <w:rsid w:val="00871013"/>
    <w:rsid w:val="0087103D"/>
    <w:rsid w:val="00871061"/>
    <w:rsid w:val="008710A0"/>
    <w:rsid w:val="008711F3"/>
    <w:rsid w:val="008712AF"/>
    <w:rsid w:val="008712BA"/>
    <w:rsid w:val="00871445"/>
    <w:rsid w:val="0087155C"/>
    <w:rsid w:val="00871716"/>
    <w:rsid w:val="0087177E"/>
    <w:rsid w:val="008718E3"/>
    <w:rsid w:val="0087193D"/>
    <w:rsid w:val="00871AB5"/>
    <w:rsid w:val="00871C97"/>
    <w:rsid w:val="00871E5B"/>
    <w:rsid w:val="00871F83"/>
    <w:rsid w:val="00871F89"/>
    <w:rsid w:val="00871FA6"/>
    <w:rsid w:val="00872075"/>
    <w:rsid w:val="00872275"/>
    <w:rsid w:val="008722A7"/>
    <w:rsid w:val="00872409"/>
    <w:rsid w:val="00872431"/>
    <w:rsid w:val="0087250D"/>
    <w:rsid w:val="00872595"/>
    <w:rsid w:val="008726E0"/>
    <w:rsid w:val="008727FA"/>
    <w:rsid w:val="00872882"/>
    <w:rsid w:val="008728AB"/>
    <w:rsid w:val="00872A07"/>
    <w:rsid w:val="00872A0C"/>
    <w:rsid w:val="00872A56"/>
    <w:rsid w:val="00872AE4"/>
    <w:rsid w:val="00872B44"/>
    <w:rsid w:val="00872BBA"/>
    <w:rsid w:val="00872C4C"/>
    <w:rsid w:val="00872C65"/>
    <w:rsid w:val="00872D93"/>
    <w:rsid w:val="00872D9D"/>
    <w:rsid w:val="00872DB0"/>
    <w:rsid w:val="00872E16"/>
    <w:rsid w:val="00872F6F"/>
    <w:rsid w:val="00872FD2"/>
    <w:rsid w:val="00873005"/>
    <w:rsid w:val="0087324A"/>
    <w:rsid w:val="00873283"/>
    <w:rsid w:val="008732D3"/>
    <w:rsid w:val="0087334A"/>
    <w:rsid w:val="00873393"/>
    <w:rsid w:val="008733F3"/>
    <w:rsid w:val="00873455"/>
    <w:rsid w:val="008734C9"/>
    <w:rsid w:val="00873505"/>
    <w:rsid w:val="00873519"/>
    <w:rsid w:val="00873522"/>
    <w:rsid w:val="0087362C"/>
    <w:rsid w:val="00873660"/>
    <w:rsid w:val="0087371B"/>
    <w:rsid w:val="0087377D"/>
    <w:rsid w:val="0087381B"/>
    <w:rsid w:val="00873868"/>
    <w:rsid w:val="008738BA"/>
    <w:rsid w:val="00873946"/>
    <w:rsid w:val="00873968"/>
    <w:rsid w:val="00873A01"/>
    <w:rsid w:val="00873C2E"/>
    <w:rsid w:val="00873C3F"/>
    <w:rsid w:val="00873D35"/>
    <w:rsid w:val="00873D5E"/>
    <w:rsid w:val="00873D9F"/>
    <w:rsid w:val="00873E1D"/>
    <w:rsid w:val="00873FF8"/>
    <w:rsid w:val="0087404C"/>
    <w:rsid w:val="0087404D"/>
    <w:rsid w:val="00874174"/>
    <w:rsid w:val="0087429C"/>
    <w:rsid w:val="0087432D"/>
    <w:rsid w:val="00874346"/>
    <w:rsid w:val="0087451A"/>
    <w:rsid w:val="008745B4"/>
    <w:rsid w:val="0087467F"/>
    <w:rsid w:val="008746C2"/>
    <w:rsid w:val="00874722"/>
    <w:rsid w:val="00874744"/>
    <w:rsid w:val="00874766"/>
    <w:rsid w:val="00874911"/>
    <w:rsid w:val="008749A7"/>
    <w:rsid w:val="00874A3F"/>
    <w:rsid w:val="00874B9E"/>
    <w:rsid w:val="00874C96"/>
    <w:rsid w:val="00874D53"/>
    <w:rsid w:val="00874DA9"/>
    <w:rsid w:val="00874E30"/>
    <w:rsid w:val="00875256"/>
    <w:rsid w:val="00875268"/>
    <w:rsid w:val="008752F8"/>
    <w:rsid w:val="0087537C"/>
    <w:rsid w:val="008753ED"/>
    <w:rsid w:val="0087541D"/>
    <w:rsid w:val="008754ED"/>
    <w:rsid w:val="008754F0"/>
    <w:rsid w:val="0087551F"/>
    <w:rsid w:val="00875636"/>
    <w:rsid w:val="00875674"/>
    <w:rsid w:val="00875751"/>
    <w:rsid w:val="00875824"/>
    <w:rsid w:val="008758EE"/>
    <w:rsid w:val="0087595C"/>
    <w:rsid w:val="00875C5F"/>
    <w:rsid w:val="00875C84"/>
    <w:rsid w:val="00875E8B"/>
    <w:rsid w:val="00875E91"/>
    <w:rsid w:val="00875F14"/>
    <w:rsid w:val="008760B1"/>
    <w:rsid w:val="008760E3"/>
    <w:rsid w:val="0087620D"/>
    <w:rsid w:val="00876341"/>
    <w:rsid w:val="008763B9"/>
    <w:rsid w:val="0087670F"/>
    <w:rsid w:val="00876869"/>
    <w:rsid w:val="008769CB"/>
    <w:rsid w:val="008769D2"/>
    <w:rsid w:val="008769F5"/>
    <w:rsid w:val="00876A8E"/>
    <w:rsid w:val="00876D6F"/>
    <w:rsid w:val="00876DE2"/>
    <w:rsid w:val="00876E4A"/>
    <w:rsid w:val="00876EB4"/>
    <w:rsid w:val="0087702E"/>
    <w:rsid w:val="008770D8"/>
    <w:rsid w:val="008771CC"/>
    <w:rsid w:val="00877215"/>
    <w:rsid w:val="0087731F"/>
    <w:rsid w:val="00877324"/>
    <w:rsid w:val="008774D2"/>
    <w:rsid w:val="008774E7"/>
    <w:rsid w:val="00877666"/>
    <w:rsid w:val="008776D0"/>
    <w:rsid w:val="00877730"/>
    <w:rsid w:val="00877747"/>
    <w:rsid w:val="00877750"/>
    <w:rsid w:val="0087785D"/>
    <w:rsid w:val="0087789A"/>
    <w:rsid w:val="008778EC"/>
    <w:rsid w:val="00877916"/>
    <w:rsid w:val="00877AE4"/>
    <w:rsid w:val="00877C3D"/>
    <w:rsid w:val="00877C48"/>
    <w:rsid w:val="00877C7B"/>
    <w:rsid w:val="00877E4B"/>
    <w:rsid w:val="00877FB5"/>
    <w:rsid w:val="00880064"/>
    <w:rsid w:val="008800D1"/>
    <w:rsid w:val="008800E6"/>
    <w:rsid w:val="00880136"/>
    <w:rsid w:val="00880244"/>
    <w:rsid w:val="00880296"/>
    <w:rsid w:val="00880465"/>
    <w:rsid w:val="008804CE"/>
    <w:rsid w:val="00880574"/>
    <w:rsid w:val="008805C6"/>
    <w:rsid w:val="00880620"/>
    <w:rsid w:val="00880770"/>
    <w:rsid w:val="00880884"/>
    <w:rsid w:val="00880905"/>
    <w:rsid w:val="0088093A"/>
    <w:rsid w:val="0088098F"/>
    <w:rsid w:val="008809DD"/>
    <w:rsid w:val="00880A1D"/>
    <w:rsid w:val="00880A20"/>
    <w:rsid w:val="00880C87"/>
    <w:rsid w:val="00880CB5"/>
    <w:rsid w:val="00880CE8"/>
    <w:rsid w:val="00880DDF"/>
    <w:rsid w:val="00880E4F"/>
    <w:rsid w:val="00880EC2"/>
    <w:rsid w:val="00880FB2"/>
    <w:rsid w:val="008810FD"/>
    <w:rsid w:val="00881117"/>
    <w:rsid w:val="008813B2"/>
    <w:rsid w:val="00881688"/>
    <w:rsid w:val="00881773"/>
    <w:rsid w:val="00881787"/>
    <w:rsid w:val="0088181F"/>
    <w:rsid w:val="00881ACA"/>
    <w:rsid w:val="00881B0A"/>
    <w:rsid w:val="00881C48"/>
    <w:rsid w:val="00881C49"/>
    <w:rsid w:val="00881C92"/>
    <w:rsid w:val="00881CB3"/>
    <w:rsid w:val="00881E08"/>
    <w:rsid w:val="00881E2E"/>
    <w:rsid w:val="00881F0C"/>
    <w:rsid w:val="00881FFC"/>
    <w:rsid w:val="00882015"/>
    <w:rsid w:val="00882171"/>
    <w:rsid w:val="00882199"/>
    <w:rsid w:val="008822EC"/>
    <w:rsid w:val="008824B1"/>
    <w:rsid w:val="00882508"/>
    <w:rsid w:val="00882543"/>
    <w:rsid w:val="00882623"/>
    <w:rsid w:val="00882647"/>
    <w:rsid w:val="008826CC"/>
    <w:rsid w:val="0088282D"/>
    <w:rsid w:val="008828BA"/>
    <w:rsid w:val="008828C3"/>
    <w:rsid w:val="00882928"/>
    <w:rsid w:val="00882975"/>
    <w:rsid w:val="00882A32"/>
    <w:rsid w:val="00882A65"/>
    <w:rsid w:val="00882B36"/>
    <w:rsid w:val="00882B6F"/>
    <w:rsid w:val="00882B7D"/>
    <w:rsid w:val="00882BB6"/>
    <w:rsid w:val="00882BFD"/>
    <w:rsid w:val="00882C97"/>
    <w:rsid w:val="00882ECA"/>
    <w:rsid w:val="00882F09"/>
    <w:rsid w:val="00882FD3"/>
    <w:rsid w:val="008831E9"/>
    <w:rsid w:val="008831FA"/>
    <w:rsid w:val="008831FE"/>
    <w:rsid w:val="00883239"/>
    <w:rsid w:val="008832BC"/>
    <w:rsid w:val="008832D3"/>
    <w:rsid w:val="008832EB"/>
    <w:rsid w:val="0088349B"/>
    <w:rsid w:val="008834B3"/>
    <w:rsid w:val="008837A8"/>
    <w:rsid w:val="00883948"/>
    <w:rsid w:val="0088398F"/>
    <w:rsid w:val="008839D4"/>
    <w:rsid w:val="00883B4C"/>
    <w:rsid w:val="00883BE7"/>
    <w:rsid w:val="00883C60"/>
    <w:rsid w:val="00883CF6"/>
    <w:rsid w:val="00883D88"/>
    <w:rsid w:val="00883E5F"/>
    <w:rsid w:val="00883E65"/>
    <w:rsid w:val="00884025"/>
    <w:rsid w:val="00884164"/>
    <w:rsid w:val="0088419A"/>
    <w:rsid w:val="008841E0"/>
    <w:rsid w:val="00884228"/>
    <w:rsid w:val="008842D4"/>
    <w:rsid w:val="00884457"/>
    <w:rsid w:val="00884546"/>
    <w:rsid w:val="0088456B"/>
    <w:rsid w:val="00884650"/>
    <w:rsid w:val="008846AD"/>
    <w:rsid w:val="00884805"/>
    <w:rsid w:val="0088487B"/>
    <w:rsid w:val="0088492B"/>
    <w:rsid w:val="008849B0"/>
    <w:rsid w:val="00884A3E"/>
    <w:rsid w:val="00884A5A"/>
    <w:rsid w:val="00884AB7"/>
    <w:rsid w:val="00884AD3"/>
    <w:rsid w:val="00884B6E"/>
    <w:rsid w:val="00884BB0"/>
    <w:rsid w:val="00884BDD"/>
    <w:rsid w:val="00884C57"/>
    <w:rsid w:val="00884C9A"/>
    <w:rsid w:val="00884F27"/>
    <w:rsid w:val="00884FAB"/>
    <w:rsid w:val="00884FCF"/>
    <w:rsid w:val="008850A1"/>
    <w:rsid w:val="0088526B"/>
    <w:rsid w:val="00885324"/>
    <w:rsid w:val="0088535F"/>
    <w:rsid w:val="00885363"/>
    <w:rsid w:val="008854C0"/>
    <w:rsid w:val="00885558"/>
    <w:rsid w:val="008855D5"/>
    <w:rsid w:val="008856B0"/>
    <w:rsid w:val="0088575E"/>
    <w:rsid w:val="0088577E"/>
    <w:rsid w:val="008857CA"/>
    <w:rsid w:val="00885881"/>
    <w:rsid w:val="0088589E"/>
    <w:rsid w:val="008858CE"/>
    <w:rsid w:val="00885B57"/>
    <w:rsid w:val="00885C1C"/>
    <w:rsid w:val="00885C40"/>
    <w:rsid w:val="00885C44"/>
    <w:rsid w:val="00885D8B"/>
    <w:rsid w:val="00885EEA"/>
    <w:rsid w:val="00885F08"/>
    <w:rsid w:val="008860FA"/>
    <w:rsid w:val="00886191"/>
    <w:rsid w:val="00886225"/>
    <w:rsid w:val="008862E4"/>
    <w:rsid w:val="00886350"/>
    <w:rsid w:val="0088636F"/>
    <w:rsid w:val="0088642F"/>
    <w:rsid w:val="00886555"/>
    <w:rsid w:val="00886612"/>
    <w:rsid w:val="008866C7"/>
    <w:rsid w:val="0088676A"/>
    <w:rsid w:val="008868F9"/>
    <w:rsid w:val="00886941"/>
    <w:rsid w:val="0088698F"/>
    <w:rsid w:val="00886ACF"/>
    <w:rsid w:val="00886C31"/>
    <w:rsid w:val="00886C7A"/>
    <w:rsid w:val="00886D81"/>
    <w:rsid w:val="00886E64"/>
    <w:rsid w:val="00886F34"/>
    <w:rsid w:val="00886F42"/>
    <w:rsid w:val="00886F48"/>
    <w:rsid w:val="00886FAD"/>
    <w:rsid w:val="008870CB"/>
    <w:rsid w:val="0088717A"/>
    <w:rsid w:val="008871C4"/>
    <w:rsid w:val="0088733B"/>
    <w:rsid w:val="00887417"/>
    <w:rsid w:val="008874A1"/>
    <w:rsid w:val="0088757C"/>
    <w:rsid w:val="008875B3"/>
    <w:rsid w:val="00887735"/>
    <w:rsid w:val="00887783"/>
    <w:rsid w:val="00887925"/>
    <w:rsid w:val="008879C3"/>
    <w:rsid w:val="00887C9D"/>
    <w:rsid w:val="00890009"/>
    <w:rsid w:val="008900E7"/>
    <w:rsid w:val="008901B6"/>
    <w:rsid w:val="008901E7"/>
    <w:rsid w:val="008901EB"/>
    <w:rsid w:val="0089026F"/>
    <w:rsid w:val="00890315"/>
    <w:rsid w:val="00890354"/>
    <w:rsid w:val="00890380"/>
    <w:rsid w:val="008904C6"/>
    <w:rsid w:val="0089068D"/>
    <w:rsid w:val="0089072D"/>
    <w:rsid w:val="00890761"/>
    <w:rsid w:val="008907B2"/>
    <w:rsid w:val="00890810"/>
    <w:rsid w:val="0089082D"/>
    <w:rsid w:val="00890951"/>
    <w:rsid w:val="00890980"/>
    <w:rsid w:val="00890A40"/>
    <w:rsid w:val="00890C37"/>
    <w:rsid w:val="00890E62"/>
    <w:rsid w:val="00890E9E"/>
    <w:rsid w:val="00890EA7"/>
    <w:rsid w:val="00890F4E"/>
    <w:rsid w:val="00891153"/>
    <w:rsid w:val="008912B6"/>
    <w:rsid w:val="00891406"/>
    <w:rsid w:val="0089151F"/>
    <w:rsid w:val="00891673"/>
    <w:rsid w:val="008916AD"/>
    <w:rsid w:val="008919B9"/>
    <w:rsid w:val="00891A58"/>
    <w:rsid w:val="00891ADC"/>
    <w:rsid w:val="00891B09"/>
    <w:rsid w:val="00891B51"/>
    <w:rsid w:val="00891B6F"/>
    <w:rsid w:val="00891BF1"/>
    <w:rsid w:val="00891DC2"/>
    <w:rsid w:val="00891F7F"/>
    <w:rsid w:val="00892077"/>
    <w:rsid w:val="0089217C"/>
    <w:rsid w:val="00892543"/>
    <w:rsid w:val="0089255A"/>
    <w:rsid w:val="008926C2"/>
    <w:rsid w:val="008926F2"/>
    <w:rsid w:val="00892709"/>
    <w:rsid w:val="00892714"/>
    <w:rsid w:val="00892746"/>
    <w:rsid w:val="0089284E"/>
    <w:rsid w:val="008928E3"/>
    <w:rsid w:val="0089295D"/>
    <w:rsid w:val="008929D3"/>
    <w:rsid w:val="00892A16"/>
    <w:rsid w:val="00892A43"/>
    <w:rsid w:val="00892B5A"/>
    <w:rsid w:val="00892BA0"/>
    <w:rsid w:val="00892C5F"/>
    <w:rsid w:val="00892CC1"/>
    <w:rsid w:val="00892E0E"/>
    <w:rsid w:val="00892E3D"/>
    <w:rsid w:val="00892E65"/>
    <w:rsid w:val="00892F0B"/>
    <w:rsid w:val="00892F38"/>
    <w:rsid w:val="00892F6E"/>
    <w:rsid w:val="0089313C"/>
    <w:rsid w:val="00893226"/>
    <w:rsid w:val="00893348"/>
    <w:rsid w:val="008933EB"/>
    <w:rsid w:val="00893463"/>
    <w:rsid w:val="008934B2"/>
    <w:rsid w:val="008934F9"/>
    <w:rsid w:val="00893572"/>
    <w:rsid w:val="00893627"/>
    <w:rsid w:val="008937A6"/>
    <w:rsid w:val="008937D1"/>
    <w:rsid w:val="0089385C"/>
    <w:rsid w:val="00893900"/>
    <w:rsid w:val="00893948"/>
    <w:rsid w:val="0089396A"/>
    <w:rsid w:val="008939DD"/>
    <w:rsid w:val="008939EA"/>
    <w:rsid w:val="00893A0B"/>
    <w:rsid w:val="00893A4F"/>
    <w:rsid w:val="00893ACE"/>
    <w:rsid w:val="00893B0B"/>
    <w:rsid w:val="00893BA0"/>
    <w:rsid w:val="00893BAD"/>
    <w:rsid w:val="00893C0D"/>
    <w:rsid w:val="00893CF1"/>
    <w:rsid w:val="00893DD1"/>
    <w:rsid w:val="00893E5C"/>
    <w:rsid w:val="00893F2D"/>
    <w:rsid w:val="00893F47"/>
    <w:rsid w:val="00893F8E"/>
    <w:rsid w:val="00893FB8"/>
    <w:rsid w:val="0089432A"/>
    <w:rsid w:val="00894450"/>
    <w:rsid w:val="00894464"/>
    <w:rsid w:val="0089446F"/>
    <w:rsid w:val="008945A2"/>
    <w:rsid w:val="00894805"/>
    <w:rsid w:val="00894951"/>
    <w:rsid w:val="00894AE6"/>
    <w:rsid w:val="00894BC1"/>
    <w:rsid w:val="00894CD8"/>
    <w:rsid w:val="00894D08"/>
    <w:rsid w:val="00894D1E"/>
    <w:rsid w:val="00894E63"/>
    <w:rsid w:val="00894F93"/>
    <w:rsid w:val="00894F9A"/>
    <w:rsid w:val="00894F9B"/>
    <w:rsid w:val="00894FF0"/>
    <w:rsid w:val="00895084"/>
    <w:rsid w:val="00895112"/>
    <w:rsid w:val="0089518D"/>
    <w:rsid w:val="008951D8"/>
    <w:rsid w:val="008952F0"/>
    <w:rsid w:val="00895335"/>
    <w:rsid w:val="00895398"/>
    <w:rsid w:val="008953E0"/>
    <w:rsid w:val="00895674"/>
    <w:rsid w:val="0089574C"/>
    <w:rsid w:val="00895777"/>
    <w:rsid w:val="008957EF"/>
    <w:rsid w:val="00895934"/>
    <w:rsid w:val="00895939"/>
    <w:rsid w:val="00895BCC"/>
    <w:rsid w:val="00895C7A"/>
    <w:rsid w:val="00895E4D"/>
    <w:rsid w:val="00895E74"/>
    <w:rsid w:val="00895EA3"/>
    <w:rsid w:val="008960E3"/>
    <w:rsid w:val="00896165"/>
    <w:rsid w:val="00896175"/>
    <w:rsid w:val="00896463"/>
    <w:rsid w:val="008966D3"/>
    <w:rsid w:val="008966FF"/>
    <w:rsid w:val="00896805"/>
    <w:rsid w:val="00896815"/>
    <w:rsid w:val="00896886"/>
    <w:rsid w:val="0089688E"/>
    <w:rsid w:val="008968C0"/>
    <w:rsid w:val="008968FF"/>
    <w:rsid w:val="00896A5F"/>
    <w:rsid w:val="00896BD0"/>
    <w:rsid w:val="00896BD7"/>
    <w:rsid w:val="00896C94"/>
    <w:rsid w:val="00896D99"/>
    <w:rsid w:val="00896EA8"/>
    <w:rsid w:val="00896EDD"/>
    <w:rsid w:val="00896FD1"/>
    <w:rsid w:val="0089707B"/>
    <w:rsid w:val="008970E8"/>
    <w:rsid w:val="0089710F"/>
    <w:rsid w:val="00897204"/>
    <w:rsid w:val="0089721C"/>
    <w:rsid w:val="0089723A"/>
    <w:rsid w:val="00897408"/>
    <w:rsid w:val="00897463"/>
    <w:rsid w:val="00897661"/>
    <w:rsid w:val="008977B1"/>
    <w:rsid w:val="00897888"/>
    <w:rsid w:val="00897989"/>
    <w:rsid w:val="008979AB"/>
    <w:rsid w:val="00897AD0"/>
    <w:rsid w:val="00897BDB"/>
    <w:rsid w:val="00897C60"/>
    <w:rsid w:val="00897E59"/>
    <w:rsid w:val="008A006B"/>
    <w:rsid w:val="008A00B9"/>
    <w:rsid w:val="008A00D2"/>
    <w:rsid w:val="008A0244"/>
    <w:rsid w:val="008A0487"/>
    <w:rsid w:val="008A04C7"/>
    <w:rsid w:val="008A06B1"/>
    <w:rsid w:val="008A082A"/>
    <w:rsid w:val="008A0866"/>
    <w:rsid w:val="008A098E"/>
    <w:rsid w:val="008A0A36"/>
    <w:rsid w:val="008A0A8D"/>
    <w:rsid w:val="008A0BC4"/>
    <w:rsid w:val="008A0C46"/>
    <w:rsid w:val="008A0DBB"/>
    <w:rsid w:val="008A0E68"/>
    <w:rsid w:val="008A0EE8"/>
    <w:rsid w:val="008A0FA7"/>
    <w:rsid w:val="008A103E"/>
    <w:rsid w:val="008A10DE"/>
    <w:rsid w:val="008A1168"/>
    <w:rsid w:val="008A136B"/>
    <w:rsid w:val="008A1496"/>
    <w:rsid w:val="008A16C9"/>
    <w:rsid w:val="008A1B3B"/>
    <w:rsid w:val="008A1BF3"/>
    <w:rsid w:val="008A1CBB"/>
    <w:rsid w:val="008A1D8E"/>
    <w:rsid w:val="008A1E64"/>
    <w:rsid w:val="008A1FCF"/>
    <w:rsid w:val="008A2286"/>
    <w:rsid w:val="008A22B5"/>
    <w:rsid w:val="008A2322"/>
    <w:rsid w:val="008A2401"/>
    <w:rsid w:val="008A2782"/>
    <w:rsid w:val="008A2794"/>
    <w:rsid w:val="008A27A8"/>
    <w:rsid w:val="008A28A1"/>
    <w:rsid w:val="008A29EF"/>
    <w:rsid w:val="008A2A68"/>
    <w:rsid w:val="008A2AB3"/>
    <w:rsid w:val="008A2ADC"/>
    <w:rsid w:val="008A2C47"/>
    <w:rsid w:val="008A2CE9"/>
    <w:rsid w:val="008A2E00"/>
    <w:rsid w:val="008A2F34"/>
    <w:rsid w:val="008A2FFD"/>
    <w:rsid w:val="008A3028"/>
    <w:rsid w:val="008A31F5"/>
    <w:rsid w:val="008A3266"/>
    <w:rsid w:val="008A32E3"/>
    <w:rsid w:val="008A341D"/>
    <w:rsid w:val="008A3477"/>
    <w:rsid w:val="008A3529"/>
    <w:rsid w:val="008A35FB"/>
    <w:rsid w:val="008A36A5"/>
    <w:rsid w:val="008A36E6"/>
    <w:rsid w:val="008A3AA0"/>
    <w:rsid w:val="008A3BBD"/>
    <w:rsid w:val="008A3CE1"/>
    <w:rsid w:val="008A3F1D"/>
    <w:rsid w:val="008A3F96"/>
    <w:rsid w:val="008A401C"/>
    <w:rsid w:val="008A409C"/>
    <w:rsid w:val="008A413F"/>
    <w:rsid w:val="008A4170"/>
    <w:rsid w:val="008A41B1"/>
    <w:rsid w:val="008A429F"/>
    <w:rsid w:val="008A42A7"/>
    <w:rsid w:val="008A42CF"/>
    <w:rsid w:val="008A43AB"/>
    <w:rsid w:val="008A4449"/>
    <w:rsid w:val="008A44BA"/>
    <w:rsid w:val="008A47CC"/>
    <w:rsid w:val="008A483C"/>
    <w:rsid w:val="008A48E7"/>
    <w:rsid w:val="008A491D"/>
    <w:rsid w:val="008A49F0"/>
    <w:rsid w:val="008A4AB2"/>
    <w:rsid w:val="008A4BDF"/>
    <w:rsid w:val="008A4E73"/>
    <w:rsid w:val="008A4E97"/>
    <w:rsid w:val="008A50DA"/>
    <w:rsid w:val="008A50E6"/>
    <w:rsid w:val="008A5281"/>
    <w:rsid w:val="008A52E3"/>
    <w:rsid w:val="008A5312"/>
    <w:rsid w:val="008A53F3"/>
    <w:rsid w:val="008A569B"/>
    <w:rsid w:val="008A56DD"/>
    <w:rsid w:val="008A570D"/>
    <w:rsid w:val="008A582E"/>
    <w:rsid w:val="008A5854"/>
    <w:rsid w:val="008A591A"/>
    <w:rsid w:val="008A5C51"/>
    <w:rsid w:val="008A5CD6"/>
    <w:rsid w:val="008A5D11"/>
    <w:rsid w:val="008A5DBD"/>
    <w:rsid w:val="008A5DFD"/>
    <w:rsid w:val="008A600B"/>
    <w:rsid w:val="008A6018"/>
    <w:rsid w:val="008A6040"/>
    <w:rsid w:val="008A627C"/>
    <w:rsid w:val="008A63AD"/>
    <w:rsid w:val="008A63C3"/>
    <w:rsid w:val="008A6468"/>
    <w:rsid w:val="008A64D5"/>
    <w:rsid w:val="008A64D8"/>
    <w:rsid w:val="008A6553"/>
    <w:rsid w:val="008A6564"/>
    <w:rsid w:val="008A6576"/>
    <w:rsid w:val="008A6932"/>
    <w:rsid w:val="008A6944"/>
    <w:rsid w:val="008A6969"/>
    <w:rsid w:val="008A696F"/>
    <w:rsid w:val="008A6AAA"/>
    <w:rsid w:val="008A6AE3"/>
    <w:rsid w:val="008A6D76"/>
    <w:rsid w:val="008A6E11"/>
    <w:rsid w:val="008A6F2D"/>
    <w:rsid w:val="008A6FA9"/>
    <w:rsid w:val="008A6FBE"/>
    <w:rsid w:val="008A6FCC"/>
    <w:rsid w:val="008A7049"/>
    <w:rsid w:val="008A704E"/>
    <w:rsid w:val="008A70EA"/>
    <w:rsid w:val="008A768C"/>
    <w:rsid w:val="008A7744"/>
    <w:rsid w:val="008A77A8"/>
    <w:rsid w:val="008A78D3"/>
    <w:rsid w:val="008A7A65"/>
    <w:rsid w:val="008A7A99"/>
    <w:rsid w:val="008A7ACA"/>
    <w:rsid w:val="008A7AE8"/>
    <w:rsid w:val="008A7B80"/>
    <w:rsid w:val="008A7D46"/>
    <w:rsid w:val="008A7D6A"/>
    <w:rsid w:val="008A7E38"/>
    <w:rsid w:val="008A7E46"/>
    <w:rsid w:val="008B000D"/>
    <w:rsid w:val="008B0027"/>
    <w:rsid w:val="008B012B"/>
    <w:rsid w:val="008B01BF"/>
    <w:rsid w:val="008B03DB"/>
    <w:rsid w:val="008B0495"/>
    <w:rsid w:val="008B04CE"/>
    <w:rsid w:val="008B058D"/>
    <w:rsid w:val="008B069E"/>
    <w:rsid w:val="008B06F8"/>
    <w:rsid w:val="008B08F3"/>
    <w:rsid w:val="008B0912"/>
    <w:rsid w:val="008B0970"/>
    <w:rsid w:val="008B09D3"/>
    <w:rsid w:val="008B0A63"/>
    <w:rsid w:val="008B0AC1"/>
    <w:rsid w:val="008B0BB6"/>
    <w:rsid w:val="008B0BD3"/>
    <w:rsid w:val="008B0BF5"/>
    <w:rsid w:val="008B0C67"/>
    <w:rsid w:val="008B0CBD"/>
    <w:rsid w:val="008B0EF6"/>
    <w:rsid w:val="008B0F94"/>
    <w:rsid w:val="008B1052"/>
    <w:rsid w:val="008B1111"/>
    <w:rsid w:val="008B115D"/>
    <w:rsid w:val="008B1164"/>
    <w:rsid w:val="008B1418"/>
    <w:rsid w:val="008B141E"/>
    <w:rsid w:val="008B1598"/>
    <w:rsid w:val="008B15B4"/>
    <w:rsid w:val="008B15D1"/>
    <w:rsid w:val="008B16AE"/>
    <w:rsid w:val="008B16EE"/>
    <w:rsid w:val="008B182F"/>
    <w:rsid w:val="008B1925"/>
    <w:rsid w:val="008B193F"/>
    <w:rsid w:val="008B1A22"/>
    <w:rsid w:val="008B1A3C"/>
    <w:rsid w:val="008B1A96"/>
    <w:rsid w:val="008B1B0C"/>
    <w:rsid w:val="008B1B0F"/>
    <w:rsid w:val="008B1B64"/>
    <w:rsid w:val="008B1B9F"/>
    <w:rsid w:val="008B1CEC"/>
    <w:rsid w:val="008B1D99"/>
    <w:rsid w:val="008B1E99"/>
    <w:rsid w:val="008B2094"/>
    <w:rsid w:val="008B20E5"/>
    <w:rsid w:val="008B20E8"/>
    <w:rsid w:val="008B2124"/>
    <w:rsid w:val="008B2151"/>
    <w:rsid w:val="008B2239"/>
    <w:rsid w:val="008B22AC"/>
    <w:rsid w:val="008B230D"/>
    <w:rsid w:val="008B243B"/>
    <w:rsid w:val="008B24A3"/>
    <w:rsid w:val="008B24D5"/>
    <w:rsid w:val="008B24FF"/>
    <w:rsid w:val="008B2642"/>
    <w:rsid w:val="008B268B"/>
    <w:rsid w:val="008B26FD"/>
    <w:rsid w:val="008B27B0"/>
    <w:rsid w:val="008B28AA"/>
    <w:rsid w:val="008B2933"/>
    <w:rsid w:val="008B2AC5"/>
    <w:rsid w:val="008B2CCF"/>
    <w:rsid w:val="008B2CFC"/>
    <w:rsid w:val="008B2D7F"/>
    <w:rsid w:val="008B2DFF"/>
    <w:rsid w:val="008B2E86"/>
    <w:rsid w:val="008B2EB7"/>
    <w:rsid w:val="008B2FB2"/>
    <w:rsid w:val="008B2FF9"/>
    <w:rsid w:val="008B3177"/>
    <w:rsid w:val="008B3217"/>
    <w:rsid w:val="008B3273"/>
    <w:rsid w:val="008B3371"/>
    <w:rsid w:val="008B3518"/>
    <w:rsid w:val="008B382B"/>
    <w:rsid w:val="008B39D7"/>
    <w:rsid w:val="008B3AAD"/>
    <w:rsid w:val="008B3D91"/>
    <w:rsid w:val="008B3E8C"/>
    <w:rsid w:val="008B3F40"/>
    <w:rsid w:val="008B3F4F"/>
    <w:rsid w:val="008B42CC"/>
    <w:rsid w:val="008B434F"/>
    <w:rsid w:val="008B43D9"/>
    <w:rsid w:val="008B43E1"/>
    <w:rsid w:val="008B440F"/>
    <w:rsid w:val="008B4425"/>
    <w:rsid w:val="008B4636"/>
    <w:rsid w:val="008B465B"/>
    <w:rsid w:val="008B4722"/>
    <w:rsid w:val="008B472F"/>
    <w:rsid w:val="008B475D"/>
    <w:rsid w:val="008B4795"/>
    <w:rsid w:val="008B47AB"/>
    <w:rsid w:val="008B48BE"/>
    <w:rsid w:val="008B48FF"/>
    <w:rsid w:val="008B4A15"/>
    <w:rsid w:val="008B4A21"/>
    <w:rsid w:val="008B4AD0"/>
    <w:rsid w:val="008B4BC6"/>
    <w:rsid w:val="008B4D06"/>
    <w:rsid w:val="008B4D7A"/>
    <w:rsid w:val="008B4DA5"/>
    <w:rsid w:val="008B4DF2"/>
    <w:rsid w:val="008B4EC8"/>
    <w:rsid w:val="008B4F07"/>
    <w:rsid w:val="008B4FBC"/>
    <w:rsid w:val="008B5056"/>
    <w:rsid w:val="008B50A8"/>
    <w:rsid w:val="008B50A9"/>
    <w:rsid w:val="008B51C0"/>
    <w:rsid w:val="008B5282"/>
    <w:rsid w:val="008B52DB"/>
    <w:rsid w:val="008B540A"/>
    <w:rsid w:val="008B543C"/>
    <w:rsid w:val="008B54E7"/>
    <w:rsid w:val="008B5575"/>
    <w:rsid w:val="008B5651"/>
    <w:rsid w:val="008B565E"/>
    <w:rsid w:val="008B56BC"/>
    <w:rsid w:val="008B56E4"/>
    <w:rsid w:val="008B58AA"/>
    <w:rsid w:val="008B59B2"/>
    <w:rsid w:val="008B5A18"/>
    <w:rsid w:val="008B5CED"/>
    <w:rsid w:val="008B5D52"/>
    <w:rsid w:val="008B5D97"/>
    <w:rsid w:val="008B5DAD"/>
    <w:rsid w:val="008B5F58"/>
    <w:rsid w:val="008B60BA"/>
    <w:rsid w:val="008B64AB"/>
    <w:rsid w:val="008B65FB"/>
    <w:rsid w:val="008B6634"/>
    <w:rsid w:val="008B66E5"/>
    <w:rsid w:val="008B6719"/>
    <w:rsid w:val="008B672C"/>
    <w:rsid w:val="008B674B"/>
    <w:rsid w:val="008B67FA"/>
    <w:rsid w:val="008B6895"/>
    <w:rsid w:val="008B69CB"/>
    <w:rsid w:val="008B6ABB"/>
    <w:rsid w:val="008B6BB7"/>
    <w:rsid w:val="008B6C7A"/>
    <w:rsid w:val="008B6D18"/>
    <w:rsid w:val="008B6D2A"/>
    <w:rsid w:val="008B6F0B"/>
    <w:rsid w:val="008B6F47"/>
    <w:rsid w:val="008B7217"/>
    <w:rsid w:val="008B7235"/>
    <w:rsid w:val="008B726A"/>
    <w:rsid w:val="008B731D"/>
    <w:rsid w:val="008B74A5"/>
    <w:rsid w:val="008B7595"/>
    <w:rsid w:val="008B77C6"/>
    <w:rsid w:val="008B782D"/>
    <w:rsid w:val="008B7958"/>
    <w:rsid w:val="008B79ED"/>
    <w:rsid w:val="008B7ABE"/>
    <w:rsid w:val="008B7B9C"/>
    <w:rsid w:val="008B7F3D"/>
    <w:rsid w:val="008B7F4E"/>
    <w:rsid w:val="008C008B"/>
    <w:rsid w:val="008C00A0"/>
    <w:rsid w:val="008C0151"/>
    <w:rsid w:val="008C024E"/>
    <w:rsid w:val="008C02BE"/>
    <w:rsid w:val="008C036F"/>
    <w:rsid w:val="008C0439"/>
    <w:rsid w:val="008C04E0"/>
    <w:rsid w:val="008C05BD"/>
    <w:rsid w:val="008C05E5"/>
    <w:rsid w:val="008C06D6"/>
    <w:rsid w:val="008C086C"/>
    <w:rsid w:val="008C088B"/>
    <w:rsid w:val="008C08BD"/>
    <w:rsid w:val="008C0936"/>
    <w:rsid w:val="008C094D"/>
    <w:rsid w:val="008C09A7"/>
    <w:rsid w:val="008C0BAD"/>
    <w:rsid w:val="008C0C98"/>
    <w:rsid w:val="008C0EAA"/>
    <w:rsid w:val="008C0FFC"/>
    <w:rsid w:val="008C1008"/>
    <w:rsid w:val="008C103C"/>
    <w:rsid w:val="008C112E"/>
    <w:rsid w:val="008C11FE"/>
    <w:rsid w:val="008C124C"/>
    <w:rsid w:val="008C126E"/>
    <w:rsid w:val="008C137D"/>
    <w:rsid w:val="008C13B6"/>
    <w:rsid w:val="008C13D6"/>
    <w:rsid w:val="008C141B"/>
    <w:rsid w:val="008C1559"/>
    <w:rsid w:val="008C1582"/>
    <w:rsid w:val="008C15BB"/>
    <w:rsid w:val="008C15C9"/>
    <w:rsid w:val="008C16DC"/>
    <w:rsid w:val="008C1725"/>
    <w:rsid w:val="008C194B"/>
    <w:rsid w:val="008C1960"/>
    <w:rsid w:val="008C1A22"/>
    <w:rsid w:val="008C1A23"/>
    <w:rsid w:val="008C1A55"/>
    <w:rsid w:val="008C1B97"/>
    <w:rsid w:val="008C1C64"/>
    <w:rsid w:val="008C1D31"/>
    <w:rsid w:val="008C1F5F"/>
    <w:rsid w:val="008C1F9B"/>
    <w:rsid w:val="008C1FB9"/>
    <w:rsid w:val="008C1FFC"/>
    <w:rsid w:val="008C20B2"/>
    <w:rsid w:val="008C211B"/>
    <w:rsid w:val="008C2257"/>
    <w:rsid w:val="008C2298"/>
    <w:rsid w:val="008C2324"/>
    <w:rsid w:val="008C23ED"/>
    <w:rsid w:val="008C24B7"/>
    <w:rsid w:val="008C2798"/>
    <w:rsid w:val="008C283D"/>
    <w:rsid w:val="008C293B"/>
    <w:rsid w:val="008C2A6D"/>
    <w:rsid w:val="008C2AF4"/>
    <w:rsid w:val="008C2E27"/>
    <w:rsid w:val="008C2E3A"/>
    <w:rsid w:val="008C2E42"/>
    <w:rsid w:val="008C2EF7"/>
    <w:rsid w:val="008C2F35"/>
    <w:rsid w:val="008C309A"/>
    <w:rsid w:val="008C3255"/>
    <w:rsid w:val="008C32D6"/>
    <w:rsid w:val="008C3371"/>
    <w:rsid w:val="008C3383"/>
    <w:rsid w:val="008C339D"/>
    <w:rsid w:val="008C33C3"/>
    <w:rsid w:val="008C3449"/>
    <w:rsid w:val="008C345C"/>
    <w:rsid w:val="008C34DE"/>
    <w:rsid w:val="008C37C9"/>
    <w:rsid w:val="008C3812"/>
    <w:rsid w:val="008C3882"/>
    <w:rsid w:val="008C3913"/>
    <w:rsid w:val="008C3B18"/>
    <w:rsid w:val="008C3B5B"/>
    <w:rsid w:val="008C3BAD"/>
    <w:rsid w:val="008C3CF4"/>
    <w:rsid w:val="008C3E50"/>
    <w:rsid w:val="008C3EB8"/>
    <w:rsid w:val="008C3EFE"/>
    <w:rsid w:val="008C4492"/>
    <w:rsid w:val="008C449D"/>
    <w:rsid w:val="008C45C2"/>
    <w:rsid w:val="008C45CE"/>
    <w:rsid w:val="008C4909"/>
    <w:rsid w:val="008C49B9"/>
    <w:rsid w:val="008C4AFA"/>
    <w:rsid w:val="008C4C8B"/>
    <w:rsid w:val="008C4C98"/>
    <w:rsid w:val="008C4CE2"/>
    <w:rsid w:val="008C4D3E"/>
    <w:rsid w:val="008C4DC5"/>
    <w:rsid w:val="008C4EE3"/>
    <w:rsid w:val="008C4F3A"/>
    <w:rsid w:val="008C50A8"/>
    <w:rsid w:val="008C5215"/>
    <w:rsid w:val="008C5311"/>
    <w:rsid w:val="008C533A"/>
    <w:rsid w:val="008C536B"/>
    <w:rsid w:val="008C5507"/>
    <w:rsid w:val="008C553B"/>
    <w:rsid w:val="008C5860"/>
    <w:rsid w:val="008C5992"/>
    <w:rsid w:val="008C5A91"/>
    <w:rsid w:val="008C5BBC"/>
    <w:rsid w:val="008C5D0E"/>
    <w:rsid w:val="008C5E3C"/>
    <w:rsid w:val="008C5EA2"/>
    <w:rsid w:val="008C5EAD"/>
    <w:rsid w:val="008C5F15"/>
    <w:rsid w:val="008C5F73"/>
    <w:rsid w:val="008C5F84"/>
    <w:rsid w:val="008C5FDC"/>
    <w:rsid w:val="008C5FEF"/>
    <w:rsid w:val="008C6003"/>
    <w:rsid w:val="008C6042"/>
    <w:rsid w:val="008C6124"/>
    <w:rsid w:val="008C6142"/>
    <w:rsid w:val="008C6162"/>
    <w:rsid w:val="008C61B5"/>
    <w:rsid w:val="008C61FF"/>
    <w:rsid w:val="008C62AC"/>
    <w:rsid w:val="008C6379"/>
    <w:rsid w:val="008C63F2"/>
    <w:rsid w:val="008C6439"/>
    <w:rsid w:val="008C64F6"/>
    <w:rsid w:val="008C6519"/>
    <w:rsid w:val="008C665D"/>
    <w:rsid w:val="008C667E"/>
    <w:rsid w:val="008C66AB"/>
    <w:rsid w:val="008C67D3"/>
    <w:rsid w:val="008C6893"/>
    <w:rsid w:val="008C68F8"/>
    <w:rsid w:val="008C6981"/>
    <w:rsid w:val="008C6992"/>
    <w:rsid w:val="008C6A93"/>
    <w:rsid w:val="008C6AB2"/>
    <w:rsid w:val="008C6CB7"/>
    <w:rsid w:val="008C6DD9"/>
    <w:rsid w:val="008C6E0C"/>
    <w:rsid w:val="008C6E0E"/>
    <w:rsid w:val="008C6F10"/>
    <w:rsid w:val="008C6F66"/>
    <w:rsid w:val="008C6FF5"/>
    <w:rsid w:val="008C6FFF"/>
    <w:rsid w:val="008C711A"/>
    <w:rsid w:val="008C713B"/>
    <w:rsid w:val="008C7156"/>
    <w:rsid w:val="008C7524"/>
    <w:rsid w:val="008C764B"/>
    <w:rsid w:val="008C782C"/>
    <w:rsid w:val="008C786D"/>
    <w:rsid w:val="008C7888"/>
    <w:rsid w:val="008C7996"/>
    <w:rsid w:val="008C7B02"/>
    <w:rsid w:val="008C7BA3"/>
    <w:rsid w:val="008C7D2E"/>
    <w:rsid w:val="008C7DF1"/>
    <w:rsid w:val="008C7E94"/>
    <w:rsid w:val="008D002E"/>
    <w:rsid w:val="008D00C9"/>
    <w:rsid w:val="008D00E0"/>
    <w:rsid w:val="008D0121"/>
    <w:rsid w:val="008D016A"/>
    <w:rsid w:val="008D018D"/>
    <w:rsid w:val="008D01FF"/>
    <w:rsid w:val="008D04C8"/>
    <w:rsid w:val="008D04CB"/>
    <w:rsid w:val="008D051C"/>
    <w:rsid w:val="008D0657"/>
    <w:rsid w:val="008D06AF"/>
    <w:rsid w:val="008D0736"/>
    <w:rsid w:val="008D07A7"/>
    <w:rsid w:val="008D08B6"/>
    <w:rsid w:val="008D0A80"/>
    <w:rsid w:val="008D0B01"/>
    <w:rsid w:val="008D0BB0"/>
    <w:rsid w:val="008D0F24"/>
    <w:rsid w:val="008D1011"/>
    <w:rsid w:val="008D10A3"/>
    <w:rsid w:val="008D11C0"/>
    <w:rsid w:val="008D13DE"/>
    <w:rsid w:val="008D17E7"/>
    <w:rsid w:val="008D189A"/>
    <w:rsid w:val="008D18E4"/>
    <w:rsid w:val="008D19AA"/>
    <w:rsid w:val="008D1AB3"/>
    <w:rsid w:val="008D1AF4"/>
    <w:rsid w:val="008D1BFB"/>
    <w:rsid w:val="008D1D5C"/>
    <w:rsid w:val="008D1F30"/>
    <w:rsid w:val="008D1F6B"/>
    <w:rsid w:val="008D21BD"/>
    <w:rsid w:val="008D23B4"/>
    <w:rsid w:val="008D256B"/>
    <w:rsid w:val="008D25CE"/>
    <w:rsid w:val="008D271B"/>
    <w:rsid w:val="008D28AA"/>
    <w:rsid w:val="008D2904"/>
    <w:rsid w:val="008D2A0F"/>
    <w:rsid w:val="008D2A68"/>
    <w:rsid w:val="008D2A9F"/>
    <w:rsid w:val="008D2AE9"/>
    <w:rsid w:val="008D2C31"/>
    <w:rsid w:val="008D2C4E"/>
    <w:rsid w:val="008D2CF5"/>
    <w:rsid w:val="008D2ED7"/>
    <w:rsid w:val="008D2F9D"/>
    <w:rsid w:val="008D30B2"/>
    <w:rsid w:val="008D323D"/>
    <w:rsid w:val="008D3339"/>
    <w:rsid w:val="008D33B5"/>
    <w:rsid w:val="008D33F6"/>
    <w:rsid w:val="008D34E6"/>
    <w:rsid w:val="008D3587"/>
    <w:rsid w:val="008D363A"/>
    <w:rsid w:val="008D38CC"/>
    <w:rsid w:val="008D3981"/>
    <w:rsid w:val="008D3A8A"/>
    <w:rsid w:val="008D3AC4"/>
    <w:rsid w:val="008D3C21"/>
    <w:rsid w:val="008D3EF4"/>
    <w:rsid w:val="008D4537"/>
    <w:rsid w:val="008D454E"/>
    <w:rsid w:val="008D45A6"/>
    <w:rsid w:val="008D46B7"/>
    <w:rsid w:val="008D46ED"/>
    <w:rsid w:val="008D4723"/>
    <w:rsid w:val="008D4725"/>
    <w:rsid w:val="008D4749"/>
    <w:rsid w:val="008D474E"/>
    <w:rsid w:val="008D4780"/>
    <w:rsid w:val="008D48EA"/>
    <w:rsid w:val="008D49D0"/>
    <w:rsid w:val="008D49D1"/>
    <w:rsid w:val="008D49E5"/>
    <w:rsid w:val="008D49FF"/>
    <w:rsid w:val="008D4B00"/>
    <w:rsid w:val="008D4B8E"/>
    <w:rsid w:val="008D4C7A"/>
    <w:rsid w:val="008D4D1F"/>
    <w:rsid w:val="008D4E08"/>
    <w:rsid w:val="008D4E60"/>
    <w:rsid w:val="008D4E8F"/>
    <w:rsid w:val="008D4FE1"/>
    <w:rsid w:val="008D5156"/>
    <w:rsid w:val="008D5194"/>
    <w:rsid w:val="008D51BB"/>
    <w:rsid w:val="008D53D5"/>
    <w:rsid w:val="008D53DF"/>
    <w:rsid w:val="008D545C"/>
    <w:rsid w:val="008D5495"/>
    <w:rsid w:val="008D55A4"/>
    <w:rsid w:val="008D55E4"/>
    <w:rsid w:val="008D5641"/>
    <w:rsid w:val="008D5669"/>
    <w:rsid w:val="008D567E"/>
    <w:rsid w:val="008D56A4"/>
    <w:rsid w:val="008D56EF"/>
    <w:rsid w:val="008D574C"/>
    <w:rsid w:val="008D57F3"/>
    <w:rsid w:val="008D5A14"/>
    <w:rsid w:val="008D5BC2"/>
    <w:rsid w:val="008D5BFB"/>
    <w:rsid w:val="008D5CB0"/>
    <w:rsid w:val="008D5CFF"/>
    <w:rsid w:val="008D5D6A"/>
    <w:rsid w:val="008D5E47"/>
    <w:rsid w:val="008D5ED7"/>
    <w:rsid w:val="008D5F0B"/>
    <w:rsid w:val="008D5F5E"/>
    <w:rsid w:val="008D616F"/>
    <w:rsid w:val="008D636B"/>
    <w:rsid w:val="008D6378"/>
    <w:rsid w:val="008D6535"/>
    <w:rsid w:val="008D65F0"/>
    <w:rsid w:val="008D6665"/>
    <w:rsid w:val="008D680D"/>
    <w:rsid w:val="008D6829"/>
    <w:rsid w:val="008D68C7"/>
    <w:rsid w:val="008D69A7"/>
    <w:rsid w:val="008D6B23"/>
    <w:rsid w:val="008D6CBE"/>
    <w:rsid w:val="008D6D10"/>
    <w:rsid w:val="008D6E80"/>
    <w:rsid w:val="008D6F2B"/>
    <w:rsid w:val="008D6F6E"/>
    <w:rsid w:val="008D701E"/>
    <w:rsid w:val="008D7095"/>
    <w:rsid w:val="008D70AC"/>
    <w:rsid w:val="008D71B8"/>
    <w:rsid w:val="008D724B"/>
    <w:rsid w:val="008D7273"/>
    <w:rsid w:val="008D72CA"/>
    <w:rsid w:val="008D73B8"/>
    <w:rsid w:val="008D749D"/>
    <w:rsid w:val="008D77C5"/>
    <w:rsid w:val="008D7AA3"/>
    <w:rsid w:val="008D7AC3"/>
    <w:rsid w:val="008D7C49"/>
    <w:rsid w:val="008D7CBB"/>
    <w:rsid w:val="008D7CEF"/>
    <w:rsid w:val="008D7DCD"/>
    <w:rsid w:val="008D7FE3"/>
    <w:rsid w:val="008E0003"/>
    <w:rsid w:val="008E006D"/>
    <w:rsid w:val="008E00D5"/>
    <w:rsid w:val="008E039B"/>
    <w:rsid w:val="008E03E9"/>
    <w:rsid w:val="008E0521"/>
    <w:rsid w:val="008E058E"/>
    <w:rsid w:val="008E063F"/>
    <w:rsid w:val="008E068E"/>
    <w:rsid w:val="008E06C1"/>
    <w:rsid w:val="008E071F"/>
    <w:rsid w:val="008E085D"/>
    <w:rsid w:val="008E08E1"/>
    <w:rsid w:val="008E093A"/>
    <w:rsid w:val="008E0AC1"/>
    <w:rsid w:val="008E0C3E"/>
    <w:rsid w:val="008E0C62"/>
    <w:rsid w:val="008E0CAC"/>
    <w:rsid w:val="008E0CC8"/>
    <w:rsid w:val="008E0CE8"/>
    <w:rsid w:val="008E0D2C"/>
    <w:rsid w:val="008E0E83"/>
    <w:rsid w:val="008E0FBA"/>
    <w:rsid w:val="008E125A"/>
    <w:rsid w:val="008E132F"/>
    <w:rsid w:val="008E1393"/>
    <w:rsid w:val="008E15E2"/>
    <w:rsid w:val="008E16C4"/>
    <w:rsid w:val="008E17B9"/>
    <w:rsid w:val="008E192D"/>
    <w:rsid w:val="008E1953"/>
    <w:rsid w:val="008E1A6A"/>
    <w:rsid w:val="008E1B53"/>
    <w:rsid w:val="008E1B96"/>
    <w:rsid w:val="008E1BBE"/>
    <w:rsid w:val="008E1CA3"/>
    <w:rsid w:val="008E1CB9"/>
    <w:rsid w:val="008E1D16"/>
    <w:rsid w:val="008E1D57"/>
    <w:rsid w:val="008E1E59"/>
    <w:rsid w:val="008E1E7F"/>
    <w:rsid w:val="008E20CE"/>
    <w:rsid w:val="008E21DA"/>
    <w:rsid w:val="008E22D9"/>
    <w:rsid w:val="008E22E0"/>
    <w:rsid w:val="008E22FE"/>
    <w:rsid w:val="008E25B8"/>
    <w:rsid w:val="008E2634"/>
    <w:rsid w:val="008E26D1"/>
    <w:rsid w:val="008E274F"/>
    <w:rsid w:val="008E282C"/>
    <w:rsid w:val="008E28A9"/>
    <w:rsid w:val="008E2958"/>
    <w:rsid w:val="008E29D4"/>
    <w:rsid w:val="008E2A43"/>
    <w:rsid w:val="008E2A70"/>
    <w:rsid w:val="008E2ACD"/>
    <w:rsid w:val="008E2C55"/>
    <w:rsid w:val="008E2CB5"/>
    <w:rsid w:val="008E2D7E"/>
    <w:rsid w:val="008E2D89"/>
    <w:rsid w:val="008E2DA8"/>
    <w:rsid w:val="008E2DE8"/>
    <w:rsid w:val="008E2E60"/>
    <w:rsid w:val="008E2E64"/>
    <w:rsid w:val="008E2EA9"/>
    <w:rsid w:val="008E2FFB"/>
    <w:rsid w:val="008E301A"/>
    <w:rsid w:val="008E303B"/>
    <w:rsid w:val="008E33A8"/>
    <w:rsid w:val="008E346D"/>
    <w:rsid w:val="008E355B"/>
    <w:rsid w:val="008E36F0"/>
    <w:rsid w:val="008E3789"/>
    <w:rsid w:val="008E3834"/>
    <w:rsid w:val="008E3896"/>
    <w:rsid w:val="008E3916"/>
    <w:rsid w:val="008E3919"/>
    <w:rsid w:val="008E39A1"/>
    <w:rsid w:val="008E3A58"/>
    <w:rsid w:val="008E3AD0"/>
    <w:rsid w:val="008E3B3D"/>
    <w:rsid w:val="008E3B6C"/>
    <w:rsid w:val="008E3C4F"/>
    <w:rsid w:val="008E3DA4"/>
    <w:rsid w:val="008E3E84"/>
    <w:rsid w:val="008E3F41"/>
    <w:rsid w:val="008E3F7E"/>
    <w:rsid w:val="008E403F"/>
    <w:rsid w:val="008E40F4"/>
    <w:rsid w:val="008E42D3"/>
    <w:rsid w:val="008E434D"/>
    <w:rsid w:val="008E43C5"/>
    <w:rsid w:val="008E4424"/>
    <w:rsid w:val="008E443E"/>
    <w:rsid w:val="008E44A7"/>
    <w:rsid w:val="008E45F3"/>
    <w:rsid w:val="008E462A"/>
    <w:rsid w:val="008E4663"/>
    <w:rsid w:val="008E4739"/>
    <w:rsid w:val="008E497B"/>
    <w:rsid w:val="008E4A6A"/>
    <w:rsid w:val="008E4A71"/>
    <w:rsid w:val="008E4C0B"/>
    <w:rsid w:val="008E4C5D"/>
    <w:rsid w:val="008E4CA4"/>
    <w:rsid w:val="008E4D50"/>
    <w:rsid w:val="008E4D97"/>
    <w:rsid w:val="008E4E3E"/>
    <w:rsid w:val="008E4E60"/>
    <w:rsid w:val="008E4E75"/>
    <w:rsid w:val="008E4E9C"/>
    <w:rsid w:val="008E4EDB"/>
    <w:rsid w:val="008E518E"/>
    <w:rsid w:val="008E535F"/>
    <w:rsid w:val="008E536E"/>
    <w:rsid w:val="008E53D8"/>
    <w:rsid w:val="008E53F9"/>
    <w:rsid w:val="008E5536"/>
    <w:rsid w:val="008E5593"/>
    <w:rsid w:val="008E5772"/>
    <w:rsid w:val="008E579C"/>
    <w:rsid w:val="008E57F2"/>
    <w:rsid w:val="008E585E"/>
    <w:rsid w:val="008E5954"/>
    <w:rsid w:val="008E59A5"/>
    <w:rsid w:val="008E5B18"/>
    <w:rsid w:val="008E5B32"/>
    <w:rsid w:val="008E5BF1"/>
    <w:rsid w:val="008E5D7A"/>
    <w:rsid w:val="008E5E12"/>
    <w:rsid w:val="008E5E3C"/>
    <w:rsid w:val="008E5EE4"/>
    <w:rsid w:val="008E6119"/>
    <w:rsid w:val="008E61F1"/>
    <w:rsid w:val="008E6339"/>
    <w:rsid w:val="008E633D"/>
    <w:rsid w:val="008E63BD"/>
    <w:rsid w:val="008E63F1"/>
    <w:rsid w:val="008E64DD"/>
    <w:rsid w:val="008E64EE"/>
    <w:rsid w:val="008E659B"/>
    <w:rsid w:val="008E65E9"/>
    <w:rsid w:val="008E6628"/>
    <w:rsid w:val="008E6685"/>
    <w:rsid w:val="008E66DC"/>
    <w:rsid w:val="008E6785"/>
    <w:rsid w:val="008E6837"/>
    <w:rsid w:val="008E687E"/>
    <w:rsid w:val="008E6A13"/>
    <w:rsid w:val="008E6C2E"/>
    <w:rsid w:val="008E6CC4"/>
    <w:rsid w:val="008E6DEC"/>
    <w:rsid w:val="008E6E7D"/>
    <w:rsid w:val="008E6F8D"/>
    <w:rsid w:val="008E6FE2"/>
    <w:rsid w:val="008E71D0"/>
    <w:rsid w:val="008E71FF"/>
    <w:rsid w:val="008E73A0"/>
    <w:rsid w:val="008E73E8"/>
    <w:rsid w:val="008E7410"/>
    <w:rsid w:val="008E74A5"/>
    <w:rsid w:val="008E74AA"/>
    <w:rsid w:val="008E7573"/>
    <w:rsid w:val="008E784F"/>
    <w:rsid w:val="008E786B"/>
    <w:rsid w:val="008E7919"/>
    <w:rsid w:val="008E79DB"/>
    <w:rsid w:val="008E7AF0"/>
    <w:rsid w:val="008E7B8E"/>
    <w:rsid w:val="008E7BC1"/>
    <w:rsid w:val="008E7BDC"/>
    <w:rsid w:val="008E7C02"/>
    <w:rsid w:val="008E7C1A"/>
    <w:rsid w:val="008E7C1C"/>
    <w:rsid w:val="008E7C7A"/>
    <w:rsid w:val="008E7C8E"/>
    <w:rsid w:val="008E7D48"/>
    <w:rsid w:val="008E7DEE"/>
    <w:rsid w:val="008E7DF1"/>
    <w:rsid w:val="008E7EC4"/>
    <w:rsid w:val="008E7EC7"/>
    <w:rsid w:val="008E7ED3"/>
    <w:rsid w:val="008E7EE2"/>
    <w:rsid w:val="008E7F18"/>
    <w:rsid w:val="008E7FD4"/>
    <w:rsid w:val="008F0031"/>
    <w:rsid w:val="008F0052"/>
    <w:rsid w:val="008F009A"/>
    <w:rsid w:val="008F0174"/>
    <w:rsid w:val="008F0208"/>
    <w:rsid w:val="008F0440"/>
    <w:rsid w:val="008F0458"/>
    <w:rsid w:val="008F0549"/>
    <w:rsid w:val="008F0550"/>
    <w:rsid w:val="008F06DC"/>
    <w:rsid w:val="008F0775"/>
    <w:rsid w:val="008F079A"/>
    <w:rsid w:val="008F07CB"/>
    <w:rsid w:val="008F0889"/>
    <w:rsid w:val="008F08EA"/>
    <w:rsid w:val="008F0A26"/>
    <w:rsid w:val="008F0AA7"/>
    <w:rsid w:val="008F0ABB"/>
    <w:rsid w:val="008F0AF7"/>
    <w:rsid w:val="008F0B70"/>
    <w:rsid w:val="008F0C11"/>
    <w:rsid w:val="008F0CAE"/>
    <w:rsid w:val="008F0CCA"/>
    <w:rsid w:val="008F0E22"/>
    <w:rsid w:val="008F0E36"/>
    <w:rsid w:val="008F0EF4"/>
    <w:rsid w:val="008F0FE4"/>
    <w:rsid w:val="008F1176"/>
    <w:rsid w:val="008F1288"/>
    <w:rsid w:val="008F129A"/>
    <w:rsid w:val="008F12BD"/>
    <w:rsid w:val="008F13D1"/>
    <w:rsid w:val="008F1464"/>
    <w:rsid w:val="008F1558"/>
    <w:rsid w:val="008F15CD"/>
    <w:rsid w:val="008F1664"/>
    <w:rsid w:val="008F16D3"/>
    <w:rsid w:val="008F16E7"/>
    <w:rsid w:val="008F1913"/>
    <w:rsid w:val="008F19E7"/>
    <w:rsid w:val="008F1A27"/>
    <w:rsid w:val="008F1A2E"/>
    <w:rsid w:val="008F1BEC"/>
    <w:rsid w:val="008F1C32"/>
    <w:rsid w:val="008F1C55"/>
    <w:rsid w:val="008F1E60"/>
    <w:rsid w:val="008F1ED6"/>
    <w:rsid w:val="008F1F48"/>
    <w:rsid w:val="008F2039"/>
    <w:rsid w:val="008F203D"/>
    <w:rsid w:val="008F21AA"/>
    <w:rsid w:val="008F21BF"/>
    <w:rsid w:val="008F21CE"/>
    <w:rsid w:val="008F227F"/>
    <w:rsid w:val="008F24A5"/>
    <w:rsid w:val="008F250F"/>
    <w:rsid w:val="008F265C"/>
    <w:rsid w:val="008F2664"/>
    <w:rsid w:val="008F2686"/>
    <w:rsid w:val="008F28D1"/>
    <w:rsid w:val="008F2925"/>
    <w:rsid w:val="008F2943"/>
    <w:rsid w:val="008F2A8D"/>
    <w:rsid w:val="008F2A9C"/>
    <w:rsid w:val="008F2B1E"/>
    <w:rsid w:val="008F2B65"/>
    <w:rsid w:val="008F2B88"/>
    <w:rsid w:val="008F2BBF"/>
    <w:rsid w:val="008F2C30"/>
    <w:rsid w:val="008F2CB7"/>
    <w:rsid w:val="008F2ED6"/>
    <w:rsid w:val="008F314A"/>
    <w:rsid w:val="008F31A0"/>
    <w:rsid w:val="008F31BA"/>
    <w:rsid w:val="008F32ED"/>
    <w:rsid w:val="008F3392"/>
    <w:rsid w:val="008F33A1"/>
    <w:rsid w:val="008F3410"/>
    <w:rsid w:val="008F3431"/>
    <w:rsid w:val="008F34E2"/>
    <w:rsid w:val="008F356F"/>
    <w:rsid w:val="008F3625"/>
    <w:rsid w:val="008F3632"/>
    <w:rsid w:val="008F375B"/>
    <w:rsid w:val="008F37E2"/>
    <w:rsid w:val="008F38E0"/>
    <w:rsid w:val="008F3951"/>
    <w:rsid w:val="008F3958"/>
    <w:rsid w:val="008F39E2"/>
    <w:rsid w:val="008F3A07"/>
    <w:rsid w:val="008F3D34"/>
    <w:rsid w:val="008F3D48"/>
    <w:rsid w:val="008F3E35"/>
    <w:rsid w:val="008F4043"/>
    <w:rsid w:val="008F406F"/>
    <w:rsid w:val="008F4143"/>
    <w:rsid w:val="008F4192"/>
    <w:rsid w:val="008F4241"/>
    <w:rsid w:val="008F44FD"/>
    <w:rsid w:val="008F4507"/>
    <w:rsid w:val="008F45B1"/>
    <w:rsid w:val="008F480D"/>
    <w:rsid w:val="008F4872"/>
    <w:rsid w:val="008F4A71"/>
    <w:rsid w:val="008F4A84"/>
    <w:rsid w:val="008F4AAB"/>
    <w:rsid w:val="008F4ABE"/>
    <w:rsid w:val="008F4B93"/>
    <w:rsid w:val="008F4BBA"/>
    <w:rsid w:val="008F4C33"/>
    <w:rsid w:val="008F4C84"/>
    <w:rsid w:val="008F4C9D"/>
    <w:rsid w:val="008F4CD4"/>
    <w:rsid w:val="008F4D0D"/>
    <w:rsid w:val="008F4D5D"/>
    <w:rsid w:val="008F4D5E"/>
    <w:rsid w:val="008F5163"/>
    <w:rsid w:val="008F518A"/>
    <w:rsid w:val="008F518F"/>
    <w:rsid w:val="008F520B"/>
    <w:rsid w:val="008F5316"/>
    <w:rsid w:val="008F5317"/>
    <w:rsid w:val="008F534C"/>
    <w:rsid w:val="008F53A2"/>
    <w:rsid w:val="008F53A8"/>
    <w:rsid w:val="008F55BD"/>
    <w:rsid w:val="008F5715"/>
    <w:rsid w:val="008F594B"/>
    <w:rsid w:val="008F5A20"/>
    <w:rsid w:val="008F5B8A"/>
    <w:rsid w:val="008F5C28"/>
    <w:rsid w:val="008F5D1C"/>
    <w:rsid w:val="008F5D61"/>
    <w:rsid w:val="008F5EDE"/>
    <w:rsid w:val="008F5EF9"/>
    <w:rsid w:val="008F619C"/>
    <w:rsid w:val="008F6200"/>
    <w:rsid w:val="008F62F3"/>
    <w:rsid w:val="008F6374"/>
    <w:rsid w:val="008F649E"/>
    <w:rsid w:val="008F64B3"/>
    <w:rsid w:val="008F666F"/>
    <w:rsid w:val="008F6784"/>
    <w:rsid w:val="008F67D2"/>
    <w:rsid w:val="008F67E4"/>
    <w:rsid w:val="008F683F"/>
    <w:rsid w:val="008F6844"/>
    <w:rsid w:val="008F68A0"/>
    <w:rsid w:val="008F69DA"/>
    <w:rsid w:val="008F69F1"/>
    <w:rsid w:val="008F69FB"/>
    <w:rsid w:val="008F6A2C"/>
    <w:rsid w:val="008F6A8D"/>
    <w:rsid w:val="008F6B83"/>
    <w:rsid w:val="008F6CDF"/>
    <w:rsid w:val="008F6FE2"/>
    <w:rsid w:val="008F7009"/>
    <w:rsid w:val="008F7145"/>
    <w:rsid w:val="008F716B"/>
    <w:rsid w:val="008F7318"/>
    <w:rsid w:val="008F73BD"/>
    <w:rsid w:val="008F748E"/>
    <w:rsid w:val="008F751E"/>
    <w:rsid w:val="008F7615"/>
    <w:rsid w:val="008F762A"/>
    <w:rsid w:val="008F7657"/>
    <w:rsid w:val="008F78B7"/>
    <w:rsid w:val="008F79DD"/>
    <w:rsid w:val="008F79E2"/>
    <w:rsid w:val="008F79EA"/>
    <w:rsid w:val="008F7A5D"/>
    <w:rsid w:val="008F7B24"/>
    <w:rsid w:val="008F7B91"/>
    <w:rsid w:val="008F7C49"/>
    <w:rsid w:val="008F7C59"/>
    <w:rsid w:val="008F7C6B"/>
    <w:rsid w:val="008F7CCB"/>
    <w:rsid w:val="008F7DBF"/>
    <w:rsid w:val="008F7F51"/>
    <w:rsid w:val="008F7F64"/>
    <w:rsid w:val="0090027F"/>
    <w:rsid w:val="009002DF"/>
    <w:rsid w:val="00900354"/>
    <w:rsid w:val="009003EF"/>
    <w:rsid w:val="00900443"/>
    <w:rsid w:val="00900647"/>
    <w:rsid w:val="009006F4"/>
    <w:rsid w:val="00900817"/>
    <w:rsid w:val="0090089D"/>
    <w:rsid w:val="009008B2"/>
    <w:rsid w:val="00900A05"/>
    <w:rsid w:val="00900A64"/>
    <w:rsid w:val="00900AD8"/>
    <w:rsid w:val="00900C4E"/>
    <w:rsid w:val="00900C64"/>
    <w:rsid w:val="00900D10"/>
    <w:rsid w:val="00900DA4"/>
    <w:rsid w:val="00900E35"/>
    <w:rsid w:val="00900F45"/>
    <w:rsid w:val="00901013"/>
    <w:rsid w:val="0090131E"/>
    <w:rsid w:val="0090132B"/>
    <w:rsid w:val="00901343"/>
    <w:rsid w:val="00901513"/>
    <w:rsid w:val="009015A6"/>
    <w:rsid w:val="00901615"/>
    <w:rsid w:val="0090162F"/>
    <w:rsid w:val="009016D5"/>
    <w:rsid w:val="00901773"/>
    <w:rsid w:val="0090186A"/>
    <w:rsid w:val="00901890"/>
    <w:rsid w:val="00901898"/>
    <w:rsid w:val="00901A54"/>
    <w:rsid w:val="00901AB8"/>
    <w:rsid w:val="00901B13"/>
    <w:rsid w:val="00901B2D"/>
    <w:rsid w:val="00901C36"/>
    <w:rsid w:val="00901C60"/>
    <w:rsid w:val="00901CF0"/>
    <w:rsid w:val="00901DD9"/>
    <w:rsid w:val="00901E24"/>
    <w:rsid w:val="00901E8D"/>
    <w:rsid w:val="00901EF5"/>
    <w:rsid w:val="009021D4"/>
    <w:rsid w:val="0090229B"/>
    <w:rsid w:val="0090229E"/>
    <w:rsid w:val="009022B6"/>
    <w:rsid w:val="00902328"/>
    <w:rsid w:val="00902364"/>
    <w:rsid w:val="0090264A"/>
    <w:rsid w:val="0090265B"/>
    <w:rsid w:val="009026D1"/>
    <w:rsid w:val="00902788"/>
    <w:rsid w:val="009027C8"/>
    <w:rsid w:val="00902870"/>
    <w:rsid w:val="00902881"/>
    <w:rsid w:val="0090289A"/>
    <w:rsid w:val="0090289F"/>
    <w:rsid w:val="0090292D"/>
    <w:rsid w:val="00902954"/>
    <w:rsid w:val="009029F9"/>
    <w:rsid w:val="00902B69"/>
    <w:rsid w:val="00902B95"/>
    <w:rsid w:val="00902D9E"/>
    <w:rsid w:val="00902DE0"/>
    <w:rsid w:val="00902EB9"/>
    <w:rsid w:val="00903133"/>
    <w:rsid w:val="00903151"/>
    <w:rsid w:val="0090316D"/>
    <w:rsid w:val="009031AC"/>
    <w:rsid w:val="00903284"/>
    <w:rsid w:val="009033E3"/>
    <w:rsid w:val="0090351A"/>
    <w:rsid w:val="00903521"/>
    <w:rsid w:val="00903535"/>
    <w:rsid w:val="0090353A"/>
    <w:rsid w:val="0090356C"/>
    <w:rsid w:val="009035B3"/>
    <w:rsid w:val="009036BC"/>
    <w:rsid w:val="00903B71"/>
    <w:rsid w:val="00903BCD"/>
    <w:rsid w:val="00903BE4"/>
    <w:rsid w:val="00903BED"/>
    <w:rsid w:val="00903C9B"/>
    <w:rsid w:val="00903CEA"/>
    <w:rsid w:val="00903CEF"/>
    <w:rsid w:val="00903FE8"/>
    <w:rsid w:val="00904097"/>
    <w:rsid w:val="009040B2"/>
    <w:rsid w:val="00904148"/>
    <w:rsid w:val="0090415A"/>
    <w:rsid w:val="009041B2"/>
    <w:rsid w:val="0090421A"/>
    <w:rsid w:val="009042BF"/>
    <w:rsid w:val="009042CA"/>
    <w:rsid w:val="009043D4"/>
    <w:rsid w:val="009043F4"/>
    <w:rsid w:val="00904453"/>
    <w:rsid w:val="00904613"/>
    <w:rsid w:val="0090470C"/>
    <w:rsid w:val="0090470E"/>
    <w:rsid w:val="0090479F"/>
    <w:rsid w:val="009048AF"/>
    <w:rsid w:val="00904978"/>
    <w:rsid w:val="00904AE9"/>
    <w:rsid w:val="00904CF0"/>
    <w:rsid w:val="00904E30"/>
    <w:rsid w:val="00904EE1"/>
    <w:rsid w:val="009050B4"/>
    <w:rsid w:val="009051E4"/>
    <w:rsid w:val="00905200"/>
    <w:rsid w:val="00905351"/>
    <w:rsid w:val="009053F7"/>
    <w:rsid w:val="00905422"/>
    <w:rsid w:val="009054C4"/>
    <w:rsid w:val="00905549"/>
    <w:rsid w:val="0090554F"/>
    <w:rsid w:val="00905653"/>
    <w:rsid w:val="0090566B"/>
    <w:rsid w:val="0090566E"/>
    <w:rsid w:val="009056C3"/>
    <w:rsid w:val="009057CD"/>
    <w:rsid w:val="0090580D"/>
    <w:rsid w:val="00905812"/>
    <w:rsid w:val="009058AB"/>
    <w:rsid w:val="00905A26"/>
    <w:rsid w:val="00905A84"/>
    <w:rsid w:val="00905BA4"/>
    <w:rsid w:val="00905C88"/>
    <w:rsid w:val="00905CE3"/>
    <w:rsid w:val="00905E3A"/>
    <w:rsid w:val="00905FA2"/>
    <w:rsid w:val="009060A6"/>
    <w:rsid w:val="009060D9"/>
    <w:rsid w:val="00906417"/>
    <w:rsid w:val="00906424"/>
    <w:rsid w:val="00906680"/>
    <w:rsid w:val="0090668B"/>
    <w:rsid w:val="00906897"/>
    <w:rsid w:val="009068E1"/>
    <w:rsid w:val="009068E3"/>
    <w:rsid w:val="00906D96"/>
    <w:rsid w:val="00906F0A"/>
    <w:rsid w:val="00907224"/>
    <w:rsid w:val="00907293"/>
    <w:rsid w:val="009072A7"/>
    <w:rsid w:val="009072DC"/>
    <w:rsid w:val="00907432"/>
    <w:rsid w:val="009074A2"/>
    <w:rsid w:val="00907716"/>
    <w:rsid w:val="0090774D"/>
    <w:rsid w:val="009077D5"/>
    <w:rsid w:val="009079C5"/>
    <w:rsid w:val="00907A8B"/>
    <w:rsid w:val="00907B13"/>
    <w:rsid w:val="00907CDC"/>
    <w:rsid w:val="00907ED0"/>
    <w:rsid w:val="00907F70"/>
    <w:rsid w:val="00907FF6"/>
    <w:rsid w:val="009100E7"/>
    <w:rsid w:val="009100F5"/>
    <w:rsid w:val="00910127"/>
    <w:rsid w:val="00910286"/>
    <w:rsid w:val="0091036E"/>
    <w:rsid w:val="009103FB"/>
    <w:rsid w:val="00910469"/>
    <w:rsid w:val="009105CC"/>
    <w:rsid w:val="0091069A"/>
    <w:rsid w:val="009106D1"/>
    <w:rsid w:val="009107BE"/>
    <w:rsid w:val="009107C2"/>
    <w:rsid w:val="009107DB"/>
    <w:rsid w:val="00910812"/>
    <w:rsid w:val="0091086C"/>
    <w:rsid w:val="009108E7"/>
    <w:rsid w:val="00910942"/>
    <w:rsid w:val="00910A79"/>
    <w:rsid w:val="00910BBB"/>
    <w:rsid w:val="00910BE2"/>
    <w:rsid w:val="00910C72"/>
    <w:rsid w:val="00910D50"/>
    <w:rsid w:val="00910D72"/>
    <w:rsid w:val="00910E34"/>
    <w:rsid w:val="00910E3E"/>
    <w:rsid w:val="00910E51"/>
    <w:rsid w:val="00910F35"/>
    <w:rsid w:val="00911125"/>
    <w:rsid w:val="00911132"/>
    <w:rsid w:val="00911181"/>
    <w:rsid w:val="00911278"/>
    <w:rsid w:val="009115C7"/>
    <w:rsid w:val="00911605"/>
    <w:rsid w:val="00911686"/>
    <w:rsid w:val="009116DB"/>
    <w:rsid w:val="0091173E"/>
    <w:rsid w:val="009118D3"/>
    <w:rsid w:val="00911998"/>
    <w:rsid w:val="00911A16"/>
    <w:rsid w:val="00911B6A"/>
    <w:rsid w:val="00911CA6"/>
    <w:rsid w:val="00911CAE"/>
    <w:rsid w:val="00911CE1"/>
    <w:rsid w:val="00911D93"/>
    <w:rsid w:val="00911F9C"/>
    <w:rsid w:val="00912014"/>
    <w:rsid w:val="00912067"/>
    <w:rsid w:val="009120B7"/>
    <w:rsid w:val="009120EC"/>
    <w:rsid w:val="009120F1"/>
    <w:rsid w:val="0091227D"/>
    <w:rsid w:val="0091229F"/>
    <w:rsid w:val="00912300"/>
    <w:rsid w:val="0091231D"/>
    <w:rsid w:val="0091239A"/>
    <w:rsid w:val="009123A2"/>
    <w:rsid w:val="009123F3"/>
    <w:rsid w:val="0091244D"/>
    <w:rsid w:val="0091253D"/>
    <w:rsid w:val="0091261B"/>
    <w:rsid w:val="0091262F"/>
    <w:rsid w:val="00912697"/>
    <w:rsid w:val="0091270A"/>
    <w:rsid w:val="009127D7"/>
    <w:rsid w:val="009127F4"/>
    <w:rsid w:val="00912A76"/>
    <w:rsid w:val="00912B81"/>
    <w:rsid w:val="00912E94"/>
    <w:rsid w:val="00912F8B"/>
    <w:rsid w:val="009130B5"/>
    <w:rsid w:val="00913184"/>
    <w:rsid w:val="009131D9"/>
    <w:rsid w:val="009131FD"/>
    <w:rsid w:val="00913296"/>
    <w:rsid w:val="009132B4"/>
    <w:rsid w:val="00913332"/>
    <w:rsid w:val="00913359"/>
    <w:rsid w:val="0091336E"/>
    <w:rsid w:val="0091339A"/>
    <w:rsid w:val="00913410"/>
    <w:rsid w:val="00913456"/>
    <w:rsid w:val="009134BD"/>
    <w:rsid w:val="009134F7"/>
    <w:rsid w:val="00913582"/>
    <w:rsid w:val="00913680"/>
    <w:rsid w:val="00913748"/>
    <w:rsid w:val="00913757"/>
    <w:rsid w:val="0091399F"/>
    <w:rsid w:val="00913AD7"/>
    <w:rsid w:val="00913B93"/>
    <w:rsid w:val="00913BDD"/>
    <w:rsid w:val="00913BE7"/>
    <w:rsid w:val="00913D27"/>
    <w:rsid w:val="00913E92"/>
    <w:rsid w:val="00914133"/>
    <w:rsid w:val="0091432A"/>
    <w:rsid w:val="00914385"/>
    <w:rsid w:val="009143C5"/>
    <w:rsid w:val="009143E6"/>
    <w:rsid w:val="00914434"/>
    <w:rsid w:val="009144BE"/>
    <w:rsid w:val="009144EB"/>
    <w:rsid w:val="00914535"/>
    <w:rsid w:val="009145F4"/>
    <w:rsid w:val="0091460C"/>
    <w:rsid w:val="00914658"/>
    <w:rsid w:val="00914791"/>
    <w:rsid w:val="009147B7"/>
    <w:rsid w:val="00914991"/>
    <w:rsid w:val="00914BF0"/>
    <w:rsid w:val="00914C19"/>
    <w:rsid w:val="00914D0D"/>
    <w:rsid w:val="00914E39"/>
    <w:rsid w:val="0091510E"/>
    <w:rsid w:val="0091514C"/>
    <w:rsid w:val="009152A6"/>
    <w:rsid w:val="00915389"/>
    <w:rsid w:val="00915390"/>
    <w:rsid w:val="009153CF"/>
    <w:rsid w:val="00915416"/>
    <w:rsid w:val="00915461"/>
    <w:rsid w:val="00915792"/>
    <w:rsid w:val="0091579A"/>
    <w:rsid w:val="009157DC"/>
    <w:rsid w:val="00915827"/>
    <w:rsid w:val="00915829"/>
    <w:rsid w:val="00915832"/>
    <w:rsid w:val="00915855"/>
    <w:rsid w:val="0091587F"/>
    <w:rsid w:val="00915929"/>
    <w:rsid w:val="00915B3F"/>
    <w:rsid w:val="00915B6A"/>
    <w:rsid w:val="00915B6D"/>
    <w:rsid w:val="00915C48"/>
    <w:rsid w:val="00915DB3"/>
    <w:rsid w:val="00915EBE"/>
    <w:rsid w:val="00915F47"/>
    <w:rsid w:val="0091601A"/>
    <w:rsid w:val="00916066"/>
    <w:rsid w:val="009160FB"/>
    <w:rsid w:val="009161F2"/>
    <w:rsid w:val="00916246"/>
    <w:rsid w:val="00916284"/>
    <w:rsid w:val="0091628B"/>
    <w:rsid w:val="009162A6"/>
    <w:rsid w:val="009162B7"/>
    <w:rsid w:val="00916331"/>
    <w:rsid w:val="0091644E"/>
    <w:rsid w:val="0091655D"/>
    <w:rsid w:val="00916624"/>
    <w:rsid w:val="0091664F"/>
    <w:rsid w:val="0091668E"/>
    <w:rsid w:val="009166B5"/>
    <w:rsid w:val="009168D4"/>
    <w:rsid w:val="009168DF"/>
    <w:rsid w:val="0091691C"/>
    <w:rsid w:val="0091694C"/>
    <w:rsid w:val="009169D0"/>
    <w:rsid w:val="00916AE9"/>
    <w:rsid w:val="00916AFF"/>
    <w:rsid w:val="00916C3D"/>
    <w:rsid w:val="00916C78"/>
    <w:rsid w:val="00916CFB"/>
    <w:rsid w:val="00916D17"/>
    <w:rsid w:val="00916D46"/>
    <w:rsid w:val="00916D62"/>
    <w:rsid w:val="00916D66"/>
    <w:rsid w:val="00916D67"/>
    <w:rsid w:val="00916DBB"/>
    <w:rsid w:val="00916F2E"/>
    <w:rsid w:val="00916FCB"/>
    <w:rsid w:val="00916FE4"/>
    <w:rsid w:val="00917097"/>
    <w:rsid w:val="009170A5"/>
    <w:rsid w:val="009171F2"/>
    <w:rsid w:val="0091734C"/>
    <w:rsid w:val="0091745C"/>
    <w:rsid w:val="00917824"/>
    <w:rsid w:val="0091784E"/>
    <w:rsid w:val="0091787F"/>
    <w:rsid w:val="00917899"/>
    <w:rsid w:val="00917923"/>
    <w:rsid w:val="0091799C"/>
    <w:rsid w:val="009179E9"/>
    <w:rsid w:val="00917A7F"/>
    <w:rsid w:val="00917AA6"/>
    <w:rsid w:val="00917AD1"/>
    <w:rsid w:val="00917AD9"/>
    <w:rsid w:val="00917C0C"/>
    <w:rsid w:val="00917D9E"/>
    <w:rsid w:val="00917DFF"/>
    <w:rsid w:val="00917ECB"/>
    <w:rsid w:val="00917F4F"/>
    <w:rsid w:val="00917FD2"/>
    <w:rsid w:val="00920047"/>
    <w:rsid w:val="00920075"/>
    <w:rsid w:val="00920102"/>
    <w:rsid w:val="00920114"/>
    <w:rsid w:val="00920171"/>
    <w:rsid w:val="00920257"/>
    <w:rsid w:val="009203AF"/>
    <w:rsid w:val="0092054A"/>
    <w:rsid w:val="0092069C"/>
    <w:rsid w:val="009206DB"/>
    <w:rsid w:val="00920839"/>
    <w:rsid w:val="009208C8"/>
    <w:rsid w:val="009208E3"/>
    <w:rsid w:val="00920A00"/>
    <w:rsid w:val="00920A4C"/>
    <w:rsid w:val="00920B6A"/>
    <w:rsid w:val="00920D1F"/>
    <w:rsid w:val="00920D31"/>
    <w:rsid w:val="00920DB0"/>
    <w:rsid w:val="00920ED8"/>
    <w:rsid w:val="00920FA4"/>
    <w:rsid w:val="0092101D"/>
    <w:rsid w:val="00921075"/>
    <w:rsid w:val="0092125E"/>
    <w:rsid w:val="00921367"/>
    <w:rsid w:val="00921372"/>
    <w:rsid w:val="0092149B"/>
    <w:rsid w:val="00921565"/>
    <w:rsid w:val="009215C9"/>
    <w:rsid w:val="0092162B"/>
    <w:rsid w:val="0092184F"/>
    <w:rsid w:val="009218E3"/>
    <w:rsid w:val="009219D9"/>
    <w:rsid w:val="00921A0E"/>
    <w:rsid w:val="00921B62"/>
    <w:rsid w:val="00921C79"/>
    <w:rsid w:val="00921E3C"/>
    <w:rsid w:val="00921F06"/>
    <w:rsid w:val="00921F82"/>
    <w:rsid w:val="00921F99"/>
    <w:rsid w:val="0092213C"/>
    <w:rsid w:val="00922155"/>
    <w:rsid w:val="009221B7"/>
    <w:rsid w:val="009221BA"/>
    <w:rsid w:val="009222F5"/>
    <w:rsid w:val="00922305"/>
    <w:rsid w:val="0092239E"/>
    <w:rsid w:val="00922417"/>
    <w:rsid w:val="00922472"/>
    <w:rsid w:val="009224D6"/>
    <w:rsid w:val="009224DB"/>
    <w:rsid w:val="00922533"/>
    <w:rsid w:val="0092258F"/>
    <w:rsid w:val="009225AD"/>
    <w:rsid w:val="00922626"/>
    <w:rsid w:val="009226EE"/>
    <w:rsid w:val="0092277E"/>
    <w:rsid w:val="009227D5"/>
    <w:rsid w:val="0092286D"/>
    <w:rsid w:val="0092288B"/>
    <w:rsid w:val="00922906"/>
    <w:rsid w:val="00922923"/>
    <w:rsid w:val="009229AD"/>
    <w:rsid w:val="009229DA"/>
    <w:rsid w:val="00922AF2"/>
    <w:rsid w:val="00922D41"/>
    <w:rsid w:val="00922F3A"/>
    <w:rsid w:val="00922FDE"/>
    <w:rsid w:val="00922FE7"/>
    <w:rsid w:val="00923079"/>
    <w:rsid w:val="009231B5"/>
    <w:rsid w:val="009231D9"/>
    <w:rsid w:val="009231E7"/>
    <w:rsid w:val="0092320C"/>
    <w:rsid w:val="0092322F"/>
    <w:rsid w:val="009232DC"/>
    <w:rsid w:val="00923333"/>
    <w:rsid w:val="00923539"/>
    <w:rsid w:val="00923780"/>
    <w:rsid w:val="00923892"/>
    <w:rsid w:val="009239FA"/>
    <w:rsid w:val="00923C07"/>
    <w:rsid w:val="00923C79"/>
    <w:rsid w:val="00923C9E"/>
    <w:rsid w:val="00923D29"/>
    <w:rsid w:val="00923D60"/>
    <w:rsid w:val="00923D6C"/>
    <w:rsid w:val="00923E0D"/>
    <w:rsid w:val="00923E18"/>
    <w:rsid w:val="00923ED3"/>
    <w:rsid w:val="00923EE6"/>
    <w:rsid w:val="00923F12"/>
    <w:rsid w:val="00923F2A"/>
    <w:rsid w:val="009240B9"/>
    <w:rsid w:val="0092411F"/>
    <w:rsid w:val="00924230"/>
    <w:rsid w:val="00924485"/>
    <w:rsid w:val="009244FC"/>
    <w:rsid w:val="009246CF"/>
    <w:rsid w:val="00924856"/>
    <w:rsid w:val="0092487C"/>
    <w:rsid w:val="009249A9"/>
    <w:rsid w:val="00924A23"/>
    <w:rsid w:val="00924B49"/>
    <w:rsid w:val="00924BBA"/>
    <w:rsid w:val="00924CD4"/>
    <w:rsid w:val="00924E67"/>
    <w:rsid w:val="00924F4C"/>
    <w:rsid w:val="0092510C"/>
    <w:rsid w:val="009251DE"/>
    <w:rsid w:val="0092521B"/>
    <w:rsid w:val="0092553B"/>
    <w:rsid w:val="009255F4"/>
    <w:rsid w:val="009255F5"/>
    <w:rsid w:val="00925664"/>
    <w:rsid w:val="009259B6"/>
    <w:rsid w:val="00925AD1"/>
    <w:rsid w:val="00925B52"/>
    <w:rsid w:val="00925BED"/>
    <w:rsid w:val="00925D27"/>
    <w:rsid w:val="00925DC3"/>
    <w:rsid w:val="00925E45"/>
    <w:rsid w:val="009260D0"/>
    <w:rsid w:val="009260DE"/>
    <w:rsid w:val="009261C9"/>
    <w:rsid w:val="009262E0"/>
    <w:rsid w:val="0092633F"/>
    <w:rsid w:val="00926402"/>
    <w:rsid w:val="0092640A"/>
    <w:rsid w:val="00926452"/>
    <w:rsid w:val="00926649"/>
    <w:rsid w:val="009266AE"/>
    <w:rsid w:val="009267F7"/>
    <w:rsid w:val="00926A07"/>
    <w:rsid w:val="00926A1F"/>
    <w:rsid w:val="00926A64"/>
    <w:rsid w:val="00926A9F"/>
    <w:rsid w:val="00926AC2"/>
    <w:rsid w:val="00926B3B"/>
    <w:rsid w:val="00926BF5"/>
    <w:rsid w:val="00926D37"/>
    <w:rsid w:val="00926F7D"/>
    <w:rsid w:val="009270C5"/>
    <w:rsid w:val="009272C9"/>
    <w:rsid w:val="009273C8"/>
    <w:rsid w:val="0092741B"/>
    <w:rsid w:val="00927479"/>
    <w:rsid w:val="009274AA"/>
    <w:rsid w:val="00927643"/>
    <w:rsid w:val="00927703"/>
    <w:rsid w:val="009277B9"/>
    <w:rsid w:val="009277FD"/>
    <w:rsid w:val="00927936"/>
    <w:rsid w:val="0092793F"/>
    <w:rsid w:val="00927AF8"/>
    <w:rsid w:val="00927B86"/>
    <w:rsid w:val="00927C46"/>
    <w:rsid w:val="00927C65"/>
    <w:rsid w:val="00927DCE"/>
    <w:rsid w:val="00927F83"/>
    <w:rsid w:val="0093000D"/>
    <w:rsid w:val="0093008E"/>
    <w:rsid w:val="00930175"/>
    <w:rsid w:val="00930197"/>
    <w:rsid w:val="009301E2"/>
    <w:rsid w:val="00930226"/>
    <w:rsid w:val="00930258"/>
    <w:rsid w:val="009302B2"/>
    <w:rsid w:val="00930302"/>
    <w:rsid w:val="009303A5"/>
    <w:rsid w:val="009303E5"/>
    <w:rsid w:val="009304BA"/>
    <w:rsid w:val="009305FA"/>
    <w:rsid w:val="0093070F"/>
    <w:rsid w:val="009307C0"/>
    <w:rsid w:val="009307C9"/>
    <w:rsid w:val="009307DC"/>
    <w:rsid w:val="0093093B"/>
    <w:rsid w:val="009309A7"/>
    <w:rsid w:val="00930A39"/>
    <w:rsid w:val="00930B74"/>
    <w:rsid w:val="00930BAC"/>
    <w:rsid w:val="00930C9C"/>
    <w:rsid w:val="00930C9F"/>
    <w:rsid w:val="00930CE0"/>
    <w:rsid w:val="00930E2B"/>
    <w:rsid w:val="00930EDC"/>
    <w:rsid w:val="00930F4B"/>
    <w:rsid w:val="00930F58"/>
    <w:rsid w:val="00930FE5"/>
    <w:rsid w:val="00931174"/>
    <w:rsid w:val="009311F3"/>
    <w:rsid w:val="009313DC"/>
    <w:rsid w:val="00931494"/>
    <w:rsid w:val="00931518"/>
    <w:rsid w:val="00931598"/>
    <w:rsid w:val="009315FB"/>
    <w:rsid w:val="00931710"/>
    <w:rsid w:val="009317D9"/>
    <w:rsid w:val="00931811"/>
    <w:rsid w:val="00931840"/>
    <w:rsid w:val="00931860"/>
    <w:rsid w:val="00931907"/>
    <w:rsid w:val="00931964"/>
    <w:rsid w:val="009319E1"/>
    <w:rsid w:val="00931B99"/>
    <w:rsid w:val="00931BA6"/>
    <w:rsid w:val="00931BD0"/>
    <w:rsid w:val="00931C1C"/>
    <w:rsid w:val="00931E8A"/>
    <w:rsid w:val="00931ED7"/>
    <w:rsid w:val="00931F84"/>
    <w:rsid w:val="0093203C"/>
    <w:rsid w:val="00932084"/>
    <w:rsid w:val="00932113"/>
    <w:rsid w:val="00932143"/>
    <w:rsid w:val="0093255F"/>
    <w:rsid w:val="00932629"/>
    <w:rsid w:val="00932687"/>
    <w:rsid w:val="0093271D"/>
    <w:rsid w:val="009327B0"/>
    <w:rsid w:val="009327BC"/>
    <w:rsid w:val="009327E8"/>
    <w:rsid w:val="009328D0"/>
    <w:rsid w:val="009328FF"/>
    <w:rsid w:val="00932A15"/>
    <w:rsid w:val="00932BAA"/>
    <w:rsid w:val="00932CE1"/>
    <w:rsid w:val="00932D20"/>
    <w:rsid w:val="00932DDF"/>
    <w:rsid w:val="00932F30"/>
    <w:rsid w:val="00932FFB"/>
    <w:rsid w:val="00933002"/>
    <w:rsid w:val="00933241"/>
    <w:rsid w:val="00933286"/>
    <w:rsid w:val="00933346"/>
    <w:rsid w:val="0093335F"/>
    <w:rsid w:val="00933376"/>
    <w:rsid w:val="009335A1"/>
    <w:rsid w:val="009335FE"/>
    <w:rsid w:val="00933890"/>
    <w:rsid w:val="0093399A"/>
    <w:rsid w:val="00933AD2"/>
    <w:rsid w:val="00933B92"/>
    <w:rsid w:val="00933D49"/>
    <w:rsid w:val="00933DED"/>
    <w:rsid w:val="00933EE1"/>
    <w:rsid w:val="009341CA"/>
    <w:rsid w:val="009341CD"/>
    <w:rsid w:val="009341D2"/>
    <w:rsid w:val="0093420D"/>
    <w:rsid w:val="00934287"/>
    <w:rsid w:val="009342D8"/>
    <w:rsid w:val="0093432E"/>
    <w:rsid w:val="00934353"/>
    <w:rsid w:val="009344B5"/>
    <w:rsid w:val="009344EA"/>
    <w:rsid w:val="0093458C"/>
    <w:rsid w:val="0093467C"/>
    <w:rsid w:val="00934873"/>
    <w:rsid w:val="00934970"/>
    <w:rsid w:val="009349D3"/>
    <w:rsid w:val="00934A68"/>
    <w:rsid w:val="00934A7E"/>
    <w:rsid w:val="00934EA3"/>
    <w:rsid w:val="00934EF7"/>
    <w:rsid w:val="00934F94"/>
    <w:rsid w:val="00934F97"/>
    <w:rsid w:val="00934FD8"/>
    <w:rsid w:val="00935095"/>
    <w:rsid w:val="009350D8"/>
    <w:rsid w:val="009350F0"/>
    <w:rsid w:val="0093521A"/>
    <w:rsid w:val="0093525A"/>
    <w:rsid w:val="009352E7"/>
    <w:rsid w:val="009355A7"/>
    <w:rsid w:val="00935720"/>
    <w:rsid w:val="0093575C"/>
    <w:rsid w:val="009359E0"/>
    <w:rsid w:val="00935A8B"/>
    <w:rsid w:val="00935AB8"/>
    <w:rsid w:val="00935B94"/>
    <w:rsid w:val="00935C84"/>
    <w:rsid w:val="00935D76"/>
    <w:rsid w:val="00935E89"/>
    <w:rsid w:val="009360A1"/>
    <w:rsid w:val="009360AB"/>
    <w:rsid w:val="009360CC"/>
    <w:rsid w:val="009361CC"/>
    <w:rsid w:val="00936217"/>
    <w:rsid w:val="009362D7"/>
    <w:rsid w:val="009363F4"/>
    <w:rsid w:val="009365F1"/>
    <w:rsid w:val="00936752"/>
    <w:rsid w:val="009369E8"/>
    <w:rsid w:val="00936A68"/>
    <w:rsid w:val="00936B3B"/>
    <w:rsid w:val="00936B3F"/>
    <w:rsid w:val="00936BD9"/>
    <w:rsid w:val="00936C12"/>
    <w:rsid w:val="00936C50"/>
    <w:rsid w:val="00936C5F"/>
    <w:rsid w:val="00936D4C"/>
    <w:rsid w:val="00936E06"/>
    <w:rsid w:val="00936EDD"/>
    <w:rsid w:val="00936F5F"/>
    <w:rsid w:val="00936F90"/>
    <w:rsid w:val="00937026"/>
    <w:rsid w:val="009370BA"/>
    <w:rsid w:val="00937133"/>
    <w:rsid w:val="00937274"/>
    <w:rsid w:val="00937418"/>
    <w:rsid w:val="00937587"/>
    <w:rsid w:val="009375B4"/>
    <w:rsid w:val="009375F2"/>
    <w:rsid w:val="0093761D"/>
    <w:rsid w:val="00937650"/>
    <w:rsid w:val="00937744"/>
    <w:rsid w:val="0093797B"/>
    <w:rsid w:val="00937A22"/>
    <w:rsid w:val="00937AAB"/>
    <w:rsid w:val="00937D1D"/>
    <w:rsid w:val="00937DBF"/>
    <w:rsid w:val="00937EFC"/>
    <w:rsid w:val="00937F53"/>
    <w:rsid w:val="00937FAD"/>
    <w:rsid w:val="0094005C"/>
    <w:rsid w:val="009400AD"/>
    <w:rsid w:val="00940178"/>
    <w:rsid w:val="0094020D"/>
    <w:rsid w:val="0094055C"/>
    <w:rsid w:val="0094067B"/>
    <w:rsid w:val="0094085B"/>
    <w:rsid w:val="009408EB"/>
    <w:rsid w:val="00940A70"/>
    <w:rsid w:val="00940B41"/>
    <w:rsid w:val="00940BBF"/>
    <w:rsid w:val="00940C48"/>
    <w:rsid w:val="00940CB5"/>
    <w:rsid w:val="00940D1E"/>
    <w:rsid w:val="00940D36"/>
    <w:rsid w:val="00940D79"/>
    <w:rsid w:val="00940DC1"/>
    <w:rsid w:val="00940F51"/>
    <w:rsid w:val="00941002"/>
    <w:rsid w:val="00941113"/>
    <w:rsid w:val="00941129"/>
    <w:rsid w:val="009414A2"/>
    <w:rsid w:val="009415E6"/>
    <w:rsid w:val="0094170E"/>
    <w:rsid w:val="0094172D"/>
    <w:rsid w:val="009417AA"/>
    <w:rsid w:val="009417C0"/>
    <w:rsid w:val="009417F8"/>
    <w:rsid w:val="009418FA"/>
    <w:rsid w:val="009419A4"/>
    <w:rsid w:val="009419FA"/>
    <w:rsid w:val="00941A65"/>
    <w:rsid w:val="00941B11"/>
    <w:rsid w:val="00941B49"/>
    <w:rsid w:val="00941B72"/>
    <w:rsid w:val="00941CA3"/>
    <w:rsid w:val="0094212A"/>
    <w:rsid w:val="00942155"/>
    <w:rsid w:val="0094219F"/>
    <w:rsid w:val="00942307"/>
    <w:rsid w:val="0094266C"/>
    <w:rsid w:val="0094289C"/>
    <w:rsid w:val="0094290A"/>
    <w:rsid w:val="00942936"/>
    <w:rsid w:val="0094294D"/>
    <w:rsid w:val="00942A0E"/>
    <w:rsid w:val="00942A28"/>
    <w:rsid w:val="00942A3B"/>
    <w:rsid w:val="00942A7D"/>
    <w:rsid w:val="00942B89"/>
    <w:rsid w:val="00942BC9"/>
    <w:rsid w:val="00942C07"/>
    <w:rsid w:val="00942CA2"/>
    <w:rsid w:val="00942DF3"/>
    <w:rsid w:val="00942F71"/>
    <w:rsid w:val="009435AE"/>
    <w:rsid w:val="0094360A"/>
    <w:rsid w:val="009436CA"/>
    <w:rsid w:val="00943786"/>
    <w:rsid w:val="009437DD"/>
    <w:rsid w:val="00943AAC"/>
    <w:rsid w:val="00943B13"/>
    <w:rsid w:val="00943BD2"/>
    <w:rsid w:val="00943CC4"/>
    <w:rsid w:val="00943D47"/>
    <w:rsid w:val="00943D57"/>
    <w:rsid w:val="00943E9F"/>
    <w:rsid w:val="0094413F"/>
    <w:rsid w:val="00944442"/>
    <w:rsid w:val="0094447A"/>
    <w:rsid w:val="009444A9"/>
    <w:rsid w:val="0094450B"/>
    <w:rsid w:val="0094454F"/>
    <w:rsid w:val="0094467F"/>
    <w:rsid w:val="009447F0"/>
    <w:rsid w:val="00944A2B"/>
    <w:rsid w:val="00944AB4"/>
    <w:rsid w:val="00944C66"/>
    <w:rsid w:val="00944CDD"/>
    <w:rsid w:val="00944D9D"/>
    <w:rsid w:val="00944E48"/>
    <w:rsid w:val="00944E61"/>
    <w:rsid w:val="00944EB3"/>
    <w:rsid w:val="00945035"/>
    <w:rsid w:val="009450AF"/>
    <w:rsid w:val="0094515E"/>
    <w:rsid w:val="0094527E"/>
    <w:rsid w:val="009452C1"/>
    <w:rsid w:val="009452D3"/>
    <w:rsid w:val="009452F3"/>
    <w:rsid w:val="009453F8"/>
    <w:rsid w:val="00945425"/>
    <w:rsid w:val="0094543E"/>
    <w:rsid w:val="0094556A"/>
    <w:rsid w:val="009456DC"/>
    <w:rsid w:val="009456ED"/>
    <w:rsid w:val="00945703"/>
    <w:rsid w:val="00945706"/>
    <w:rsid w:val="0094575E"/>
    <w:rsid w:val="00945A3A"/>
    <w:rsid w:val="00945B47"/>
    <w:rsid w:val="00945B9C"/>
    <w:rsid w:val="00945DAD"/>
    <w:rsid w:val="00945E15"/>
    <w:rsid w:val="00945E3A"/>
    <w:rsid w:val="00945F38"/>
    <w:rsid w:val="00945F63"/>
    <w:rsid w:val="0094603F"/>
    <w:rsid w:val="00946082"/>
    <w:rsid w:val="0094610B"/>
    <w:rsid w:val="00946213"/>
    <w:rsid w:val="00946261"/>
    <w:rsid w:val="00946305"/>
    <w:rsid w:val="0094631C"/>
    <w:rsid w:val="00946461"/>
    <w:rsid w:val="009464AF"/>
    <w:rsid w:val="009464D8"/>
    <w:rsid w:val="00946650"/>
    <w:rsid w:val="00946761"/>
    <w:rsid w:val="00946821"/>
    <w:rsid w:val="00946960"/>
    <w:rsid w:val="00946AA9"/>
    <w:rsid w:val="00946AE0"/>
    <w:rsid w:val="00946B6F"/>
    <w:rsid w:val="00946D10"/>
    <w:rsid w:val="00946E5D"/>
    <w:rsid w:val="00946F46"/>
    <w:rsid w:val="00946FA0"/>
    <w:rsid w:val="00946FE5"/>
    <w:rsid w:val="00947175"/>
    <w:rsid w:val="009473EE"/>
    <w:rsid w:val="009473F9"/>
    <w:rsid w:val="00947477"/>
    <w:rsid w:val="00947537"/>
    <w:rsid w:val="009475F3"/>
    <w:rsid w:val="009476C5"/>
    <w:rsid w:val="00947753"/>
    <w:rsid w:val="00947765"/>
    <w:rsid w:val="009477B7"/>
    <w:rsid w:val="009477C9"/>
    <w:rsid w:val="00947A66"/>
    <w:rsid w:val="00947AA2"/>
    <w:rsid w:val="00947AB7"/>
    <w:rsid w:val="00947B52"/>
    <w:rsid w:val="00947B88"/>
    <w:rsid w:val="00947BB1"/>
    <w:rsid w:val="00947C54"/>
    <w:rsid w:val="00947CBB"/>
    <w:rsid w:val="00947CD9"/>
    <w:rsid w:val="00947D79"/>
    <w:rsid w:val="00947DBB"/>
    <w:rsid w:val="00947E55"/>
    <w:rsid w:val="00947E65"/>
    <w:rsid w:val="00947E9D"/>
    <w:rsid w:val="00947EAD"/>
    <w:rsid w:val="00947ED7"/>
    <w:rsid w:val="00947FB7"/>
    <w:rsid w:val="00947FED"/>
    <w:rsid w:val="0095004C"/>
    <w:rsid w:val="0095006D"/>
    <w:rsid w:val="00950080"/>
    <w:rsid w:val="00950134"/>
    <w:rsid w:val="00950157"/>
    <w:rsid w:val="009502AB"/>
    <w:rsid w:val="009502F5"/>
    <w:rsid w:val="00950527"/>
    <w:rsid w:val="009507A2"/>
    <w:rsid w:val="00950A16"/>
    <w:rsid w:val="00950B5E"/>
    <w:rsid w:val="00950C5F"/>
    <w:rsid w:val="00950CA1"/>
    <w:rsid w:val="00950CA4"/>
    <w:rsid w:val="00950E36"/>
    <w:rsid w:val="00950E7F"/>
    <w:rsid w:val="00950EF8"/>
    <w:rsid w:val="00950F2F"/>
    <w:rsid w:val="009510CB"/>
    <w:rsid w:val="00951114"/>
    <w:rsid w:val="00951123"/>
    <w:rsid w:val="00951200"/>
    <w:rsid w:val="009512AE"/>
    <w:rsid w:val="009513BE"/>
    <w:rsid w:val="009513C9"/>
    <w:rsid w:val="009515E1"/>
    <w:rsid w:val="0095163C"/>
    <w:rsid w:val="00951738"/>
    <w:rsid w:val="009517B4"/>
    <w:rsid w:val="009517DC"/>
    <w:rsid w:val="00951863"/>
    <w:rsid w:val="0095198A"/>
    <w:rsid w:val="00951A3E"/>
    <w:rsid w:val="00951AC4"/>
    <w:rsid w:val="00951B3A"/>
    <w:rsid w:val="00951B7F"/>
    <w:rsid w:val="00951BBE"/>
    <w:rsid w:val="00951BE9"/>
    <w:rsid w:val="00951C93"/>
    <w:rsid w:val="00951D2A"/>
    <w:rsid w:val="00951DA1"/>
    <w:rsid w:val="00951DBD"/>
    <w:rsid w:val="00951DE6"/>
    <w:rsid w:val="00951DED"/>
    <w:rsid w:val="00951F40"/>
    <w:rsid w:val="00951F68"/>
    <w:rsid w:val="00951F70"/>
    <w:rsid w:val="0095201A"/>
    <w:rsid w:val="009520B5"/>
    <w:rsid w:val="009520E8"/>
    <w:rsid w:val="00952102"/>
    <w:rsid w:val="0095210E"/>
    <w:rsid w:val="009521A2"/>
    <w:rsid w:val="009521E0"/>
    <w:rsid w:val="009522D5"/>
    <w:rsid w:val="009522E6"/>
    <w:rsid w:val="0095232B"/>
    <w:rsid w:val="00952353"/>
    <w:rsid w:val="00952726"/>
    <w:rsid w:val="00952734"/>
    <w:rsid w:val="0095276C"/>
    <w:rsid w:val="00952B12"/>
    <w:rsid w:val="00952B29"/>
    <w:rsid w:val="00952BA7"/>
    <w:rsid w:val="00952C5D"/>
    <w:rsid w:val="00953072"/>
    <w:rsid w:val="0095307A"/>
    <w:rsid w:val="009531D2"/>
    <w:rsid w:val="009531ED"/>
    <w:rsid w:val="00953209"/>
    <w:rsid w:val="009532A2"/>
    <w:rsid w:val="009532CC"/>
    <w:rsid w:val="00953374"/>
    <w:rsid w:val="009534DE"/>
    <w:rsid w:val="009534E2"/>
    <w:rsid w:val="009534F2"/>
    <w:rsid w:val="0095353F"/>
    <w:rsid w:val="0095354C"/>
    <w:rsid w:val="00953593"/>
    <w:rsid w:val="009536A7"/>
    <w:rsid w:val="009536F8"/>
    <w:rsid w:val="00953882"/>
    <w:rsid w:val="009538CE"/>
    <w:rsid w:val="009538FD"/>
    <w:rsid w:val="00953A55"/>
    <w:rsid w:val="00953AE4"/>
    <w:rsid w:val="00953B36"/>
    <w:rsid w:val="00953C3E"/>
    <w:rsid w:val="00953D98"/>
    <w:rsid w:val="00953E21"/>
    <w:rsid w:val="00953F91"/>
    <w:rsid w:val="009540AE"/>
    <w:rsid w:val="00954131"/>
    <w:rsid w:val="009542AB"/>
    <w:rsid w:val="00954499"/>
    <w:rsid w:val="009547D5"/>
    <w:rsid w:val="00954803"/>
    <w:rsid w:val="00954A1B"/>
    <w:rsid w:val="00954A92"/>
    <w:rsid w:val="00954B00"/>
    <w:rsid w:val="00954C55"/>
    <w:rsid w:val="00954D00"/>
    <w:rsid w:val="00954D6D"/>
    <w:rsid w:val="00954DAB"/>
    <w:rsid w:val="00954F80"/>
    <w:rsid w:val="00954FE2"/>
    <w:rsid w:val="009553D7"/>
    <w:rsid w:val="00955404"/>
    <w:rsid w:val="0095553E"/>
    <w:rsid w:val="00955777"/>
    <w:rsid w:val="00955905"/>
    <w:rsid w:val="00955A7A"/>
    <w:rsid w:val="00955AB8"/>
    <w:rsid w:val="00955AF0"/>
    <w:rsid w:val="00955CE6"/>
    <w:rsid w:val="00955DF8"/>
    <w:rsid w:val="00955F98"/>
    <w:rsid w:val="00956065"/>
    <w:rsid w:val="009560AF"/>
    <w:rsid w:val="009561E9"/>
    <w:rsid w:val="0095622E"/>
    <w:rsid w:val="00956236"/>
    <w:rsid w:val="00956268"/>
    <w:rsid w:val="0095629C"/>
    <w:rsid w:val="009562CF"/>
    <w:rsid w:val="00956449"/>
    <w:rsid w:val="009564E1"/>
    <w:rsid w:val="00956555"/>
    <w:rsid w:val="00956576"/>
    <w:rsid w:val="0095657B"/>
    <w:rsid w:val="0095665B"/>
    <w:rsid w:val="009567E2"/>
    <w:rsid w:val="009567FF"/>
    <w:rsid w:val="0095681D"/>
    <w:rsid w:val="00956992"/>
    <w:rsid w:val="009569F3"/>
    <w:rsid w:val="009569FF"/>
    <w:rsid w:val="00956C61"/>
    <w:rsid w:val="00956CA2"/>
    <w:rsid w:val="00956DBC"/>
    <w:rsid w:val="00956F12"/>
    <w:rsid w:val="00956F25"/>
    <w:rsid w:val="00956F93"/>
    <w:rsid w:val="009571EB"/>
    <w:rsid w:val="009572A3"/>
    <w:rsid w:val="0095741C"/>
    <w:rsid w:val="00957425"/>
    <w:rsid w:val="009574A4"/>
    <w:rsid w:val="009574EC"/>
    <w:rsid w:val="0095773C"/>
    <w:rsid w:val="0095784D"/>
    <w:rsid w:val="009578C4"/>
    <w:rsid w:val="009578EC"/>
    <w:rsid w:val="00957917"/>
    <w:rsid w:val="00957B84"/>
    <w:rsid w:val="00957BA0"/>
    <w:rsid w:val="00957CBB"/>
    <w:rsid w:val="00957CF6"/>
    <w:rsid w:val="00957D6C"/>
    <w:rsid w:val="0096009E"/>
    <w:rsid w:val="00960147"/>
    <w:rsid w:val="00960221"/>
    <w:rsid w:val="009602C2"/>
    <w:rsid w:val="00960422"/>
    <w:rsid w:val="0096044D"/>
    <w:rsid w:val="0096045F"/>
    <w:rsid w:val="00960561"/>
    <w:rsid w:val="00960588"/>
    <w:rsid w:val="0096061E"/>
    <w:rsid w:val="00960624"/>
    <w:rsid w:val="009606D1"/>
    <w:rsid w:val="009607DD"/>
    <w:rsid w:val="009607F6"/>
    <w:rsid w:val="00960893"/>
    <w:rsid w:val="00960911"/>
    <w:rsid w:val="00960928"/>
    <w:rsid w:val="00960955"/>
    <w:rsid w:val="00960B80"/>
    <w:rsid w:val="00960BA2"/>
    <w:rsid w:val="00960C0F"/>
    <w:rsid w:val="00960DCA"/>
    <w:rsid w:val="00960DD6"/>
    <w:rsid w:val="0096113B"/>
    <w:rsid w:val="0096125B"/>
    <w:rsid w:val="00961661"/>
    <w:rsid w:val="009617BB"/>
    <w:rsid w:val="0096189F"/>
    <w:rsid w:val="0096191D"/>
    <w:rsid w:val="00961A22"/>
    <w:rsid w:val="00961B30"/>
    <w:rsid w:val="00961B32"/>
    <w:rsid w:val="00961C20"/>
    <w:rsid w:val="00961C98"/>
    <w:rsid w:val="00961D1D"/>
    <w:rsid w:val="00961E28"/>
    <w:rsid w:val="00961E2D"/>
    <w:rsid w:val="00961E3B"/>
    <w:rsid w:val="00962145"/>
    <w:rsid w:val="009621D4"/>
    <w:rsid w:val="00962239"/>
    <w:rsid w:val="00962243"/>
    <w:rsid w:val="009622DD"/>
    <w:rsid w:val="0096232C"/>
    <w:rsid w:val="0096234C"/>
    <w:rsid w:val="0096239F"/>
    <w:rsid w:val="00962489"/>
    <w:rsid w:val="0096248C"/>
    <w:rsid w:val="009624C0"/>
    <w:rsid w:val="009624D9"/>
    <w:rsid w:val="00962598"/>
    <w:rsid w:val="009626C0"/>
    <w:rsid w:val="009626C2"/>
    <w:rsid w:val="009627DF"/>
    <w:rsid w:val="00962809"/>
    <w:rsid w:val="009629D3"/>
    <w:rsid w:val="00962A8A"/>
    <w:rsid w:val="00962AED"/>
    <w:rsid w:val="00962B12"/>
    <w:rsid w:val="00962B2A"/>
    <w:rsid w:val="00962B6B"/>
    <w:rsid w:val="00962BA8"/>
    <w:rsid w:val="00962C79"/>
    <w:rsid w:val="00962D95"/>
    <w:rsid w:val="009630B2"/>
    <w:rsid w:val="00963149"/>
    <w:rsid w:val="0096329D"/>
    <w:rsid w:val="00963475"/>
    <w:rsid w:val="00963485"/>
    <w:rsid w:val="009634F8"/>
    <w:rsid w:val="00963559"/>
    <w:rsid w:val="009636B9"/>
    <w:rsid w:val="009636F8"/>
    <w:rsid w:val="0096371B"/>
    <w:rsid w:val="00963732"/>
    <w:rsid w:val="009637D0"/>
    <w:rsid w:val="009639E8"/>
    <w:rsid w:val="00963B35"/>
    <w:rsid w:val="00963BCE"/>
    <w:rsid w:val="00963BCF"/>
    <w:rsid w:val="00963C81"/>
    <w:rsid w:val="00963CBD"/>
    <w:rsid w:val="00963E86"/>
    <w:rsid w:val="00963F0F"/>
    <w:rsid w:val="0096407D"/>
    <w:rsid w:val="009642CE"/>
    <w:rsid w:val="00964374"/>
    <w:rsid w:val="00964379"/>
    <w:rsid w:val="009643A2"/>
    <w:rsid w:val="0096446B"/>
    <w:rsid w:val="009644D7"/>
    <w:rsid w:val="00964514"/>
    <w:rsid w:val="009646B3"/>
    <w:rsid w:val="0096475E"/>
    <w:rsid w:val="009647C3"/>
    <w:rsid w:val="0096483E"/>
    <w:rsid w:val="009648E9"/>
    <w:rsid w:val="00964906"/>
    <w:rsid w:val="00964920"/>
    <w:rsid w:val="00964B38"/>
    <w:rsid w:val="00964B4F"/>
    <w:rsid w:val="00964C95"/>
    <w:rsid w:val="00964D23"/>
    <w:rsid w:val="00964D91"/>
    <w:rsid w:val="00964E26"/>
    <w:rsid w:val="00965011"/>
    <w:rsid w:val="0096514F"/>
    <w:rsid w:val="009651FA"/>
    <w:rsid w:val="009652B7"/>
    <w:rsid w:val="009652F2"/>
    <w:rsid w:val="00965586"/>
    <w:rsid w:val="009655B7"/>
    <w:rsid w:val="00965792"/>
    <w:rsid w:val="009657EA"/>
    <w:rsid w:val="0096588D"/>
    <w:rsid w:val="009658C3"/>
    <w:rsid w:val="00965940"/>
    <w:rsid w:val="0096597B"/>
    <w:rsid w:val="009659D0"/>
    <w:rsid w:val="009659E9"/>
    <w:rsid w:val="00965C11"/>
    <w:rsid w:val="00965CCD"/>
    <w:rsid w:val="00965DC6"/>
    <w:rsid w:val="00965DE4"/>
    <w:rsid w:val="00965F8B"/>
    <w:rsid w:val="00965FAC"/>
    <w:rsid w:val="00966018"/>
    <w:rsid w:val="00966138"/>
    <w:rsid w:val="00966166"/>
    <w:rsid w:val="00966347"/>
    <w:rsid w:val="00966458"/>
    <w:rsid w:val="0096653B"/>
    <w:rsid w:val="0096670D"/>
    <w:rsid w:val="00966763"/>
    <w:rsid w:val="0096680F"/>
    <w:rsid w:val="00966820"/>
    <w:rsid w:val="00966846"/>
    <w:rsid w:val="009668A0"/>
    <w:rsid w:val="009668E1"/>
    <w:rsid w:val="00966B1E"/>
    <w:rsid w:val="00966B3B"/>
    <w:rsid w:val="00966B46"/>
    <w:rsid w:val="00966B56"/>
    <w:rsid w:val="00966D70"/>
    <w:rsid w:val="00967061"/>
    <w:rsid w:val="009670F1"/>
    <w:rsid w:val="009671CA"/>
    <w:rsid w:val="009671F2"/>
    <w:rsid w:val="009671FF"/>
    <w:rsid w:val="0096723E"/>
    <w:rsid w:val="00967376"/>
    <w:rsid w:val="009673A4"/>
    <w:rsid w:val="00967448"/>
    <w:rsid w:val="00967496"/>
    <w:rsid w:val="0096757D"/>
    <w:rsid w:val="009675BB"/>
    <w:rsid w:val="009677FF"/>
    <w:rsid w:val="00967990"/>
    <w:rsid w:val="00967A00"/>
    <w:rsid w:val="00967A27"/>
    <w:rsid w:val="00967B01"/>
    <w:rsid w:val="00967C2C"/>
    <w:rsid w:val="00967D43"/>
    <w:rsid w:val="00967E47"/>
    <w:rsid w:val="00970004"/>
    <w:rsid w:val="009702D6"/>
    <w:rsid w:val="009703BF"/>
    <w:rsid w:val="0097047A"/>
    <w:rsid w:val="0097085D"/>
    <w:rsid w:val="00970872"/>
    <w:rsid w:val="00970A94"/>
    <w:rsid w:val="00970ABD"/>
    <w:rsid w:val="00970B50"/>
    <w:rsid w:val="00970B54"/>
    <w:rsid w:val="00970B79"/>
    <w:rsid w:val="00970BB0"/>
    <w:rsid w:val="00970C25"/>
    <w:rsid w:val="00970C32"/>
    <w:rsid w:val="00970C38"/>
    <w:rsid w:val="00970D27"/>
    <w:rsid w:val="00970D30"/>
    <w:rsid w:val="00970FD6"/>
    <w:rsid w:val="00971031"/>
    <w:rsid w:val="00971086"/>
    <w:rsid w:val="0097128A"/>
    <w:rsid w:val="009712DF"/>
    <w:rsid w:val="0097135D"/>
    <w:rsid w:val="0097139D"/>
    <w:rsid w:val="009713D0"/>
    <w:rsid w:val="00971402"/>
    <w:rsid w:val="0097140B"/>
    <w:rsid w:val="00971706"/>
    <w:rsid w:val="00971779"/>
    <w:rsid w:val="0097178F"/>
    <w:rsid w:val="00971851"/>
    <w:rsid w:val="009718F8"/>
    <w:rsid w:val="00971A08"/>
    <w:rsid w:val="00971A39"/>
    <w:rsid w:val="00971A93"/>
    <w:rsid w:val="00971B05"/>
    <w:rsid w:val="00971B0E"/>
    <w:rsid w:val="00971CB1"/>
    <w:rsid w:val="00971E5B"/>
    <w:rsid w:val="00971E68"/>
    <w:rsid w:val="00971E9D"/>
    <w:rsid w:val="00971EF7"/>
    <w:rsid w:val="0097209A"/>
    <w:rsid w:val="00972151"/>
    <w:rsid w:val="00972174"/>
    <w:rsid w:val="00972219"/>
    <w:rsid w:val="0097229B"/>
    <w:rsid w:val="009723BE"/>
    <w:rsid w:val="0097258A"/>
    <w:rsid w:val="009725C2"/>
    <w:rsid w:val="009725CC"/>
    <w:rsid w:val="009725DA"/>
    <w:rsid w:val="00972628"/>
    <w:rsid w:val="009726F2"/>
    <w:rsid w:val="00972719"/>
    <w:rsid w:val="00972BFA"/>
    <w:rsid w:val="00972C43"/>
    <w:rsid w:val="00972C6B"/>
    <w:rsid w:val="00972D4D"/>
    <w:rsid w:val="00972E3D"/>
    <w:rsid w:val="00972EB2"/>
    <w:rsid w:val="00972F6A"/>
    <w:rsid w:val="0097315F"/>
    <w:rsid w:val="009732D7"/>
    <w:rsid w:val="00973322"/>
    <w:rsid w:val="00973337"/>
    <w:rsid w:val="00973375"/>
    <w:rsid w:val="009733B6"/>
    <w:rsid w:val="009734BE"/>
    <w:rsid w:val="00973529"/>
    <w:rsid w:val="009735C9"/>
    <w:rsid w:val="009737B2"/>
    <w:rsid w:val="009738C0"/>
    <w:rsid w:val="00973973"/>
    <w:rsid w:val="009739BD"/>
    <w:rsid w:val="00973A3B"/>
    <w:rsid w:val="00973AE9"/>
    <w:rsid w:val="00973B67"/>
    <w:rsid w:val="00973B9C"/>
    <w:rsid w:val="00973B9F"/>
    <w:rsid w:val="00973BA2"/>
    <w:rsid w:val="00973BBA"/>
    <w:rsid w:val="00973BE1"/>
    <w:rsid w:val="00973BFD"/>
    <w:rsid w:val="00973DC6"/>
    <w:rsid w:val="00973EEF"/>
    <w:rsid w:val="00974077"/>
    <w:rsid w:val="00974085"/>
    <w:rsid w:val="0097413B"/>
    <w:rsid w:val="009741FA"/>
    <w:rsid w:val="009743A9"/>
    <w:rsid w:val="009744A1"/>
    <w:rsid w:val="009746C0"/>
    <w:rsid w:val="0097478F"/>
    <w:rsid w:val="009747A1"/>
    <w:rsid w:val="009747A3"/>
    <w:rsid w:val="0097487E"/>
    <w:rsid w:val="009748BC"/>
    <w:rsid w:val="00974941"/>
    <w:rsid w:val="00974950"/>
    <w:rsid w:val="00974B56"/>
    <w:rsid w:val="00974D22"/>
    <w:rsid w:val="00974E69"/>
    <w:rsid w:val="00974F8E"/>
    <w:rsid w:val="0097515C"/>
    <w:rsid w:val="009751A3"/>
    <w:rsid w:val="009752D5"/>
    <w:rsid w:val="0097563E"/>
    <w:rsid w:val="009756C4"/>
    <w:rsid w:val="00975887"/>
    <w:rsid w:val="009758EC"/>
    <w:rsid w:val="00975A7C"/>
    <w:rsid w:val="00975B7F"/>
    <w:rsid w:val="00975BE3"/>
    <w:rsid w:val="00975CDC"/>
    <w:rsid w:val="00975EAC"/>
    <w:rsid w:val="00975F08"/>
    <w:rsid w:val="0097605C"/>
    <w:rsid w:val="009761FE"/>
    <w:rsid w:val="00976215"/>
    <w:rsid w:val="00976238"/>
    <w:rsid w:val="009762FA"/>
    <w:rsid w:val="009764A8"/>
    <w:rsid w:val="00976689"/>
    <w:rsid w:val="0097673A"/>
    <w:rsid w:val="00976768"/>
    <w:rsid w:val="009769CA"/>
    <w:rsid w:val="00976A78"/>
    <w:rsid w:val="00976C26"/>
    <w:rsid w:val="00976C58"/>
    <w:rsid w:val="00976C59"/>
    <w:rsid w:val="00976D27"/>
    <w:rsid w:val="00976E41"/>
    <w:rsid w:val="00976EAC"/>
    <w:rsid w:val="0097701A"/>
    <w:rsid w:val="00977079"/>
    <w:rsid w:val="00977081"/>
    <w:rsid w:val="009773D6"/>
    <w:rsid w:val="00977402"/>
    <w:rsid w:val="00977749"/>
    <w:rsid w:val="009779CF"/>
    <w:rsid w:val="00977AC5"/>
    <w:rsid w:val="00977B5D"/>
    <w:rsid w:val="00977B85"/>
    <w:rsid w:val="00977BD9"/>
    <w:rsid w:val="00977BEA"/>
    <w:rsid w:val="00977C44"/>
    <w:rsid w:val="0098004F"/>
    <w:rsid w:val="0098024A"/>
    <w:rsid w:val="0098024E"/>
    <w:rsid w:val="009803FB"/>
    <w:rsid w:val="00980481"/>
    <w:rsid w:val="0098065C"/>
    <w:rsid w:val="00980745"/>
    <w:rsid w:val="009807E9"/>
    <w:rsid w:val="009808C3"/>
    <w:rsid w:val="00980A34"/>
    <w:rsid w:val="00980A37"/>
    <w:rsid w:val="00980A4D"/>
    <w:rsid w:val="00980C38"/>
    <w:rsid w:val="00980D01"/>
    <w:rsid w:val="00980E3B"/>
    <w:rsid w:val="00980F09"/>
    <w:rsid w:val="00980FEC"/>
    <w:rsid w:val="00981018"/>
    <w:rsid w:val="0098107C"/>
    <w:rsid w:val="00981212"/>
    <w:rsid w:val="0098128E"/>
    <w:rsid w:val="009812DC"/>
    <w:rsid w:val="009813A5"/>
    <w:rsid w:val="009813B4"/>
    <w:rsid w:val="00981558"/>
    <w:rsid w:val="009816DA"/>
    <w:rsid w:val="009819FA"/>
    <w:rsid w:val="00981A71"/>
    <w:rsid w:val="00981B62"/>
    <w:rsid w:val="00981CC4"/>
    <w:rsid w:val="00981CF5"/>
    <w:rsid w:val="00981D34"/>
    <w:rsid w:val="00981E31"/>
    <w:rsid w:val="00981FAE"/>
    <w:rsid w:val="0098201F"/>
    <w:rsid w:val="00982102"/>
    <w:rsid w:val="009821F7"/>
    <w:rsid w:val="00982433"/>
    <w:rsid w:val="00982438"/>
    <w:rsid w:val="00982542"/>
    <w:rsid w:val="0098255E"/>
    <w:rsid w:val="00982735"/>
    <w:rsid w:val="00982826"/>
    <w:rsid w:val="00982BFA"/>
    <w:rsid w:val="00982CA1"/>
    <w:rsid w:val="00982D5F"/>
    <w:rsid w:val="00982E5D"/>
    <w:rsid w:val="00982E77"/>
    <w:rsid w:val="00983003"/>
    <w:rsid w:val="0098314E"/>
    <w:rsid w:val="0098331D"/>
    <w:rsid w:val="0098336D"/>
    <w:rsid w:val="00983444"/>
    <w:rsid w:val="0098348E"/>
    <w:rsid w:val="009835B1"/>
    <w:rsid w:val="00983632"/>
    <w:rsid w:val="009837B7"/>
    <w:rsid w:val="00983830"/>
    <w:rsid w:val="00983891"/>
    <w:rsid w:val="00983929"/>
    <w:rsid w:val="00983A25"/>
    <w:rsid w:val="00983B2B"/>
    <w:rsid w:val="00983BF9"/>
    <w:rsid w:val="00983C09"/>
    <w:rsid w:val="00983D36"/>
    <w:rsid w:val="00983D7F"/>
    <w:rsid w:val="00983E31"/>
    <w:rsid w:val="00983E4B"/>
    <w:rsid w:val="00984032"/>
    <w:rsid w:val="009840AF"/>
    <w:rsid w:val="009842ED"/>
    <w:rsid w:val="0098433A"/>
    <w:rsid w:val="00984556"/>
    <w:rsid w:val="0098457A"/>
    <w:rsid w:val="00984590"/>
    <w:rsid w:val="0098459B"/>
    <w:rsid w:val="009845C6"/>
    <w:rsid w:val="009848E0"/>
    <w:rsid w:val="0098490F"/>
    <w:rsid w:val="009849C6"/>
    <w:rsid w:val="00984A66"/>
    <w:rsid w:val="00984AFF"/>
    <w:rsid w:val="00984D53"/>
    <w:rsid w:val="00984FC7"/>
    <w:rsid w:val="009850BB"/>
    <w:rsid w:val="0098511E"/>
    <w:rsid w:val="00985182"/>
    <w:rsid w:val="00985223"/>
    <w:rsid w:val="00985336"/>
    <w:rsid w:val="009855A7"/>
    <w:rsid w:val="009855C9"/>
    <w:rsid w:val="009856C8"/>
    <w:rsid w:val="0098570D"/>
    <w:rsid w:val="009857BD"/>
    <w:rsid w:val="009858B5"/>
    <w:rsid w:val="00985A34"/>
    <w:rsid w:val="00985A81"/>
    <w:rsid w:val="00985AB9"/>
    <w:rsid w:val="00985B01"/>
    <w:rsid w:val="00985B7E"/>
    <w:rsid w:val="00985C26"/>
    <w:rsid w:val="00985E3F"/>
    <w:rsid w:val="00985E93"/>
    <w:rsid w:val="00985F7E"/>
    <w:rsid w:val="0098606F"/>
    <w:rsid w:val="009860D1"/>
    <w:rsid w:val="0098615E"/>
    <w:rsid w:val="0098624C"/>
    <w:rsid w:val="00986252"/>
    <w:rsid w:val="009863D4"/>
    <w:rsid w:val="009863F3"/>
    <w:rsid w:val="009864C1"/>
    <w:rsid w:val="00986521"/>
    <w:rsid w:val="0098659C"/>
    <w:rsid w:val="009865D1"/>
    <w:rsid w:val="009865F4"/>
    <w:rsid w:val="00986675"/>
    <w:rsid w:val="009866D3"/>
    <w:rsid w:val="0098684D"/>
    <w:rsid w:val="009868DD"/>
    <w:rsid w:val="009869BA"/>
    <w:rsid w:val="00986B08"/>
    <w:rsid w:val="00986B83"/>
    <w:rsid w:val="00986C41"/>
    <w:rsid w:val="00986C5C"/>
    <w:rsid w:val="00986E05"/>
    <w:rsid w:val="00986E4B"/>
    <w:rsid w:val="00986F14"/>
    <w:rsid w:val="0098701B"/>
    <w:rsid w:val="009870E2"/>
    <w:rsid w:val="009871A5"/>
    <w:rsid w:val="009871FA"/>
    <w:rsid w:val="0098743D"/>
    <w:rsid w:val="0098752D"/>
    <w:rsid w:val="009876D1"/>
    <w:rsid w:val="009878CD"/>
    <w:rsid w:val="00987996"/>
    <w:rsid w:val="009879E2"/>
    <w:rsid w:val="00987ACF"/>
    <w:rsid w:val="00987B24"/>
    <w:rsid w:val="00987C11"/>
    <w:rsid w:val="00987C40"/>
    <w:rsid w:val="00987D8A"/>
    <w:rsid w:val="00987DA1"/>
    <w:rsid w:val="00987FB3"/>
    <w:rsid w:val="00987FD7"/>
    <w:rsid w:val="0099003E"/>
    <w:rsid w:val="009900B5"/>
    <w:rsid w:val="009901E7"/>
    <w:rsid w:val="009902D6"/>
    <w:rsid w:val="0099037F"/>
    <w:rsid w:val="00990423"/>
    <w:rsid w:val="00990520"/>
    <w:rsid w:val="00990627"/>
    <w:rsid w:val="00990643"/>
    <w:rsid w:val="00990752"/>
    <w:rsid w:val="009907D3"/>
    <w:rsid w:val="00990C4E"/>
    <w:rsid w:val="00990CB0"/>
    <w:rsid w:val="00990EF1"/>
    <w:rsid w:val="00990F44"/>
    <w:rsid w:val="00990F8B"/>
    <w:rsid w:val="00990FCF"/>
    <w:rsid w:val="00991055"/>
    <w:rsid w:val="00991082"/>
    <w:rsid w:val="009910BB"/>
    <w:rsid w:val="00991394"/>
    <w:rsid w:val="00991444"/>
    <w:rsid w:val="00991516"/>
    <w:rsid w:val="00991538"/>
    <w:rsid w:val="009917F6"/>
    <w:rsid w:val="00991884"/>
    <w:rsid w:val="00991916"/>
    <w:rsid w:val="00991940"/>
    <w:rsid w:val="00991A7E"/>
    <w:rsid w:val="00991AB7"/>
    <w:rsid w:val="00991AC1"/>
    <w:rsid w:val="00991AC7"/>
    <w:rsid w:val="00991B45"/>
    <w:rsid w:val="00991BB0"/>
    <w:rsid w:val="00991C1B"/>
    <w:rsid w:val="00991CE0"/>
    <w:rsid w:val="00991D17"/>
    <w:rsid w:val="00991DFB"/>
    <w:rsid w:val="00991E2B"/>
    <w:rsid w:val="00991E5E"/>
    <w:rsid w:val="00991EB9"/>
    <w:rsid w:val="00991F91"/>
    <w:rsid w:val="00991FB7"/>
    <w:rsid w:val="00991FFC"/>
    <w:rsid w:val="00992111"/>
    <w:rsid w:val="0099225C"/>
    <w:rsid w:val="00992301"/>
    <w:rsid w:val="0099236B"/>
    <w:rsid w:val="00992551"/>
    <w:rsid w:val="00992598"/>
    <w:rsid w:val="009925D1"/>
    <w:rsid w:val="00992664"/>
    <w:rsid w:val="0099267C"/>
    <w:rsid w:val="009927C1"/>
    <w:rsid w:val="00992822"/>
    <w:rsid w:val="009928CC"/>
    <w:rsid w:val="00992922"/>
    <w:rsid w:val="00992925"/>
    <w:rsid w:val="00992965"/>
    <w:rsid w:val="009929FD"/>
    <w:rsid w:val="00992A1D"/>
    <w:rsid w:val="00992A2E"/>
    <w:rsid w:val="00992AEA"/>
    <w:rsid w:val="00992AEF"/>
    <w:rsid w:val="00992B9D"/>
    <w:rsid w:val="00992C04"/>
    <w:rsid w:val="00992C18"/>
    <w:rsid w:val="00992CBA"/>
    <w:rsid w:val="00992D79"/>
    <w:rsid w:val="00992FBA"/>
    <w:rsid w:val="0099344A"/>
    <w:rsid w:val="009934BD"/>
    <w:rsid w:val="0099372E"/>
    <w:rsid w:val="00993756"/>
    <w:rsid w:val="00993778"/>
    <w:rsid w:val="009937FC"/>
    <w:rsid w:val="00993C3A"/>
    <w:rsid w:val="00993CCA"/>
    <w:rsid w:val="00993D20"/>
    <w:rsid w:val="00993D63"/>
    <w:rsid w:val="00993E12"/>
    <w:rsid w:val="00994062"/>
    <w:rsid w:val="009941B4"/>
    <w:rsid w:val="00994309"/>
    <w:rsid w:val="0099431B"/>
    <w:rsid w:val="009943DC"/>
    <w:rsid w:val="0099443C"/>
    <w:rsid w:val="00994449"/>
    <w:rsid w:val="009944D5"/>
    <w:rsid w:val="00994559"/>
    <w:rsid w:val="009946A4"/>
    <w:rsid w:val="009948E3"/>
    <w:rsid w:val="00994951"/>
    <w:rsid w:val="00994BC1"/>
    <w:rsid w:val="00994C2E"/>
    <w:rsid w:val="00994C4F"/>
    <w:rsid w:val="00994C96"/>
    <w:rsid w:val="00994CBE"/>
    <w:rsid w:val="00994D0B"/>
    <w:rsid w:val="00994D7F"/>
    <w:rsid w:val="00994E6F"/>
    <w:rsid w:val="00994E85"/>
    <w:rsid w:val="00994EA7"/>
    <w:rsid w:val="00994F13"/>
    <w:rsid w:val="00995014"/>
    <w:rsid w:val="00995083"/>
    <w:rsid w:val="009950C5"/>
    <w:rsid w:val="00995104"/>
    <w:rsid w:val="00995129"/>
    <w:rsid w:val="009951BE"/>
    <w:rsid w:val="0099526F"/>
    <w:rsid w:val="00995409"/>
    <w:rsid w:val="00995424"/>
    <w:rsid w:val="0099553D"/>
    <w:rsid w:val="0099556E"/>
    <w:rsid w:val="009955A3"/>
    <w:rsid w:val="009955A7"/>
    <w:rsid w:val="009955B1"/>
    <w:rsid w:val="00995617"/>
    <w:rsid w:val="0099564E"/>
    <w:rsid w:val="009956D8"/>
    <w:rsid w:val="00995723"/>
    <w:rsid w:val="00995843"/>
    <w:rsid w:val="00995898"/>
    <w:rsid w:val="00995A56"/>
    <w:rsid w:val="00995ADB"/>
    <w:rsid w:val="00995C32"/>
    <w:rsid w:val="00995D2A"/>
    <w:rsid w:val="00995D49"/>
    <w:rsid w:val="00995DE8"/>
    <w:rsid w:val="00995E69"/>
    <w:rsid w:val="00995EB7"/>
    <w:rsid w:val="00996024"/>
    <w:rsid w:val="009960BD"/>
    <w:rsid w:val="0099610B"/>
    <w:rsid w:val="0099611D"/>
    <w:rsid w:val="009961AB"/>
    <w:rsid w:val="0099626A"/>
    <w:rsid w:val="00996354"/>
    <w:rsid w:val="00996357"/>
    <w:rsid w:val="00996372"/>
    <w:rsid w:val="009964D0"/>
    <w:rsid w:val="00996500"/>
    <w:rsid w:val="00996532"/>
    <w:rsid w:val="009965A8"/>
    <w:rsid w:val="00996607"/>
    <w:rsid w:val="0099675F"/>
    <w:rsid w:val="009967CA"/>
    <w:rsid w:val="009969FA"/>
    <w:rsid w:val="00996C4B"/>
    <w:rsid w:val="00996CF9"/>
    <w:rsid w:val="00996E1F"/>
    <w:rsid w:val="00996EA4"/>
    <w:rsid w:val="00997003"/>
    <w:rsid w:val="009970B3"/>
    <w:rsid w:val="009971B9"/>
    <w:rsid w:val="009971E7"/>
    <w:rsid w:val="009972DA"/>
    <w:rsid w:val="00997505"/>
    <w:rsid w:val="00997554"/>
    <w:rsid w:val="00997558"/>
    <w:rsid w:val="009975D2"/>
    <w:rsid w:val="00997756"/>
    <w:rsid w:val="009977B6"/>
    <w:rsid w:val="00997ACA"/>
    <w:rsid w:val="00997AEE"/>
    <w:rsid w:val="00997B6F"/>
    <w:rsid w:val="00997C02"/>
    <w:rsid w:val="00997DC6"/>
    <w:rsid w:val="00997DFE"/>
    <w:rsid w:val="00997EFC"/>
    <w:rsid w:val="00997F05"/>
    <w:rsid w:val="00997F0F"/>
    <w:rsid w:val="00997F15"/>
    <w:rsid w:val="00997F24"/>
    <w:rsid w:val="00997F5E"/>
    <w:rsid w:val="00997FD6"/>
    <w:rsid w:val="009A0017"/>
    <w:rsid w:val="009A0043"/>
    <w:rsid w:val="009A00B5"/>
    <w:rsid w:val="009A0275"/>
    <w:rsid w:val="009A02F2"/>
    <w:rsid w:val="009A0394"/>
    <w:rsid w:val="009A0421"/>
    <w:rsid w:val="009A0464"/>
    <w:rsid w:val="009A049E"/>
    <w:rsid w:val="009A061A"/>
    <w:rsid w:val="009A0621"/>
    <w:rsid w:val="009A081C"/>
    <w:rsid w:val="009A0836"/>
    <w:rsid w:val="009A0867"/>
    <w:rsid w:val="009A0934"/>
    <w:rsid w:val="009A09CC"/>
    <w:rsid w:val="009A0A0F"/>
    <w:rsid w:val="009A0BD5"/>
    <w:rsid w:val="009A0C23"/>
    <w:rsid w:val="009A0CE0"/>
    <w:rsid w:val="009A0DC0"/>
    <w:rsid w:val="009A0E87"/>
    <w:rsid w:val="009A0EC1"/>
    <w:rsid w:val="009A0F36"/>
    <w:rsid w:val="009A0F3B"/>
    <w:rsid w:val="009A0F66"/>
    <w:rsid w:val="009A0FE2"/>
    <w:rsid w:val="009A1089"/>
    <w:rsid w:val="009A13A5"/>
    <w:rsid w:val="009A1500"/>
    <w:rsid w:val="009A15D7"/>
    <w:rsid w:val="009A17E3"/>
    <w:rsid w:val="009A19A4"/>
    <w:rsid w:val="009A1A4C"/>
    <w:rsid w:val="009A1B47"/>
    <w:rsid w:val="009A1BAA"/>
    <w:rsid w:val="009A1BEB"/>
    <w:rsid w:val="009A1C52"/>
    <w:rsid w:val="009A1ED5"/>
    <w:rsid w:val="009A205E"/>
    <w:rsid w:val="009A211A"/>
    <w:rsid w:val="009A21C3"/>
    <w:rsid w:val="009A22EE"/>
    <w:rsid w:val="009A2313"/>
    <w:rsid w:val="009A2314"/>
    <w:rsid w:val="009A268D"/>
    <w:rsid w:val="009A276C"/>
    <w:rsid w:val="009A28AE"/>
    <w:rsid w:val="009A294F"/>
    <w:rsid w:val="009A2AEC"/>
    <w:rsid w:val="009A2BB2"/>
    <w:rsid w:val="009A2C94"/>
    <w:rsid w:val="009A2CA5"/>
    <w:rsid w:val="009A2E83"/>
    <w:rsid w:val="009A2ED9"/>
    <w:rsid w:val="009A2F6B"/>
    <w:rsid w:val="009A2FAC"/>
    <w:rsid w:val="009A30CE"/>
    <w:rsid w:val="009A3459"/>
    <w:rsid w:val="009A3509"/>
    <w:rsid w:val="009A354C"/>
    <w:rsid w:val="009A3596"/>
    <w:rsid w:val="009A35F2"/>
    <w:rsid w:val="009A36CB"/>
    <w:rsid w:val="009A3850"/>
    <w:rsid w:val="009A38A1"/>
    <w:rsid w:val="009A38BD"/>
    <w:rsid w:val="009A38E9"/>
    <w:rsid w:val="009A39D9"/>
    <w:rsid w:val="009A3A30"/>
    <w:rsid w:val="009A3A4B"/>
    <w:rsid w:val="009A3AB5"/>
    <w:rsid w:val="009A3BD2"/>
    <w:rsid w:val="009A3CB4"/>
    <w:rsid w:val="009A3E73"/>
    <w:rsid w:val="009A4087"/>
    <w:rsid w:val="009A40C0"/>
    <w:rsid w:val="009A4259"/>
    <w:rsid w:val="009A43B3"/>
    <w:rsid w:val="009A43FC"/>
    <w:rsid w:val="009A4499"/>
    <w:rsid w:val="009A44A5"/>
    <w:rsid w:val="009A4582"/>
    <w:rsid w:val="009A47D6"/>
    <w:rsid w:val="009A481F"/>
    <w:rsid w:val="009A48CD"/>
    <w:rsid w:val="009A497D"/>
    <w:rsid w:val="009A49C3"/>
    <w:rsid w:val="009A49D8"/>
    <w:rsid w:val="009A4AF1"/>
    <w:rsid w:val="009A4C4A"/>
    <w:rsid w:val="009A4CDC"/>
    <w:rsid w:val="009A4CE5"/>
    <w:rsid w:val="009A4D78"/>
    <w:rsid w:val="009A4DBA"/>
    <w:rsid w:val="009A4DC7"/>
    <w:rsid w:val="009A4DE0"/>
    <w:rsid w:val="009A4E5C"/>
    <w:rsid w:val="009A4E7F"/>
    <w:rsid w:val="009A4ED8"/>
    <w:rsid w:val="009A4FDC"/>
    <w:rsid w:val="009A50AB"/>
    <w:rsid w:val="009A5114"/>
    <w:rsid w:val="009A511F"/>
    <w:rsid w:val="009A52AD"/>
    <w:rsid w:val="009A535F"/>
    <w:rsid w:val="009A5448"/>
    <w:rsid w:val="009A560A"/>
    <w:rsid w:val="009A56CC"/>
    <w:rsid w:val="009A5712"/>
    <w:rsid w:val="009A57CF"/>
    <w:rsid w:val="009A584A"/>
    <w:rsid w:val="009A59BA"/>
    <w:rsid w:val="009A59CE"/>
    <w:rsid w:val="009A59D7"/>
    <w:rsid w:val="009A5A96"/>
    <w:rsid w:val="009A5AE3"/>
    <w:rsid w:val="009A5E32"/>
    <w:rsid w:val="009A6114"/>
    <w:rsid w:val="009A616D"/>
    <w:rsid w:val="009A6220"/>
    <w:rsid w:val="009A62D7"/>
    <w:rsid w:val="009A636D"/>
    <w:rsid w:val="009A6707"/>
    <w:rsid w:val="009A6729"/>
    <w:rsid w:val="009A6791"/>
    <w:rsid w:val="009A693A"/>
    <w:rsid w:val="009A6941"/>
    <w:rsid w:val="009A6946"/>
    <w:rsid w:val="009A6A54"/>
    <w:rsid w:val="009A6A69"/>
    <w:rsid w:val="009A6ABF"/>
    <w:rsid w:val="009A6AD8"/>
    <w:rsid w:val="009A6B6E"/>
    <w:rsid w:val="009A6E03"/>
    <w:rsid w:val="009A6EAC"/>
    <w:rsid w:val="009A708C"/>
    <w:rsid w:val="009A71E2"/>
    <w:rsid w:val="009A736A"/>
    <w:rsid w:val="009A7375"/>
    <w:rsid w:val="009A73B0"/>
    <w:rsid w:val="009A746A"/>
    <w:rsid w:val="009A792E"/>
    <w:rsid w:val="009A796E"/>
    <w:rsid w:val="009A7CB7"/>
    <w:rsid w:val="009A7CD3"/>
    <w:rsid w:val="009A7D9D"/>
    <w:rsid w:val="009A7DA5"/>
    <w:rsid w:val="009A7E1F"/>
    <w:rsid w:val="009A7F6C"/>
    <w:rsid w:val="009B0066"/>
    <w:rsid w:val="009B0157"/>
    <w:rsid w:val="009B0194"/>
    <w:rsid w:val="009B04CA"/>
    <w:rsid w:val="009B0510"/>
    <w:rsid w:val="009B058D"/>
    <w:rsid w:val="009B05A9"/>
    <w:rsid w:val="009B06C7"/>
    <w:rsid w:val="009B06D6"/>
    <w:rsid w:val="009B072B"/>
    <w:rsid w:val="009B073E"/>
    <w:rsid w:val="009B074E"/>
    <w:rsid w:val="009B07A9"/>
    <w:rsid w:val="009B0997"/>
    <w:rsid w:val="009B09DB"/>
    <w:rsid w:val="009B0A02"/>
    <w:rsid w:val="009B0AC7"/>
    <w:rsid w:val="009B0D2A"/>
    <w:rsid w:val="009B0EC1"/>
    <w:rsid w:val="009B1015"/>
    <w:rsid w:val="009B1116"/>
    <w:rsid w:val="009B11D2"/>
    <w:rsid w:val="009B11F2"/>
    <w:rsid w:val="009B1360"/>
    <w:rsid w:val="009B1385"/>
    <w:rsid w:val="009B139F"/>
    <w:rsid w:val="009B14BF"/>
    <w:rsid w:val="009B1657"/>
    <w:rsid w:val="009B165E"/>
    <w:rsid w:val="009B17FF"/>
    <w:rsid w:val="009B18AD"/>
    <w:rsid w:val="009B1956"/>
    <w:rsid w:val="009B1A3E"/>
    <w:rsid w:val="009B1A48"/>
    <w:rsid w:val="009B1BF9"/>
    <w:rsid w:val="009B1CAD"/>
    <w:rsid w:val="009B1DAA"/>
    <w:rsid w:val="009B1F57"/>
    <w:rsid w:val="009B1FBE"/>
    <w:rsid w:val="009B1FF9"/>
    <w:rsid w:val="009B2196"/>
    <w:rsid w:val="009B229F"/>
    <w:rsid w:val="009B22E3"/>
    <w:rsid w:val="009B22F3"/>
    <w:rsid w:val="009B2308"/>
    <w:rsid w:val="009B230B"/>
    <w:rsid w:val="009B2399"/>
    <w:rsid w:val="009B23DF"/>
    <w:rsid w:val="009B2432"/>
    <w:rsid w:val="009B24FD"/>
    <w:rsid w:val="009B25A1"/>
    <w:rsid w:val="009B25BB"/>
    <w:rsid w:val="009B25E3"/>
    <w:rsid w:val="009B2626"/>
    <w:rsid w:val="009B2654"/>
    <w:rsid w:val="009B2830"/>
    <w:rsid w:val="009B2A1C"/>
    <w:rsid w:val="009B2A84"/>
    <w:rsid w:val="009B2AEB"/>
    <w:rsid w:val="009B2BD0"/>
    <w:rsid w:val="009B2C6B"/>
    <w:rsid w:val="009B2C97"/>
    <w:rsid w:val="009B2CD3"/>
    <w:rsid w:val="009B2D0E"/>
    <w:rsid w:val="009B2D95"/>
    <w:rsid w:val="009B2E2E"/>
    <w:rsid w:val="009B2E65"/>
    <w:rsid w:val="009B2E8C"/>
    <w:rsid w:val="009B2EE4"/>
    <w:rsid w:val="009B30AE"/>
    <w:rsid w:val="009B3331"/>
    <w:rsid w:val="009B336C"/>
    <w:rsid w:val="009B33B7"/>
    <w:rsid w:val="009B3478"/>
    <w:rsid w:val="009B34C3"/>
    <w:rsid w:val="009B3526"/>
    <w:rsid w:val="009B3528"/>
    <w:rsid w:val="009B35B4"/>
    <w:rsid w:val="009B35C1"/>
    <w:rsid w:val="009B36B6"/>
    <w:rsid w:val="009B3703"/>
    <w:rsid w:val="009B37E1"/>
    <w:rsid w:val="009B3AD3"/>
    <w:rsid w:val="009B3C32"/>
    <w:rsid w:val="009B3D1C"/>
    <w:rsid w:val="009B3DD8"/>
    <w:rsid w:val="009B3E66"/>
    <w:rsid w:val="009B3F6F"/>
    <w:rsid w:val="009B3FE2"/>
    <w:rsid w:val="009B4048"/>
    <w:rsid w:val="009B40BF"/>
    <w:rsid w:val="009B40D4"/>
    <w:rsid w:val="009B429F"/>
    <w:rsid w:val="009B42E9"/>
    <w:rsid w:val="009B43E3"/>
    <w:rsid w:val="009B441A"/>
    <w:rsid w:val="009B4530"/>
    <w:rsid w:val="009B454B"/>
    <w:rsid w:val="009B457D"/>
    <w:rsid w:val="009B45E4"/>
    <w:rsid w:val="009B46C9"/>
    <w:rsid w:val="009B4879"/>
    <w:rsid w:val="009B4949"/>
    <w:rsid w:val="009B4B47"/>
    <w:rsid w:val="009B4BF6"/>
    <w:rsid w:val="009B515D"/>
    <w:rsid w:val="009B528F"/>
    <w:rsid w:val="009B532D"/>
    <w:rsid w:val="009B5377"/>
    <w:rsid w:val="009B53DA"/>
    <w:rsid w:val="009B53EA"/>
    <w:rsid w:val="009B5447"/>
    <w:rsid w:val="009B55BB"/>
    <w:rsid w:val="009B5659"/>
    <w:rsid w:val="009B56BE"/>
    <w:rsid w:val="009B589C"/>
    <w:rsid w:val="009B58F7"/>
    <w:rsid w:val="009B5A5B"/>
    <w:rsid w:val="009B5B24"/>
    <w:rsid w:val="009B5C0B"/>
    <w:rsid w:val="009B5D44"/>
    <w:rsid w:val="009B5D52"/>
    <w:rsid w:val="009B5DD3"/>
    <w:rsid w:val="009B5EF0"/>
    <w:rsid w:val="009B5F3D"/>
    <w:rsid w:val="009B60B8"/>
    <w:rsid w:val="009B6195"/>
    <w:rsid w:val="009B622C"/>
    <w:rsid w:val="009B62D7"/>
    <w:rsid w:val="009B63CF"/>
    <w:rsid w:val="009B63E1"/>
    <w:rsid w:val="009B63E8"/>
    <w:rsid w:val="009B64AB"/>
    <w:rsid w:val="009B65CD"/>
    <w:rsid w:val="009B65D0"/>
    <w:rsid w:val="009B662C"/>
    <w:rsid w:val="009B6671"/>
    <w:rsid w:val="009B6741"/>
    <w:rsid w:val="009B6779"/>
    <w:rsid w:val="009B6781"/>
    <w:rsid w:val="009B6979"/>
    <w:rsid w:val="009B6A29"/>
    <w:rsid w:val="009B6A8C"/>
    <w:rsid w:val="009B6AAE"/>
    <w:rsid w:val="009B6AED"/>
    <w:rsid w:val="009B6B21"/>
    <w:rsid w:val="009B6E55"/>
    <w:rsid w:val="009B6E9F"/>
    <w:rsid w:val="009B6EA7"/>
    <w:rsid w:val="009B6FB6"/>
    <w:rsid w:val="009B6FEE"/>
    <w:rsid w:val="009B71EA"/>
    <w:rsid w:val="009B74B0"/>
    <w:rsid w:val="009B74E1"/>
    <w:rsid w:val="009B7617"/>
    <w:rsid w:val="009B762E"/>
    <w:rsid w:val="009B768A"/>
    <w:rsid w:val="009B777E"/>
    <w:rsid w:val="009B77C1"/>
    <w:rsid w:val="009B7857"/>
    <w:rsid w:val="009B7A2E"/>
    <w:rsid w:val="009B7B2D"/>
    <w:rsid w:val="009B7B99"/>
    <w:rsid w:val="009B7C2F"/>
    <w:rsid w:val="009B7F96"/>
    <w:rsid w:val="009B7FC6"/>
    <w:rsid w:val="009C0036"/>
    <w:rsid w:val="009C00D7"/>
    <w:rsid w:val="009C00E0"/>
    <w:rsid w:val="009C010E"/>
    <w:rsid w:val="009C0120"/>
    <w:rsid w:val="009C012D"/>
    <w:rsid w:val="009C01A8"/>
    <w:rsid w:val="009C0260"/>
    <w:rsid w:val="009C026D"/>
    <w:rsid w:val="009C0293"/>
    <w:rsid w:val="009C033D"/>
    <w:rsid w:val="009C036C"/>
    <w:rsid w:val="009C0374"/>
    <w:rsid w:val="009C037B"/>
    <w:rsid w:val="009C03D5"/>
    <w:rsid w:val="009C03D7"/>
    <w:rsid w:val="009C03FA"/>
    <w:rsid w:val="009C0454"/>
    <w:rsid w:val="009C0546"/>
    <w:rsid w:val="009C05A5"/>
    <w:rsid w:val="009C065D"/>
    <w:rsid w:val="009C0749"/>
    <w:rsid w:val="009C0797"/>
    <w:rsid w:val="009C07A2"/>
    <w:rsid w:val="009C07BF"/>
    <w:rsid w:val="009C082D"/>
    <w:rsid w:val="009C084E"/>
    <w:rsid w:val="009C0941"/>
    <w:rsid w:val="009C0B54"/>
    <w:rsid w:val="009C0CCF"/>
    <w:rsid w:val="009C0CD2"/>
    <w:rsid w:val="009C0CDF"/>
    <w:rsid w:val="009C0CE9"/>
    <w:rsid w:val="009C0D14"/>
    <w:rsid w:val="009C0E37"/>
    <w:rsid w:val="009C0F1C"/>
    <w:rsid w:val="009C0FFE"/>
    <w:rsid w:val="009C1120"/>
    <w:rsid w:val="009C1170"/>
    <w:rsid w:val="009C1195"/>
    <w:rsid w:val="009C11DE"/>
    <w:rsid w:val="009C12D2"/>
    <w:rsid w:val="009C15CF"/>
    <w:rsid w:val="009C17E1"/>
    <w:rsid w:val="009C1A9C"/>
    <w:rsid w:val="009C1B54"/>
    <w:rsid w:val="009C1BBC"/>
    <w:rsid w:val="009C1D93"/>
    <w:rsid w:val="009C1DD8"/>
    <w:rsid w:val="009C2047"/>
    <w:rsid w:val="009C20A0"/>
    <w:rsid w:val="009C20E8"/>
    <w:rsid w:val="009C214C"/>
    <w:rsid w:val="009C22BC"/>
    <w:rsid w:val="009C22CF"/>
    <w:rsid w:val="009C23B1"/>
    <w:rsid w:val="009C23D5"/>
    <w:rsid w:val="009C2469"/>
    <w:rsid w:val="009C24F3"/>
    <w:rsid w:val="009C2681"/>
    <w:rsid w:val="009C26A4"/>
    <w:rsid w:val="009C2A88"/>
    <w:rsid w:val="009C2ABD"/>
    <w:rsid w:val="009C2C1E"/>
    <w:rsid w:val="009C2C27"/>
    <w:rsid w:val="009C2CC9"/>
    <w:rsid w:val="009C2D14"/>
    <w:rsid w:val="009C2D16"/>
    <w:rsid w:val="009C2D46"/>
    <w:rsid w:val="009C2FD5"/>
    <w:rsid w:val="009C3118"/>
    <w:rsid w:val="009C3119"/>
    <w:rsid w:val="009C321A"/>
    <w:rsid w:val="009C3352"/>
    <w:rsid w:val="009C33B7"/>
    <w:rsid w:val="009C3454"/>
    <w:rsid w:val="009C3463"/>
    <w:rsid w:val="009C34C8"/>
    <w:rsid w:val="009C3792"/>
    <w:rsid w:val="009C3AA4"/>
    <w:rsid w:val="009C3C10"/>
    <w:rsid w:val="009C3DA6"/>
    <w:rsid w:val="009C3F1C"/>
    <w:rsid w:val="009C3FEE"/>
    <w:rsid w:val="009C403B"/>
    <w:rsid w:val="009C41ED"/>
    <w:rsid w:val="009C4374"/>
    <w:rsid w:val="009C45EA"/>
    <w:rsid w:val="009C46E0"/>
    <w:rsid w:val="009C471C"/>
    <w:rsid w:val="009C472F"/>
    <w:rsid w:val="009C4743"/>
    <w:rsid w:val="009C47C6"/>
    <w:rsid w:val="009C4839"/>
    <w:rsid w:val="009C483F"/>
    <w:rsid w:val="009C48CF"/>
    <w:rsid w:val="009C49A3"/>
    <w:rsid w:val="009C49F9"/>
    <w:rsid w:val="009C4AB3"/>
    <w:rsid w:val="009C4B30"/>
    <w:rsid w:val="009C4C7B"/>
    <w:rsid w:val="009C4CBD"/>
    <w:rsid w:val="009C4D14"/>
    <w:rsid w:val="009C4D70"/>
    <w:rsid w:val="009C501D"/>
    <w:rsid w:val="009C504C"/>
    <w:rsid w:val="009C50B9"/>
    <w:rsid w:val="009C50DB"/>
    <w:rsid w:val="009C5252"/>
    <w:rsid w:val="009C526F"/>
    <w:rsid w:val="009C527E"/>
    <w:rsid w:val="009C5287"/>
    <w:rsid w:val="009C5294"/>
    <w:rsid w:val="009C5567"/>
    <w:rsid w:val="009C56A2"/>
    <w:rsid w:val="009C56C7"/>
    <w:rsid w:val="009C5718"/>
    <w:rsid w:val="009C57B0"/>
    <w:rsid w:val="009C58BD"/>
    <w:rsid w:val="009C59E3"/>
    <w:rsid w:val="009C5A2B"/>
    <w:rsid w:val="009C5A2F"/>
    <w:rsid w:val="009C5A3E"/>
    <w:rsid w:val="009C5AE7"/>
    <w:rsid w:val="009C5BE2"/>
    <w:rsid w:val="009C5C80"/>
    <w:rsid w:val="009C5F48"/>
    <w:rsid w:val="009C6050"/>
    <w:rsid w:val="009C6142"/>
    <w:rsid w:val="009C64F9"/>
    <w:rsid w:val="009C64FC"/>
    <w:rsid w:val="009C6546"/>
    <w:rsid w:val="009C6584"/>
    <w:rsid w:val="009C65FE"/>
    <w:rsid w:val="009C683C"/>
    <w:rsid w:val="009C693B"/>
    <w:rsid w:val="009C69C7"/>
    <w:rsid w:val="009C69E4"/>
    <w:rsid w:val="009C6A02"/>
    <w:rsid w:val="009C6ACB"/>
    <w:rsid w:val="009C6B82"/>
    <w:rsid w:val="009C6BAF"/>
    <w:rsid w:val="009C6D4B"/>
    <w:rsid w:val="009C6D93"/>
    <w:rsid w:val="009C6E7B"/>
    <w:rsid w:val="009C6EDE"/>
    <w:rsid w:val="009C706E"/>
    <w:rsid w:val="009C7162"/>
    <w:rsid w:val="009C71D3"/>
    <w:rsid w:val="009C71F1"/>
    <w:rsid w:val="009C7239"/>
    <w:rsid w:val="009C72DA"/>
    <w:rsid w:val="009C72E4"/>
    <w:rsid w:val="009C7375"/>
    <w:rsid w:val="009C73AC"/>
    <w:rsid w:val="009C73BC"/>
    <w:rsid w:val="009C73DF"/>
    <w:rsid w:val="009C7463"/>
    <w:rsid w:val="009C7467"/>
    <w:rsid w:val="009C74DD"/>
    <w:rsid w:val="009C75D9"/>
    <w:rsid w:val="009C7612"/>
    <w:rsid w:val="009C7671"/>
    <w:rsid w:val="009C767E"/>
    <w:rsid w:val="009C776F"/>
    <w:rsid w:val="009C780A"/>
    <w:rsid w:val="009C78EE"/>
    <w:rsid w:val="009C7B60"/>
    <w:rsid w:val="009C7B97"/>
    <w:rsid w:val="009C7C09"/>
    <w:rsid w:val="009C7CC6"/>
    <w:rsid w:val="009C7E63"/>
    <w:rsid w:val="009D004A"/>
    <w:rsid w:val="009D00B7"/>
    <w:rsid w:val="009D00B9"/>
    <w:rsid w:val="009D0194"/>
    <w:rsid w:val="009D0417"/>
    <w:rsid w:val="009D04B5"/>
    <w:rsid w:val="009D05A4"/>
    <w:rsid w:val="009D05D9"/>
    <w:rsid w:val="009D0623"/>
    <w:rsid w:val="009D0667"/>
    <w:rsid w:val="009D0771"/>
    <w:rsid w:val="009D0801"/>
    <w:rsid w:val="009D081E"/>
    <w:rsid w:val="009D0844"/>
    <w:rsid w:val="009D0871"/>
    <w:rsid w:val="009D0894"/>
    <w:rsid w:val="009D0925"/>
    <w:rsid w:val="009D093D"/>
    <w:rsid w:val="009D094C"/>
    <w:rsid w:val="009D0970"/>
    <w:rsid w:val="009D09E9"/>
    <w:rsid w:val="009D0B06"/>
    <w:rsid w:val="009D0B77"/>
    <w:rsid w:val="009D0C66"/>
    <w:rsid w:val="009D0C69"/>
    <w:rsid w:val="009D0D0E"/>
    <w:rsid w:val="009D0D41"/>
    <w:rsid w:val="009D0D66"/>
    <w:rsid w:val="009D0DFB"/>
    <w:rsid w:val="009D0EE5"/>
    <w:rsid w:val="009D0F64"/>
    <w:rsid w:val="009D0F75"/>
    <w:rsid w:val="009D10B7"/>
    <w:rsid w:val="009D1135"/>
    <w:rsid w:val="009D11EB"/>
    <w:rsid w:val="009D12EF"/>
    <w:rsid w:val="009D133E"/>
    <w:rsid w:val="009D1382"/>
    <w:rsid w:val="009D1472"/>
    <w:rsid w:val="009D1741"/>
    <w:rsid w:val="009D17AA"/>
    <w:rsid w:val="009D186A"/>
    <w:rsid w:val="009D1A04"/>
    <w:rsid w:val="009D1AB1"/>
    <w:rsid w:val="009D1AE9"/>
    <w:rsid w:val="009D1BBD"/>
    <w:rsid w:val="009D1C72"/>
    <w:rsid w:val="009D1D49"/>
    <w:rsid w:val="009D1D4A"/>
    <w:rsid w:val="009D1D68"/>
    <w:rsid w:val="009D1DB6"/>
    <w:rsid w:val="009D1E87"/>
    <w:rsid w:val="009D1E9C"/>
    <w:rsid w:val="009D1F1D"/>
    <w:rsid w:val="009D1FC1"/>
    <w:rsid w:val="009D1FD5"/>
    <w:rsid w:val="009D1FD8"/>
    <w:rsid w:val="009D202B"/>
    <w:rsid w:val="009D2119"/>
    <w:rsid w:val="009D2158"/>
    <w:rsid w:val="009D2224"/>
    <w:rsid w:val="009D22C4"/>
    <w:rsid w:val="009D22C5"/>
    <w:rsid w:val="009D249C"/>
    <w:rsid w:val="009D2565"/>
    <w:rsid w:val="009D2707"/>
    <w:rsid w:val="009D28C3"/>
    <w:rsid w:val="009D2A37"/>
    <w:rsid w:val="009D2C32"/>
    <w:rsid w:val="009D2E76"/>
    <w:rsid w:val="009D2F00"/>
    <w:rsid w:val="009D3035"/>
    <w:rsid w:val="009D3118"/>
    <w:rsid w:val="009D31D8"/>
    <w:rsid w:val="009D3247"/>
    <w:rsid w:val="009D3309"/>
    <w:rsid w:val="009D3311"/>
    <w:rsid w:val="009D335D"/>
    <w:rsid w:val="009D3364"/>
    <w:rsid w:val="009D3539"/>
    <w:rsid w:val="009D3564"/>
    <w:rsid w:val="009D3574"/>
    <w:rsid w:val="009D3645"/>
    <w:rsid w:val="009D3653"/>
    <w:rsid w:val="009D3843"/>
    <w:rsid w:val="009D3890"/>
    <w:rsid w:val="009D3941"/>
    <w:rsid w:val="009D3AA9"/>
    <w:rsid w:val="009D3C2D"/>
    <w:rsid w:val="009D3D38"/>
    <w:rsid w:val="009D3D6A"/>
    <w:rsid w:val="009D3E43"/>
    <w:rsid w:val="009D3FA7"/>
    <w:rsid w:val="009D413D"/>
    <w:rsid w:val="009D4196"/>
    <w:rsid w:val="009D4447"/>
    <w:rsid w:val="009D456C"/>
    <w:rsid w:val="009D45E4"/>
    <w:rsid w:val="009D4703"/>
    <w:rsid w:val="009D492A"/>
    <w:rsid w:val="009D49CD"/>
    <w:rsid w:val="009D4A05"/>
    <w:rsid w:val="009D4A2B"/>
    <w:rsid w:val="009D4B67"/>
    <w:rsid w:val="009D4B6A"/>
    <w:rsid w:val="009D4D94"/>
    <w:rsid w:val="009D4FA1"/>
    <w:rsid w:val="009D5004"/>
    <w:rsid w:val="009D502E"/>
    <w:rsid w:val="009D5132"/>
    <w:rsid w:val="009D5174"/>
    <w:rsid w:val="009D52A9"/>
    <w:rsid w:val="009D53EC"/>
    <w:rsid w:val="009D54FC"/>
    <w:rsid w:val="009D5511"/>
    <w:rsid w:val="009D5568"/>
    <w:rsid w:val="009D56D2"/>
    <w:rsid w:val="009D57E3"/>
    <w:rsid w:val="009D5825"/>
    <w:rsid w:val="009D583A"/>
    <w:rsid w:val="009D58E8"/>
    <w:rsid w:val="009D58F5"/>
    <w:rsid w:val="009D599C"/>
    <w:rsid w:val="009D59F7"/>
    <w:rsid w:val="009D5B4C"/>
    <w:rsid w:val="009D5C16"/>
    <w:rsid w:val="009D5C73"/>
    <w:rsid w:val="009D5CCD"/>
    <w:rsid w:val="009D5D1B"/>
    <w:rsid w:val="009D5EB6"/>
    <w:rsid w:val="009D5F78"/>
    <w:rsid w:val="009D5F86"/>
    <w:rsid w:val="009D6000"/>
    <w:rsid w:val="009D6002"/>
    <w:rsid w:val="009D6012"/>
    <w:rsid w:val="009D6097"/>
    <w:rsid w:val="009D621A"/>
    <w:rsid w:val="009D6355"/>
    <w:rsid w:val="009D64C8"/>
    <w:rsid w:val="009D6505"/>
    <w:rsid w:val="009D651C"/>
    <w:rsid w:val="009D669B"/>
    <w:rsid w:val="009D66CE"/>
    <w:rsid w:val="009D681F"/>
    <w:rsid w:val="009D68E0"/>
    <w:rsid w:val="009D6E46"/>
    <w:rsid w:val="009D6F46"/>
    <w:rsid w:val="009D71BE"/>
    <w:rsid w:val="009D7238"/>
    <w:rsid w:val="009D731B"/>
    <w:rsid w:val="009D737E"/>
    <w:rsid w:val="009D73E1"/>
    <w:rsid w:val="009D7418"/>
    <w:rsid w:val="009D742F"/>
    <w:rsid w:val="009D7470"/>
    <w:rsid w:val="009D74C2"/>
    <w:rsid w:val="009D756B"/>
    <w:rsid w:val="009D7591"/>
    <w:rsid w:val="009D77A9"/>
    <w:rsid w:val="009D7908"/>
    <w:rsid w:val="009D79AA"/>
    <w:rsid w:val="009D7BF3"/>
    <w:rsid w:val="009D7C0E"/>
    <w:rsid w:val="009D7C9F"/>
    <w:rsid w:val="009D7CC0"/>
    <w:rsid w:val="009D7D1D"/>
    <w:rsid w:val="009D7DF2"/>
    <w:rsid w:val="009D7E5D"/>
    <w:rsid w:val="009D7E65"/>
    <w:rsid w:val="009D7E92"/>
    <w:rsid w:val="009D7EA4"/>
    <w:rsid w:val="009D7F15"/>
    <w:rsid w:val="009D7F58"/>
    <w:rsid w:val="009D7FAD"/>
    <w:rsid w:val="009E006D"/>
    <w:rsid w:val="009E01CE"/>
    <w:rsid w:val="009E0269"/>
    <w:rsid w:val="009E02A4"/>
    <w:rsid w:val="009E0300"/>
    <w:rsid w:val="009E0453"/>
    <w:rsid w:val="009E048B"/>
    <w:rsid w:val="009E05FA"/>
    <w:rsid w:val="009E0631"/>
    <w:rsid w:val="009E080C"/>
    <w:rsid w:val="009E0820"/>
    <w:rsid w:val="009E0975"/>
    <w:rsid w:val="009E09A3"/>
    <w:rsid w:val="009E0A65"/>
    <w:rsid w:val="009E0AC1"/>
    <w:rsid w:val="009E0B84"/>
    <w:rsid w:val="009E0BBC"/>
    <w:rsid w:val="009E0C50"/>
    <w:rsid w:val="009E0CD9"/>
    <w:rsid w:val="009E0D4E"/>
    <w:rsid w:val="009E0E50"/>
    <w:rsid w:val="009E0E58"/>
    <w:rsid w:val="009E0F1F"/>
    <w:rsid w:val="009E0FC0"/>
    <w:rsid w:val="009E102D"/>
    <w:rsid w:val="009E127E"/>
    <w:rsid w:val="009E12AF"/>
    <w:rsid w:val="009E138C"/>
    <w:rsid w:val="009E13B2"/>
    <w:rsid w:val="009E1642"/>
    <w:rsid w:val="009E16F1"/>
    <w:rsid w:val="009E17B1"/>
    <w:rsid w:val="009E18AF"/>
    <w:rsid w:val="009E1A4B"/>
    <w:rsid w:val="009E1A9A"/>
    <w:rsid w:val="009E1AE9"/>
    <w:rsid w:val="009E1C5C"/>
    <w:rsid w:val="009E1E23"/>
    <w:rsid w:val="009E1E37"/>
    <w:rsid w:val="009E1EFA"/>
    <w:rsid w:val="009E2097"/>
    <w:rsid w:val="009E20CD"/>
    <w:rsid w:val="009E21E2"/>
    <w:rsid w:val="009E2307"/>
    <w:rsid w:val="009E2340"/>
    <w:rsid w:val="009E239D"/>
    <w:rsid w:val="009E24F0"/>
    <w:rsid w:val="009E2515"/>
    <w:rsid w:val="009E27C2"/>
    <w:rsid w:val="009E27D0"/>
    <w:rsid w:val="009E281D"/>
    <w:rsid w:val="009E28EC"/>
    <w:rsid w:val="009E2913"/>
    <w:rsid w:val="009E2931"/>
    <w:rsid w:val="009E2A00"/>
    <w:rsid w:val="009E2A96"/>
    <w:rsid w:val="009E2A9D"/>
    <w:rsid w:val="009E2C9F"/>
    <w:rsid w:val="009E2D5B"/>
    <w:rsid w:val="009E2F33"/>
    <w:rsid w:val="009E2FF1"/>
    <w:rsid w:val="009E305A"/>
    <w:rsid w:val="009E348F"/>
    <w:rsid w:val="009E34AD"/>
    <w:rsid w:val="009E34DE"/>
    <w:rsid w:val="009E35CB"/>
    <w:rsid w:val="009E3610"/>
    <w:rsid w:val="009E3883"/>
    <w:rsid w:val="009E3ADD"/>
    <w:rsid w:val="009E3B34"/>
    <w:rsid w:val="009E3B46"/>
    <w:rsid w:val="009E3B66"/>
    <w:rsid w:val="009E3B6C"/>
    <w:rsid w:val="009E3CBB"/>
    <w:rsid w:val="009E3D91"/>
    <w:rsid w:val="009E3DE6"/>
    <w:rsid w:val="009E3F62"/>
    <w:rsid w:val="009E3F81"/>
    <w:rsid w:val="009E3FCE"/>
    <w:rsid w:val="009E4008"/>
    <w:rsid w:val="009E4077"/>
    <w:rsid w:val="009E40B9"/>
    <w:rsid w:val="009E411C"/>
    <w:rsid w:val="009E41C5"/>
    <w:rsid w:val="009E4213"/>
    <w:rsid w:val="009E4360"/>
    <w:rsid w:val="009E43C5"/>
    <w:rsid w:val="009E43C8"/>
    <w:rsid w:val="009E43E8"/>
    <w:rsid w:val="009E46D6"/>
    <w:rsid w:val="009E484E"/>
    <w:rsid w:val="009E48C3"/>
    <w:rsid w:val="009E491B"/>
    <w:rsid w:val="009E4A9D"/>
    <w:rsid w:val="009E4B03"/>
    <w:rsid w:val="009E4B04"/>
    <w:rsid w:val="009E4B44"/>
    <w:rsid w:val="009E4B73"/>
    <w:rsid w:val="009E4BBF"/>
    <w:rsid w:val="009E4BCF"/>
    <w:rsid w:val="009E4BFC"/>
    <w:rsid w:val="009E4E0D"/>
    <w:rsid w:val="009E4E1E"/>
    <w:rsid w:val="009E4E69"/>
    <w:rsid w:val="009E4EB8"/>
    <w:rsid w:val="009E4F1C"/>
    <w:rsid w:val="009E4F1F"/>
    <w:rsid w:val="009E4F90"/>
    <w:rsid w:val="009E50C4"/>
    <w:rsid w:val="009E5122"/>
    <w:rsid w:val="009E516D"/>
    <w:rsid w:val="009E5376"/>
    <w:rsid w:val="009E5553"/>
    <w:rsid w:val="009E5566"/>
    <w:rsid w:val="009E55C6"/>
    <w:rsid w:val="009E5613"/>
    <w:rsid w:val="009E569B"/>
    <w:rsid w:val="009E56BB"/>
    <w:rsid w:val="009E5735"/>
    <w:rsid w:val="009E5818"/>
    <w:rsid w:val="009E594C"/>
    <w:rsid w:val="009E5977"/>
    <w:rsid w:val="009E5A16"/>
    <w:rsid w:val="009E5A73"/>
    <w:rsid w:val="009E5B40"/>
    <w:rsid w:val="009E5B90"/>
    <w:rsid w:val="009E5BB9"/>
    <w:rsid w:val="009E5C62"/>
    <w:rsid w:val="009E5CAA"/>
    <w:rsid w:val="009E5DA7"/>
    <w:rsid w:val="009E5DD8"/>
    <w:rsid w:val="009E6190"/>
    <w:rsid w:val="009E6192"/>
    <w:rsid w:val="009E61D5"/>
    <w:rsid w:val="009E61E2"/>
    <w:rsid w:val="009E625A"/>
    <w:rsid w:val="009E631A"/>
    <w:rsid w:val="009E6343"/>
    <w:rsid w:val="009E63DC"/>
    <w:rsid w:val="009E6406"/>
    <w:rsid w:val="009E6433"/>
    <w:rsid w:val="009E64E6"/>
    <w:rsid w:val="009E6506"/>
    <w:rsid w:val="009E6583"/>
    <w:rsid w:val="009E666C"/>
    <w:rsid w:val="009E6690"/>
    <w:rsid w:val="009E66D7"/>
    <w:rsid w:val="009E673E"/>
    <w:rsid w:val="009E678D"/>
    <w:rsid w:val="009E68B7"/>
    <w:rsid w:val="009E6939"/>
    <w:rsid w:val="009E695E"/>
    <w:rsid w:val="009E6AF6"/>
    <w:rsid w:val="009E6B04"/>
    <w:rsid w:val="009E6B81"/>
    <w:rsid w:val="009E6B9F"/>
    <w:rsid w:val="009E6BF6"/>
    <w:rsid w:val="009E6C22"/>
    <w:rsid w:val="009E6C8C"/>
    <w:rsid w:val="009E6DA4"/>
    <w:rsid w:val="009E6F5D"/>
    <w:rsid w:val="009E712C"/>
    <w:rsid w:val="009E7280"/>
    <w:rsid w:val="009E7301"/>
    <w:rsid w:val="009E73F4"/>
    <w:rsid w:val="009E7541"/>
    <w:rsid w:val="009E75A8"/>
    <w:rsid w:val="009E7663"/>
    <w:rsid w:val="009E7683"/>
    <w:rsid w:val="009E76E7"/>
    <w:rsid w:val="009E77E4"/>
    <w:rsid w:val="009E787E"/>
    <w:rsid w:val="009E78B6"/>
    <w:rsid w:val="009E79EB"/>
    <w:rsid w:val="009E7A94"/>
    <w:rsid w:val="009E7AB0"/>
    <w:rsid w:val="009E7C3B"/>
    <w:rsid w:val="009E7CC4"/>
    <w:rsid w:val="009E7D80"/>
    <w:rsid w:val="009E7DEC"/>
    <w:rsid w:val="009E7DF0"/>
    <w:rsid w:val="009E7E2C"/>
    <w:rsid w:val="009E7EDA"/>
    <w:rsid w:val="009E7F2B"/>
    <w:rsid w:val="009E7F63"/>
    <w:rsid w:val="009F0053"/>
    <w:rsid w:val="009F00A7"/>
    <w:rsid w:val="009F0117"/>
    <w:rsid w:val="009F01BB"/>
    <w:rsid w:val="009F024B"/>
    <w:rsid w:val="009F0297"/>
    <w:rsid w:val="009F02CC"/>
    <w:rsid w:val="009F04CF"/>
    <w:rsid w:val="009F05FA"/>
    <w:rsid w:val="009F06AB"/>
    <w:rsid w:val="009F0725"/>
    <w:rsid w:val="009F07FC"/>
    <w:rsid w:val="009F0820"/>
    <w:rsid w:val="009F0866"/>
    <w:rsid w:val="009F08A6"/>
    <w:rsid w:val="009F0991"/>
    <w:rsid w:val="009F0A26"/>
    <w:rsid w:val="009F0A99"/>
    <w:rsid w:val="009F0A9A"/>
    <w:rsid w:val="009F0B8D"/>
    <w:rsid w:val="009F0C4D"/>
    <w:rsid w:val="009F0C7A"/>
    <w:rsid w:val="009F0CB1"/>
    <w:rsid w:val="009F0DED"/>
    <w:rsid w:val="009F0E09"/>
    <w:rsid w:val="009F0F8A"/>
    <w:rsid w:val="009F1008"/>
    <w:rsid w:val="009F10BB"/>
    <w:rsid w:val="009F130C"/>
    <w:rsid w:val="009F1506"/>
    <w:rsid w:val="009F1564"/>
    <w:rsid w:val="009F156A"/>
    <w:rsid w:val="009F171E"/>
    <w:rsid w:val="009F17F1"/>
    <w:rsid w:val="009F1828"/>
    <w:rsid w:val="009F18E6"/>
    <w:rsid w:val="009F1965"/>
    <w:rsid w:val="009F19B1"/>
    <w:rsid w:val="009F19C0"/>
    <w:rsid w:val="009F1A2A"/>
    <w:rsid w:val="009F1B11"/>
    <w:rsid w:val="009F1B80"/>
    <w:rsid w:val="009F1B82"/>
    <w:rsid w:val="009F1BE8"/>
    <w:rsid w:val="009F1CFD"/>
    <w:rsid w:val="009F1D61"/>
    <w:rsid w:val="009F1DD8"/>
    <w:rsid w:val="009F1E5D"/>
    <w:rsid w:val="009F1F27"/>
    <w:rsid w:val="009F1FA3"/>
    <w:rsid w:val="009F2085"/>
    <w:rsid w:val="009F215C"/>
    <w:rsid w:val="009F217B"/>
    <w:rsid w:val="009F21F7"/>
    <w:rsid w:val="009F222F"/>
    <w:rsid w:val="009F24CD"/>
    <w:rsid w:val="009F2670"/>
    <w:rsid w:val="009F26D7"/>
    <w:rsid w:val="009F270B"/>
    <w:rsid w:val="009F2726"/>
    <w:rsid w:val="009F2805"/>
    <w:rsid w:val="009F28A8"/>
    <w:rsid w:val="009F2928"/>
    <w:rsid w:val="009F2B54"/>
    <w:rsid w:val="009F2BBF"/>
    <w:rsid w:val="009F2C65"/>
    <w:rsid w:val="009F2CD0"/>
    <w:rsid w:val="009F2D2A"/>
    <w:rsid w:val="009F2D5C"/>
    <w:rsid w:val="009F2E11"/>
    <w:rsid w:val="009F2F0E"/>
    <w:rsid w:val="009F2F35"/>
    <w:rsid w:val="009F303C"/>
    <w:rsid w:val="009F3081"/>
    <w:rsid w:val="009F3119"/>
    <w:rsid w:val="009F3186"/>
    <w:rsid w:val="009F318F"/>
    <w:rsid w:val="009F31EA"/>
    <w:rsid w:val="009F3275"/>
    <w:rsid w:val="009F337C"/>
    <w:rsid w:val="009F3398"/>
    <w:rsid w:val="009F357C"/>
    <w:rsid w:val="009F35DB"/>
    <w:rsid w:val="009F35DD"/>
    <w:rsid w:val="009F364C"/>
    <w:rsid w:val="009F374A"/>
    <w:rsid w:val="009F379A"/>
    <w:rsid w:val="009F38C9"/>
    <w:rsid w:val="009F3B4C"/>
    <w:rsid w:val="009F3C17"/>
    <w:rsid w:val="009F3DBB"/>
    <w:rsid w:val="009F3E90"/>
    <w:rsid w:val="009F3FED"/>
    <w:rsid w:val="009F400C"/>
    <w:rsid w:val="009F40F3"/>
    <w:rsid w:val="009F4258"/>
    <w:rsid w:val="009F45D4"/>
    <w:rsid w:val="009F478D"/>
    <w:rsid w:val="009F47D6"/>
    <w:rsid w:val="009F47ED"/>
    <w:rsid w:val="009F483C"/>
    <w:rsid w:val="009F4930"/>
    <w:rsid w:val="009F4966"/>
    <w:rsid w:val="009F49D7"/>
    <w:rsid w:val="009F4AB7"/>
    <w:rsid w:val="009F4C38"/>
    <w:rsid w:val="009F4D5D"/>
    <w:rsid w:val="009F4DFE"/>
    <w:rsid w:val="009F4E13"/>
    <w:rsid w:val="009F4E24"/>
    <w:rsid w:val="009F4F92"/>
    <w:rsid w:val="009F506B"/>
    <w:rsid w:val="009F5076"/>
    <w:rsid w:val="009F510F"/>
    <w:rsid w:val="009F5172"/>
    <w:rsid w:val="009F521C"/>
    <w:rsid w:val="009F5342"/>
    <w:rsid w:val="009F5356"/>
    <w:rsid w:val="009F540C"/>
    <w:rsid w:val="009F55D3"/>
    <w:rsid w:val="009F5602"/>
    <w:rsid w:val="009F56F3"/>
    <w:rsid w:val="009F5866"/>
    <w:rsid w:val="009F5E1D"/>
    <w:rsid w:val="009F5F24"/>
    <w:rsid w:val="009F5F97"/>
    <w:rsid w:val="009F6123"/>
    <w:rsid w:val="009F6190"/>
    <w:rsid w:val="009F61E3"/>
    <w:rsid w:val="009F61EF"/>
    <w:rsid w:val="009F62DF"/>
    <w:rsid w:val="009F6372"/>
    <w:rsid w:val="009F6437"/>
    <w:rsid w:val="009F6714"/>
    <w:rsid w:val="009F6AAD"/>
    <w:rsid w:val="009F6B6F"/>
    <w:rsid w:val="009F6BFD"/>
    <w:rsid w:val="009F6C52"/>
    <w:rsid w:val="009F6D3F"/>
    <w:rsid w:val="009F6D51"/>
    <w:rsid w:val="009F6DE7"/>
    <w:rsid w:val="009F6DF7"/>
    <w:rsid w:val="009F7117"/>
    <w:rsid w:val="009F711B"/>
    <w:rsid w:val="009F7458"/>
    <w:rsid w:val="009F760A"/>
    <w:rsid w:val="009F77C4"/>
    <w:rsid w:val="009F787C"/>
    <w:rsid w:val="009F78E4"/>
    <w:rsid w:val="009F78F8"/>
    <w:rsid w:val="009F7904"/>
    <w:rsid w:val="009F7970"/>
    <w:rsid w:val="009F7A14"/>
    <w:rsid w:val="009F7B5E"/>
    <w:rsid w:val="009F7C31"/>
    <w:rsid w:val="009F7D14"/>
    <w:rsid w:val="009F7D6A"/>
    <w:rsid w:val="009F7DF6"/>
    <w:rsid w:val="009F7E6D"/>
    <w:rsid w:val="009F7EE0"/>
    <w:rsid w:val="009F7F63"/>
    <w:rsid w:val="009F7FCC"/>
    <w:rsid w:val="00A0012E"/>
    <w:rsid w:val="00A0018A"/>
    <w:rsid w:val="00A001E0"/>
    <w:rsid w:val="00A00265"/>
    <w:rsid w:val="00A002B8"/>
    <w:rsid w:val="00A0030C"/>
    <w:rsid w:val="00A00339"/>
    <w:rsid w:val="00A004CE"/>
    <w:rsid w:val="00A005CD"/>
    <w:rsid w:val="00A00669"/>
    <w:rsid w:val="00A0071F"/>
    <w:rsid w:val="00A007B3"/>
    <w:rsid w:val="00A00844"/>
    <w:rsid w:val="00A00868"/>
    <w:rsid w:val="00A00889"/>
    <w:rsid w:val="00A009B1"/>
    <w:rsid w:val="00A00AB2"/>
    <w:rsid w:val="00A00AC8"/>
    <w:rsid w:val="00A00B47"/>
    <w:rsid w:val="00A00BA4"/>
    <w:rsid w:val="00A01007"/>
    <w:rsid w:val="00A0128B"/>
    <w:rsid w:val="00A01301"/>
    <w:rsid w:val="00A013FA"/>
    <w:rsid w:val="00A01431"/>
    <w:rsid w:val="00A0159B"/>
    <w:rsid w:val="00A01602"/>
    <w:rsid w:val="00A01627"/>
    <w:rsid w:val="00A0168E"/>
    <w:rsid w:val="00A01861"/>
    <w:rsid w:val="00A018EE"/>
    <w:rsid w:val="00A018EF"/>
    <w:rsid w:val="00A019FD"/>
    <w:rsid w:val="00A01A67"/>
    <w:rsid w:val="00A01ACA"/>
    <w:rsid w:val="00A01B89"/>
    <w:rsid w:val="00A01C28"/>
    <w:rsid w:val="00A01C6A"/>
    <w:rsid w:val="00A01CD4"/>
    <w:rsid w:val="00A01D1A"/>
    <w:rsid w:val="00A01D86"/>
    <w:rsid w:val="00A01DA8"/>
    <w:rsid w:val="00A01E1B"/>
    <w:rsid w:val="00A01EB0"/>
    <w:rsid w:val="00A01EB2"/>
    <w:rsid w:val="00A01F43"/>
    <w:rsid w:val="00A01F96"/>
    <w:rsid w:val="00A01FB0"/>
    <w:rsid w:val="00A020CE"/>
    <w:rsid w:val="00A02143"/>
    <w:rsid w:val="00A021C6"/>
    <w:rsid w:val="00A021DA"/>
    <w:rsid w:val="00A02349"/>
    <w:rsid w:val="00A02362"/>
    <w:rsid w:val="00A0238A"/>
    <w:rsid w:val="00A023B9"/>
    <w:rsid w:val="00A02407"/>
    <w:rsid w:val="00A0241D"/>
    <w:rsid w:val="00A0266F"/>
    <w:rsid w:val="00A026BF"/>
    <w:rsid w:val="00A026DC"/>
    <w:rsid w:val="00A0270B"/>
    <w:rsid w:val="00A02777"/>
    <w:rsid w:val="00A028FE"/>
    <w:rsid w:val="00A02AD3"/>
    <w:rsid w:val="00A02B34"/>
    <w:rsid w:val="00A02B36"/>
    <w:rsid w:val="00A02C50"/>
    <w:rsid w:val="00A02C81"/>
    <w:rsid w:val="00A02D13"/>
    <w:rsid w:val="00A02DD4"/>
    <w:rsid w:val="00A02F29"/>
    <w:rsid w:val="00A03012"/>
    <w:rsid w:val="00A03140"/>
    <w:rsid w:val="00A0319C"/>
    <w:rsid w:val="00A033D0"/>
    <w:rsid w:val="00A03640"/>
    <w:rsid w:val="00A036C2"/>
    <w:rsid w:val="00A03908"/>
    <w:rsid w:val="00A03BBE"/>
    <w:rsid w:val="00A03E0A"/>
    <w:rsid w:val="00A0400E"/>
    <w:rsid w:val="00A040B1"/>
    <w:rsid w:val="00A041A8"/>
    <w:rsid w:val="00A041EF"/>
    <w:rsid w:val="00A0424D"/>
    <w:rsid w:val="00A04297"/>
    <w:rsid w:val="00A04385"/>
    <w:rsid w:val="00A04396"/>
    <w:rsid w:val="00A04405"/>
    <w:rsid w:val="00A04690"/>
    <w:rsid w:val="00A046E7"/>
    <w:rsid w:val="00A0476C"/>
    <w:rsid w:val="00A04841"/>
    <w:rsid w:val="00A048B3"/>
    <w:rsid w:val="00A0495D"/>
    <w:rsid w:val="00A0498C"/>
    <w:rsid w:val="00A049F4"/>
    <w:rsid w:val="00A04A98"/>
    <w:rsid w:val="00A04AC8"/>
    <w:rsid w:val="00A04B89"/>
    <w:rsid w:val="00A04BBA"/>
    <w:rsid w:val="00A04CC8"/>
    <w:rsid w:val="00A04CEF"/>
    <w:rsid w:val="00A04CF4"/>
    <w:rsid w:val="00A04D01"/>
    <w:rsid w:val="00A04DC0"/>
    <w:rsid w:val="00A04DF2"/>
    <w:rsid w:val="00A04E66"/>
    <w:rsid w:val="00A04F32"/>
    <w:rsid w:val="00A04F9F"/>
    <w:rsid w:val="00A05077"/>
    <w:rsid w:val="00A051A2"/>
    <w:rsid w:val="00A051F6"/>
    <w:rsid w:val="00A052A2"/>
    <w:rsid w:val="00A05539"/>
    <w:rsid w:val="00A05548"/>
    <w:rsid w:val="00A05630"/>
    <w:rsid w:val="00A05673"/>
    <w:rsid w:val="00A0568D"/>
    <w:rsid w:val="00A056D8"/>
    <w:rsid w:val="00A05784"/>
    <w:rsid w:val="00A05797"/>
    <w:rsid w:val="00A0589D"/>
    <w:rsid w:val="00A058D0"/>
    <w:rsid w:val="00A059C6"/>
    <w:rsid w:val="00A05A0B"/>
    <w:rsid w:val="00A05AA2"/>
    <w:rsid w:val="00A05AAB"/>
    <w:rsid w:val="00A05B72"/>
    <w:rsid w:val="00A05BE4"/>
    <w:rsid w:val="00A05EBD"/>
    <w:rsid w:val="00A05EC2"/>
    <w:rsid w:val="00A05EC7"/>
    <w:rsid w:val="00A05EFC"/>
    <w:rsid w:val="00A05F8F"/>
    <w:rsid w:val="00A06140"/>
    <w:rsid w:val="00A063EE"/>
    <w:rsid w:val="00A064F8"/>
    <w:rsid w:val="00A06516"/>
    <w:rsid w:val="00A066DE"/>
    <w:rsid w:val="00A06846"/>
    <w:rsid w:val="00A068A6"/>
    <w:rsid w:val="00A0696D"/>
    <w:rsid w:val="00A06A0B"/>
    <w:rsid w:val="00A06A0E"/>
    <w:rsid w:val="00A06BBE"/>
    <w:rsid w:val="00A06D56"/>
    <w:rsid w:val="00A06EF8"/>
    <w:rsid w:val="00A06EFC"/>
    <w:rsid w:val="00A07013"/>
    <w:rsid w:val="00A070AB"/>
    <w:rsid w:val="00A07183"/>
    <w:rsid w:val="00A072F7"/>
    <w:rsid w:val="00A07306"/>
    <w:rsid w:val="00A073FC"/>
    <w:rsid w:val="00A074D5"/>
    <w:rsid w:val="00A07500"/>
    <w:rsid w:val="00A075BA"/>
    <w:rsid w:val="00A07841"/>
    <w:rsid w:val="00A07AD1"/>
    <w:rsid w:val="00A07B59"/>
    <w:rsid w:val="00A07C56"/>
    <w:rsid w:val="00A07C65"/>
    <w:rsid w:val="00A07CF6"/>
    <w:rsid w:val="00A07D7B"/>
    <w:rsid w:val="00A07DA7"/>
    <w:rsid w:val="00A07E5E"/>
    <w:rsid w:val="00A10293"/>
    <w:rsid w:val="00A102E1"/>
    <w:rsid w:val="00A1036A"/>
    <w:rsid w:val="00A103C2"/>
    <w:rsid w:val="00A104B1"/>
    <w:rsid w:val="00A104DD"/>
    <w:rsid w:val="00A10526"/>
    <w:rsid w:val="00A1059C"/>
    <w:rsid w:val="00A106A5"/>
    <w:rsid w:val="00A106AA"/>
    <w:rsid w:val="00A107A1"/>
    <w:rsid w:val="00A1080A"/>
    <w:rsid w:val="00A1081E"/>
    <w:rsid w:val="00A1096A"/>
    <w:rsid w:val="00A10A46"/>
    <w:rsid w:val="00A10A83"/>
    <w:rsid w:val="00A10AA5"/>
    <w:rsid w:val="00A10DB9"/>
    <w:rsid w:val="00A10F03"/>
    <w:rsid w:val="00A10FEC"/>
    <w:rsid w:val="00A110EB"/>
    <w:rsid w:val="00A11276"/>
    <w:rsid w:val="00A1140C"/>
    <w:rsid w:val="00A1146B"/>
    <w:rsid w:val="00A1147F"/>
    <w:rsid w:val="00A115DB"/>
    <w:rsid w:val="00A11785"/>
    <w:rsid w:val="00A1179D"/>
    <w:rsid w:val="00A1187B"/>
    <w:rsid w:val="00A11883"/>
    <w:rsid w:val="00A119ED"/>
    <w:rsid w:val="00A11A7B"/>
    <w:rsid w:val="00A11AC5"/>
    <w:rsid w:val="00A11B83"/>
    <w:rsid w:val="00A11D20"/>
    <w:rsid w:val="00A11D34"/>
    <w:rsid w:val="00A11E38"/>
    <w:rsid w:val="00A11F59"/>
    <w:rsid w:val="00A12021"/>
    <w:rsid w:val="00A12175"/>
    <w:rsid w:val="00A121B7"/>
    <w:rsid w:val="00A121CC"/>
    <w:rsid w:val="00A122AD"/>
    <w:rsid w:val="00A122F1"/>
    <w:rsid w:val="00A1233E"/>
    <w:rsid w:val="00A12459"/>
    <w:rsid w:val="00A12737"/>
    <w:rsid w:val="00A1275C"/>
    <w:rsid w:val="00A1275D"/>
    <w:rsid w:val="00A12781"/>
    <w:rsid w:val="00A127D8"/>
    <w:rsid w:val="00A1280C"/>
    <w:rsid w:val="00A1299F"/>
    <w:rsid w:val="00A12A10"/>
    <w:rsid w:val="00A12A2E"/>
    <w:rsid w:val="00A12B1E"/>
    <w:rsid w:val="00A12B31"/>
    <w:rsid w:val="00A12BF7"/>
    <w:rsid w:val="00A12BF9"/>
    <w:rsid w:val="00A12C4C"/>
    <w:rsid w:val="00A12DD7"/>
    <w:rsid w:val="00A12E39"/>
    <w:rsid w:val="00A12E3A"/>
    <w:rsid w:val="00A12F11"/>
    <w:rsid w:val="00A12F2F"/>
    <w:rsid w:val="00A12FBC"/>
    <w:rsid w:val="00A12FC7"/>
    <w:rsid w:val="00A1305F"/>
    <w:rsid w:val="00A13061"/>
    <w:rsid w:val="00A130F5"/>
    <w:rsid w:val="00A13124"/>
    <w:rsid w:val="00A13485"/>
    <w:rsid w:val="00A13816"/>
    <w:rsid w:val="00A138DD"/>
    <w:rsid w:val="00A1394C"/>
    <w:rsid w:val="00A1399A"/>
    <w:rsid w:val="00A139F9"/>
    <w:rsid w:val="00A13B5A"/>
    <w:rsid w:val="00A13BEC"/>
    <w:rsid w:val="00A13C6E"/>
    <w:rsid w:val="00A13CAB"/>
    <w:rsid w:val="00A13D4C"/>
    <w:rsid w:val="00A13D8E"/>
    <w:rsid w:val="00A13E18"/>
    <w:rsid w:val="00A140DB"/>
    <w:rsid w:val="00A14159"/>
    <w:rsid w:val="00A14187"/>
    <w:rsid w:val="00A1425E"/>
    <w:rsid w:val="00A143E2"/>
    <w:rsid w:val="00A144BC"/>
    <w:rsid w:val="00A14515"/>
    <w:rsid w:val="00A14761"/>
    <w:rsid w:val="00A147CE"/>
    <w:rsid w:val="00A14880"/>
    <w:rsid w:val="00A148ED"/>
    <w:rsid w:val="00A14993"/>
    <w:rsid w:val="00A149B7"/>
    <w:rsid w:val="00A14A54"/>
    <w:rsid w:val="00A14AB6"/>
    <w:rsid w:val="00A14B9C"/>
    <w:rsid w:val="00A14C01"/>
    <w:rsid w:val="00A14CD4"/>
    <w:rsid w:val="00A14D8A"/>
    <w:rsid w:val="00A1500B"/>
    <w:rsid w:val="00A1500C"/>
    <w:rsid w:val="00A15066"/>
    <w:rsid w:val="00A15135"/>
    <w:rsid w:val="00A152BF"/>
    <w:rsid w:val="00A152D2"/>
    <w:rsid w:val="00A153B6"/>
    <w:rsid w:val="00A153DA"/>
    <w:rsid w:val="00A157BD"/>
    <w:rsid w:val="00A159BF"/>
    <w:rsid w:val="00A15B61"/>
    <w:rsid w:val="00A15C91"/>
    <w:rsid w:val="00A15DEA"/>
    <w:rsid w:val="00A15ED6"/>
    <w:rsid w:val="00A1606A"/>
    <w:rsid w:val="00A161A4"/>
    <w:rsid w:val="00A168AF"/>
    <w:rsid w:val="00A168C5"/>
    <w:rsid w:val="00A1696C"/>
    <w:rsid w:val="00A16A76"/>
    <w:rsid w:val="00A16B47"/>
    <w:rsid w:val="00A16BA3"/>
    <w:rsid w:val="00A16BBA"/>
    <w:rsid w:val="00A16E28"/>
    <w:rsid w:val="00A16EDA"/>
    <w:rsid w:val="00A16EE2"/>
    <w:rsid w:val="00A16FE7"/>
    <w:rsid w:val="00A17022"/>
    <w:rsid w:val="00A17039"/>
    <w:rsid w:val="00A17076"/>
    <w:rsid w:val="00A170DA"/>
    <w:rsid w:val="00A17197"/>
    <w:rsid w:val="00A1722C"/>
    <w:rsid w:val="00A1727B"/>
    <w:rsid w:val="00A172A5"/>
    <w:rsid w:val="00A173B0"/>
    <w:rsid w:val="00A1749C"/>
    <w:rsid w:val="00A174AB"/>
    <w:rsid w:val="00A17526"/>
    <w:rsid w:val="00A175C3"/>
    <w:rsid w:val="00A176C0"/>
    <w:rsid w:val="00A176D5"/>
    <w:rsid w:val="00A17740"/>
    <w:rsid w:val="00A177EC"/>
    <w:rsid w:val="00A17873"/>
    <w:rsid w:val="00A1787A"/>
    <w:rsid w:val="00A17957"/>
    <w:rsid w:val="00A17A2F"/>
    <w:rsid w:val="00A17BC9"/>
    <w:rsid w:val="00A17C49"/>
    <w:rsid w:val="00A17D52"/>
    <w:rsid w:val="00A17E5D"/>
    <w:rsid w:val="00A17E73"/>
    <w:rsid w:val="00A17F9F"/>
    <w:rsid w:val="00A17FD6"/>
    <w:rsid w:val="00A20162"/>
    <w:rsid w:val="00A2022C"/>
    <w:rsid w:val="00A20352"/>
    <w:rsid w:val="00A203CB"/>
    <w:rsid w:val="00A2041A"/>
    <w:rsid w:val="00A20456"/>
    <w:rsid w:val="00A2054A"/>
    <w:rsid w:val="00A2056B"/>
    <w:rsid w:val="00A205B5"/>
    <w:rsid w:val="00A20724"/>
    <w:rsid w:val="00A208B3"/>
    <w:rsid w:val="00A2093B"/>
    <w:rsid w:val="00A2094A"/>
    <w:rsid w:val="00A209AA"/>
    <w:rsid w:val="00A20A0A"/>
    <w:rsid w:val="00A20A59"/>
    <w:rsid w:val="00A20A6D"/>
    <w:rsid w:val="00A20AF1"/>
    <w:rsid w:val="00A20B16"/>
    <w:rsid w:val="00A20E66"/>
    <w:rsid w:val="00A20E6A"/>
    <w:rsid w:val="00A20EDC"/>
    <w:rsid w:val="00A21046"/>
    <w:rsid w:val="00A2104D"/>
    <w:rsid w:val="00A210FC"/>
    <w:rsid w:val="00A2113D"/>
    <w:rsid w:val="00A21163"/>
    <w:rsid w:val="00A2117A"/>
    <w:rsid w:val="00A2120A"/>
    <w:rsid w:val="00A212FA"/>
    <w:rsid w:val="00A21398"/>
    <w:rsid w:val="00A21416"/>
    <w:rsid w:val="00A21420"/>
    <w:rsid w:val="00A2147A"/>
    <w:rsid w:val="00A21529"/>
    <w:rsid w:val="00A215D6"/>
    <w:rsid w:val="00A215DE"/>
    <w:rsid w:val="00A216E7"/>
    <w:rsid w:val="00A217B3"/>
    <w:rsid w:val="00A21937"/>
    <w:rsid w:val="00A2198A"/>
    <w:rsid w:val="00A2199C"/>
    <w:rsid w:val="00A219FD"/>
    <w:rsid w:val="00A21A2A"/>
    <w:rsid w:val="00A21A4B"/>
    <w:rsid w:val="00A21BB3"/>
    <w:rsid w:val="00A21CC3"/>
    <w:rsid w:val="00A21DE5"/>
    <w:rsid w:val="00A21E45"/>
    <w:rsid w:val="00A21E65"/>
    <w:rsid w:val="00A22020"/>
    <w:rsid w:val="00A22136"/>
    <w:rsid w:val="00A22796"/>
    <w:rsid w:val="00A228A1"/>
    <w:rsid w:val="00A2298A"/>
    <w:rsid w:val="00A229F7"/>
    <w:rsid w:val="00A22A2C"/>
    <w:rsid w:val="00A22AE8"/>
    <w:rsid w:val="00A22BAA"/>
    <w:rsid w:val="00A22BC6"/>
    <w:rsid w:val="00A22C10"/>
    <w:rsid w:val="00A22C1F"/>
    <w:rsid w:val="00A22C63"/>
    <w:rsid w:val="00A22CF5"/>
    <w:rsid w:val="00A22DA4"/>
    <w:rsid w:val="00A22E8E"/>
    <w:rsid w:val="00A2303C"/>
    <w:rsid w:val="00A23262"/>
    <w:rsid w:val="00A232AF"/>
    <w:rsid w:val="00A232CD"/>
    <w:rsid w:val="00A23397"/>
    <w:rsid w:val="00A233B2"/>
    <w:rsid w:val="00A233F5"/>
    <w:rsid w:val="00A234AB"/>
    <w:rsid w:val="00A23535"/>
    <w:rsid w:val="00A23583"/>
    <w:rsid w:val="00A236C0"/>
    <w:rsid w:val="00A236C8"/>
    <w:rsid w:val="00A237BC"/>
    <w:rsid w:val="00A23809"/>
    <w:rsid w:val="00A2382D"/>
    <w:rsid w:val="00A23985"/>
    <w:rsid w:val="00A23AE8"/>
    <w:rsid w:val="00A23CCF"/>
    <w:rsid w:val="00A23D48"/>
    <w:rsid w:val="00A23DBB"/>
    <w:rsid w:val="00A23DE1"/>
    <w:rsid w:val="00A23E80"/>
    <w:rsid w:val="00A23FEE"/>
    <w:rsid w:val="00A241A3"/>
    <w:rsid w:val="00A242DE"/>
    <w:rsid w:val="00A2436A"/>
    <w:rsid w:val="00A243AF"/>
    <w:rsid w:val="00A244AE"/>
    <w:rsid w:val="00A24582"/>
    <w:rsid w:val="00A24624"/>
    <w:rsid w:val="00A2464C"/>
    <w:rsid w:val="00A2483E"/>
    <w:rsid w:val="00A248FC"/>
    <w:rsid w:val="00A249BA"/>
    <w:rsid w:val="00A249F7"/>
    <w:rsid w:val="00A24AB2"/>
    <w:rsid w:val="00A24AC0"/>
    <w:rsid w:val="00A24C39"/>
    <w:rsid w:val="00A24C49"/>
    <w:rsid w:val="00A24C57"/>
    <w:rsid w:val="00A24E65"/>
    <w:rsid w:val="00A24E83"/>
    <w:rsid w:val="00A24EF7"/>
    <w:rsid w:val="00A24F4A"/>
    <w:rsid w:val="00A252BF"/>
    <w:rsid w:val="00A25477"/>
    <w:rsid w:val="00A25584"/>
    <w:rsid w:val="00A255C6"/>
    <w:rsid w:val="00A25828"/>
    <w:rsid w:val="00A2590A"/>
    <w:rsid w:val="00A25918"/>
    <w:rsid w:val="00A2597D"/>
    <w:rsid w:val="00A259AE"/>
    <w:rsid w:val="00A259B7"/>
    <w:rsid w:val="00A25B63"/>
    <w:rsid w:val="00A25BF8"/>
    <w:rsid w:val="00A25D04"/>
    <w:rsid w:val="00A25D22"/>
    <w:rsid w:val="00A25D7B"/>
    <w:rsid w:val="00A25E1D"/>
    <w:rsid w:val="00A25E3B"/>
    <w:rsid w:val="00A25F6D"/>
    <w:rsid w:val="00A260F0"/>
    <w:rsid w:val="00A2617B"/>
    <w:rsid w:val="00A263FF"/>
    <w:rsid w:val="00A26476"/>
    <w:rsid w:val="00A26497"/>
    <w:rsid w:val="00A2653D"/>
    <w:rsid w:val="00A266C6"/>
    <w:rsid w:val="00A2675E"/>
    <w:rsid w:val="00A26795"/>
    <w:rsid w:val="00A26849"/>
    <w:rsid w:val="00A269B6"/>
    <w:rsid w:val="00A269CA"/>
    <w:rsid w:val="00A26AA7"/>
    <w:rsid w:val="00A26AB5"/>
    <w:rsid w:val="00A26B0C"/>
    <w:rsid w:val="00A26C5E"/>
    <w:rsid w:val="00A26CD5"/>
    <w:rsid w:val="00A26E80"/>
    <w:rsid w:val="00A26FF2"/>
    <w:rsid w:val="00A2707D"/>
    <w:rsid w:val="00A27194"/>
    <w:rsid w:val="00A272DF"/>
    <w:rsid w:val="00A2731F"/>
    <w:rsid w:val="00A2753B"/>
    <w:rsid w:val="00A275C9"/>
    <w:rsid w:val="00A27604"/>
    <w:rsid w:val="00A2781F"/>
    <w:rsid w:val="00A27970"/>
    <w:rsid w:val="00A27978"/>
    <w:rsid w:val="00A279F3"/>
    <w:rsid w:val="00A27A1C"/>
    <w:rsid w:val="00A27A76"/>
    <w:rsid w:val="00A27B6B"/>
    <w:rsid w:val="00A27BA5"/>
    <w:rsid w:val="00A27C17"/>
    <w:rsid w:val="00A27CE4"/>
    <w:rsid w:val="00A27FA2"/>
    <w:rsid w:val="00A30197"/>
    <w:rsid w:val="00A3021B"/>
    <w:rsid w:val="00A3040D"/>
    <w:rsid w:val="00A30461"/>
    <w:rsid w:val="00A3058D"/>
    <w:rsid w:val="00A3075D"/>
    <w:rsid w:val="00A30799"/>
    <w:rsid w:val="00A307CE"/>
    <w:rsid w:val="00A30807"/>
    <w:rsid w:val="00A30868"/>
    <w:rsid w:val="00A3088A"/>
    <w:rsid w:val="00A308A7"/>
    <w:rsid w:val="00A308CE"/>
    <w:rsid w:val="00A30914"/>
    <w:rsid w:val="00A30952"/>
    <w:rsid w:val="00A30A16"/>
    <w:rsid w:val="00A30C02"/>
    <w:rsid w:val="00A30CF9"/>
    <w:rsid w:val="00A30D86"/>
    <w:rsid w:val="00A30F98"/>
    <w:rsid w:val="00A30FB0"/>
    <w:rsid w:val="00A312C6"/>
    <w:rsid w:val="00A315E2"/>
    <w:rsid w:val="00A315E9"/>
    <w:rsid w:val="00A31624"/>
    <w:rsid w:val="00A31666"/>
    <w:rsid w:val="00A316AE"/>
    <w:rsid w:val="00A316E6"/>
    <w:rsid w:val="00A317EC"/>
    <w:rsid w:val="00A31820"/>
    <w:rsid w:val="00A3185F"/>
    <w:rsid w:val="00A31878"/>
    <w:rsid w:val="00A318CB"/>
    <w:rsid w:val="00A31A36"/>
    <w:rsid w:val="00A31A56"/>
    <w:rsid w:val="00A31BAF"/>
    <w:rsid w:val="00A31C6E"/>
    <w:rsid w:val="00A31D3A"/>
    <w:rsid w:val="00A31D77"/>
    <w:rsid w:val="00A31DFA"/>
    <w:rsid w:val="00A31EF9"/>
    <w:rsid w:val="00A32056"/>
    <w:rsid w:val="00A3207D"/>
    <w:rsid w:val="00A3208E"/>
    <w:rsid w:val="00A32143"/>
    <w:rsid w:val="00A321EB"/>
    <w:rsid w:val="00A321F7"/>
    <w:rsid w:val="00A3220B"/>
    <w:rsid w:val="00A32258"/>
    <w:rsid w:val="00A322A7"/>
    <w:rsid w:val="00A323EA"/>
    <w:rsid w:val="00A32493"/>
    <w:rsid w:val="00A324AD"/>
    <w:rsid w:val="00A32504"/>
    <w:rsid w:val="00A325D5"/>
    <w:rsid w:val="00A3260A"/>
    <w:rsid w:val="00A3260D"/>
    <w:rsid w:val="00A327B1"/>
    <w:rsid w:val="00A327C9"/>
    <w:rsid w:val="00A32847"/>
    <w:rsid w:val="00A328B2"/>
    <w:rsid w:val="00A329FF"/>
    <w:rsid w:val="00A32A66"/>
    <w:rsid w:val="00A32B53"/>
    <w:rsid w:val="00A32D31"/>
    <w:rsid w:val="00A32FD5"/>
    <w:rsid w:val="00A330AE"/>
    <w:rsid w:val="00A330C8"/>
    <w:rsid w:val="00A33283"/>
    <w:rsid w:val="00A33333"/>
    <w:rsid w:val="00A333EE"/>
    <w:rsid w:val="00A335B6"/>
    <w:rsid w:val="00A335CA"/>
    <w:rsid w:val="00A33663"/>
    <w:rsid w:val="00A33673"/>
    <w:rsid w:val="00A33685"/>
    <w:rsid w:val="00A336F9"/>
    <w:rsid w:val="00A3377D"/>
    <w:rsid w:val="00A33A45"/>
    <w:rsid w:val="00A33BB2"/>
    <w:rsid w:val="00A33BD5"/>
    <w:rsid w:val="00A33CB1"/>
    <w:rsid w:val="00A33ED3"/>
    <w:rsid w:val="00A34080"/>
    <w:rsid w:val="00A3413E"/>
    <w:rsid w:val="00A3423F"/>
    <w:rsid w:val="00A342F9"/>
    <w:rsid w:val="00A3434C"/>
    <w:rsid w:val="00A34413"/>
    <w:rsid w:val="00A3441F"/>
    <w:rsid w:val="00A3454D"/>
    <w:rsid w:val="00A345DD"/>
    <w:rsid w:val="00A347AD"/>
    <w:rsid w:val="00A3480B"/>
    <w:rsid w:val="00A34834"/>
    <w:rsid w:val="00A3488D"/>
    <w:rsid w:val="00A34A01"/>
    <w:rsid w:val="00A34B9D"/>
    <w:rsid w:val="00A34BCE"/>
    <w:rsid w:val="00A34C0C"/>
    <w:rsid w:val="00A34CAE"/>
    <w:rsid w:val="00A34CB0"/>
    <w:rsid w:val="00A34DD9"/>
    <w:rsid w:val="00A34DE6"/>
    <w:rsid w:val="00A34E40"/>
    <w:rsid w:val="00A34EC9"/>
    <w:rsid w:val="00A34FEE"/>
    <w:rsid w:val="00A3512F"/>
    <w:rsid w:val="00A35162"/>
    <w:rsid w:val="00A351CA"/>
    <w:rsid w:val="00A35260"/>
    <w:rsid w:val="00A35270"/>
    <w:rsid w:val="00A353B7"/>
    <w:rsid w:val="00A35445"/>
    <w:rsid w:val="00A3565B"/>
    <w:rsid w:val="00A35916"/>
    <w:rsid w:val="00A359FD"/>
    <w:rsid w:val="00A35A58"/>
    <w:rsid w:val="00A35AC6"/>
    <w:rsid w:val="00A35AFD"/>
    <w:rsid w:val="00A35BAC"/>
    <w:rsid w:val="00A35C3B"/>
    <w:rsid w:val="00A35D00"/>
    <w:rsid w:val="00A35E36"/>
    <w:rsid w:val="00A35F59"/>
    <w:rsid w:val="00A35FDA"/>
    <w:rsid w:val="00A360A7"/>
    <w:rsid w:val="00A3621D"/>
    <w:rsid w:val="00A36304"/>
    <w:rsid w:val="00A363A5"/>
    <w:rsid w:val="00A363B8"/>
    <w:rsid w:val="00A3646D"/>
    <w:rsid w:val="00A364AA"/>
    <w:rsid w:val="00A36539"/>
    <w:rsid w:val="00A36576"/>
    <w:rsid w:val="00A365CF"/>
    <w:rsid w:val="00A3668B"/>
    <w:rsid w:val="00A36B5F"/>
    <w:rsid w:val="00A36B84"/>
    <w:rsid w:val="00A36CAE"/>
    <w:rsid w:val="00A36E3B"/>
    <w:rsid w:val="00A36EE7"/>
    <w:rsid w:val="00A36F18"/>
    <w:rsid w:val="00A36F4E"/>
    <w:rsid w:val="00A370AB"/>
    <w:rsid w:val="00A370B9"/>
    <w:rsid w:val="00A37105"/>
    <w:rsid w:val="00A3717C"/>
    <w:rsid w:val="00A37203"/>
    <w:rsid w:val="00A37235"/>
    <w:rsid w:val="00A37417"/>
    <w:rsid w:val="00A37531"/>
    <w:rsid w:val="00A37554"/>
    <w:rsid w:val="00A3766F"/>
    <w:rsid w:val="00A3769A"/>
    <w:rsid w:val="00A376C6"/>
    <w:rsid w:val="00A378B0"/>
    <w:rsid w:val="00A37951"/>
    <w:rsid w:val="00A37956"/>
    <w:rsid w:val="00A37989"/>
    <w:rsid w:val="00A37999"/>
    <w:rsid w:val="00A379F0"/>
    <w:rsid w:val="00A37B7E"/>
    <w:rsid w:val="00A37CD3"/>
    <w:rsid w:val="00A37D17"/>
    <w:rsid w:val="00A37D7B"/>
    <w:rsid w:val="00A37E10"/>
    <w:rsid w:val="00A37E80"/>
    <w:rsid w:val="00A37E98"/>
    <w:rsid w:val="00A37EA7"/>
    <w:rsid w:val="00A37F2E"/>
    <w:rsid w:val="00A37F54"/>
    <w:rsid w:val="00A4010C"/>
    <w:rsid w:val="00A401C3"/>
    <w:rsid w:val="00A4021A"/>
    <w:rsid w:val="00A40321"/>
    <w:rsid w:val="00A40372"/>
    <w:rsid w:val="00A40437"/>
    <w:rsid w:val="00A40478"/>
    <w:rsid w:val="00A405B4"/>
    <w:rsid w:val="00A405E3"/>
    <w:rsid w:val="00A40609"/>
    <w:rsid w:val="00A407F1"/>
    <w:rsid w:val="00A4087A"/>
    <w:rsid w:val="00A40A44"/>
    <w:rsid w:val="00A40A6F"/>
    <w:rsid w:val="00A40A83"/>
    <w:rsid w:val="00A40AE4"/>
    <w:rsid w:val="00A40B3C"/>
    <w:rsid w:val="00A40BDD"/>
    <w:rsid w:val="00A40BE6"/>
    <w:rsid w:val="00A40C55"/>
    <w:rsid w:val="00A40C76"/>
    <w:rsid w:val="00A40CA1"/>
    <w:rsid w:val="00A40CED"/>
    <w:rsid w:val="00A40DB3"/>
    <w:rsid w:val="00A40DBA"/>
    <w:rsid w:val="00A40F2B"/>
    <w:rsid w:val="00A40F5D"/>
    <w:rsid w:val="00A40FC0"/>
    <w:rsid w:val="00A41039"/>
    <w:rsid w:val="00A41088"/>
    <w:rsid w:val="00A4119F"/>
    <w:rsid w:val="00A4145D"/>
    <w:rsid w:val="00A414BF"/>
    <w:rsid w:val="00A414ED"/>
    <w:rsid w:val="00A415D9"/>
    <w:rsid w:val="00A416DD"/>
    <w:rsid w:val="00A417CC"/>
    <w:rsid w:val="00A4181C"/>
    <w:rsid w:val="00A41991"/>
    <w:rsid w:val="00A41A77"/>
    <w:rsid w:val="00A41A99"/>
    <w:rsid w:val="00A41AF9"/>
    <w:rsid w:val="00A41C1D"/>
    <w:rsid w:val="00A41D34"/>
    <w:rsid w:val="00A41E76"/>
    <w:rsid w:val="00A41EC8"/>
    <w:rsid w:val="00A41F94"/>
    <w:rsid w:val="00A420D2"/>
    <w:rsid w:val="00A42175"/>
    <w:rsid w:val="00A4221E"/>
    <w:rsid w:val="00A42281"/>
    <w:rsid w:val="00A422D9"/>
    <w:rsid w:val="00A423E4"/>
    <w:rsid w:val="00A42575"/>
    <w:rsid w:val="00A425CA"/>
    <w:rsid w:val="00A4273C"/>
    <w:rsid w:val="00A427B2"/>
    <w:rsid w:val="00A4287C"/>
    <w:rsid w:val="00A42950"/>
    <w:rsid w:val="00A42A49"/>
    <w:rsid w:val="00A42AA0"/>
    <w:rsid w:val="00A42B1C"/>
    <w:rsid w:val="00A42B1E"/>
    <w:rsid w:val="00A42D74"/>
    <w:rsid w:val="00A42DDB"/>
    <w:rsid w:val="00A42EC7"/>
    <w:rsid w:val="00A4303F"/>
    <w:rsid w:val="00A431EA"/>
    <w:rsid w:val="00A4334E"/>
    <w:rsid w:val="00A435B5"/>
    <w:rsid w:val="00A435E1"/>
    <w:rsid w:val="00A437E1"/>
    <w:rsid w:val="00A43905"/>
    <w:rsid w:val="00A439C0"/>
    <w:rsid w:val="00A43A56"/>
    <w:rsid w:val="00A43B3E"/>
    <w:rsid w:val="00A43B55"/>
    <w:rsid w:val="00A43C3E"/>
    <w:rsid w:val="00A43C6C"/>
    <w:rsid w:val="00A43CDF"/>
    <w:rsid w:val="00A43F1B"/>
    <w:rsid w:val="00A43F83"/>
    <w:rsid w:val="00A44138"/>
    <w:rsid w:val="00A4441B"/>
    <w:rsid w:val="00A444C1"/>
    <w:rsid w:val="00A444C5"/>
    <w:rsid w:val="00A44690"/>
    <w:rsid w:val="00A44736"/>
    <w:rsid w:val="00A447C2"/>
    <w:rsid w:val="00A4481E"/>
    <w:rsid w:val="00A448DD"/>
    <w:rsid w:val="00A4498E"/>
    <w:rsid w:val="00A44A3D"/>
    <w:rsid w:val="00A44BC4"/>
    <w:rsid w:val="00A44BCF"/>
    <w:rsid w:val="00A44BF4"/>
    <w:rsid w:val="00A44CE1"/>
    <w:rsid w:val="00A44D48"/>
    <w:rsid w:val="00A44DC5"/>
    <w:rsid w:val="00A44EBB"/>
    <w:rsid w:val="00A45140"/>
    <w:rsid w:val="00A451AD"/>
    <w:rsid w:val="00A45383"/>
    <w:rsid w:val="00A456AF"/>
    <w:rsid w:val="00A45754"/>
    <w:rsid w:val="00A45829"/>
    <w:rsid w:val="00A458A4"/>
    <w:rsid w:val="00A45924"/>
    <w:rsid w:val="00A45951"/>
    <w:rsid w:val="00A459AC"/>
    <w:rsid w:val="00A45A56"/>
    <w:rsid w:val="00A45A58"/>
    <w:rsid w:val="00A45B34"/>
    <w:rsid w:val="00A45C3B"/>
    <w:rsid w:val="00A45CA3"/>
    <w:rsid w:val="00A45CC4"/>
    <w:rsid w:val="00A45DDC"/>
    <w:rsid w:val="00A45E04"/>
    <w:rsid w:val="00A45F50"/>
    <w:rsid w:val="00A4624F"/>
    <w:rsid w:val="00A462BA"/>
    <w:rsid w:val="00A4663E"/>
    <w:rsid w:val="00A46643"/>
    <w:rsid w:val="00A46705"/>
    <w:rsid w:val="00A468CD"/>
    <w:rsid w:val="00A468D9"/>
    <w:rsid w:val="00A469DD"/>
    <w:rsid w:val="00A46A40"/>
    <w:rsid w:val="00A46B79"/>
    <w:rsid w:val="00A46B81"/>
    <w:rsid w:val="00A46C43"/>
    <w:rsid w:val="00A46ECD"/>
    <w:rsid w:val="00A46ED8"/>
    <w:rsid w:val="00A46F23"/>
    <w:rsid w:val="00A46FA5"/>
    <w:rsid w:val="00A47167"/>
    <w:rsid w:val="00A471B9"/>
    <w:rsid w:val="00A471CC"/>
    <w:rsid w:val="00A471D0"/>
    <w:rsid w:val="00A47267"/>
    <w:rsid w:val="00A4737F"/>
    <w:rsid w:val="00A473AF"/>
    <w:rsid w:val="00A473DF"/>
    <w:rsid w:val="00A47454"/>
    <w:rsid w:val="00A474F3"/>
    <w:rsid w:val="00A475C8"/>
    <w:rsid w:val="00A47774"/>
    <w:rsid w:val="00A47A50"/>
    <w:rsid w:val="00A47B60"/>
    <w:rsid w:val="00A47D54"/>
    <w:rsid w:val="00A47D84"/>
    <w:rsid w:val="00A47DB4"/>
    <w:rsid w:val="00A47DFA"/>
    <w:rsid w:val="00A47F4A"/>
    <w:rsid w:val="00A47FBC"/>
    <w:rsid w:val="00A47FBE"/>
    <w:rsid w:val="00A47FC7"/>
    <w:rsid w:val="00A47FCB"/>
    <w:rsid w:val="00A5008A"/>
    <w:rsid w:val="00A500A4"/>
    <w:rsid w:val="00A502B3"/>
    <w:rsid w:val="00A5037F"/>
    <w:rsid w:val="00A5063E"/>
    <w:rsid w:val="00A5094A"/>
    <w:rsid w:val="00A50968"/>
    <w:rsid w:val="00A50A1F"/>
    <w:rsid w:val="00A50B0E"/>
    <w:rsid w:val="00A50B16"/>
    <w:rsid w:val="00A50B62"/>
    <w:rsid w:val="00A50C2C"/>
    <w:rsid w:val="00A51162"/>
    <w:rsid w:val="00A51172"/>
    <w:rsid w:val="00A512EB"/>
    <w:rsid w:val="00A5135F"/>
    <w:rsid w:val="00A514DF"/>
    <w:rsid w:val="00A51511"/>
    <w:rsid w:val="00A51570"/>
    <w:rsid w:val="00A515F4"/>
    <w:rsid w:val="00A5164C"/>
    <w:rsid w:val="00A51660"/>
    <w:rsid w:val="00A51693"/>
    <w:rsid w:val="00A517AF"/>
    <w:rsid w:val="00A51943"/>
    <w:rsid w:val="00A5197B"/>
    <w:rsid w:val="00A5199E"/>
    <w:rsid w:val="00A51A55"/>
    <w:rsid w:val="00A51ACC"/>
    <w:rsid w:val="00A51B5D"/>
    <w:rsid w:val="00A51C61"/>
    <w:rsid w:val="00A51CF4"/>
    <w:rsid w:val="00A51D11"/>
    <w:rsid w:val="00A51E6A"/>
    <w:rsid w:val="00A51E93"/>
    <w:rsid w:val="00A51F15"/>
    <w:rsid w:val="00A51FEE"/>
    <w:rsid w:val="00A52092"/>
    <w:rsid w:val="00A52151"/>
    <w:rsid w:val="00A522D1"/>
    <w:rsid w:val="00A522ED"/>
    <w:rsid w:val="00A523FE"/>
    <w:rsid w:val="00A525B5"/>
    <w:rsid w:val="00A525EF"/>
    <w:rsid w:val="00A526E0"/>
    <w:rsid w:val="00A527D6"/>
    <w:rsid w:val="00A52851"/>
    <w:rsid w:val="00A52862"/>
    <w:rsid w:val="00A52945"/>
    <w:rsid w:val="00A52C6A"/>
    <w:rsid w:val="00A52D1C"/>
    <w:rsid w:val="00A52D29"/>
    <w:rsid w:val="00A52F40"/>
    <w:rsid w:val="00A52FB7"/>
    <w:rsid w:val="00A530F3"/>
    <w:rsid w:val="00A53102"/>
    <w:rsid w:val="00A531A8"/>
    <w:rsid w:val="00A532F3"/>
    <w:rsid w:val="00A5340F"/>
    <w:rsid w:val="00A535D1"/>
    <w:rsid w:val="00A53684"/>
    <w:rsid w:val="00A53693"/>
    <w:rsid w:val="00A536F6"/>
    <w:rsid w:val="00A53737"/>
    <w:rsid w:val="00A537C2"/>
    <w:rsid w:val="00A538C6"/>
    <w:rsid w:val="00A53A81"/>
    <w:rsid w:val="00A53B2D"/>
    <w:rsid w:val="00A53BCC"/>
    <w:rsid w:val="00A53D5C"/>
    <w:rsid w:val="00A53D93"/>
    <w:rsid w:val="00A53EB9"/>
    <w:rsid w:val="00A53EF9"/>
    <w:rsid w:val="00A53F07"/>
    <w:rsid w:val="00A53F6D"/>
    <w:rsid w:val="00A53FF7"/>
    <w:rsid w:val="00A53FF8"/>
    <w:rsid w:val="00A54050"/>
    <w:rsid w:val="00A542C5"/>
    <w:rsid w:val="00A543E2"/>
    <w:rsid w:val="00A544B0"/>
    <w:rsid w:val="00A54621"/>
    <w:rsid w:val="00A5464B"/>
    <w:rsid w:val="00A54658"/>
    <w:rsid w:val="00A54671"/>
    <w:rsid w:val="00A54756"/>
    <w:rsid w:val="00A54871"/>
    <w:rsid w:val="00A54892"/>
    <w:rsid w:val="00A54959"/>
    <w:rsid w:val="00A54A19"/>
    <w:rsid w:val="00A54A85"/>
    <w:rsid w:val="00A54ACC"/>
    <w:rsid w:val="00A54AEB"/>
    <w:rsid w:val="00A54D7A"/>
    <w:rsid w:val="00A54E36"/>
    <w:rsid w:val="00A54E6D"/>
    <w:rsid w:val="00A54EED"/>
    <w:rsid w:val="00A54FAF"/>
    <w:rsid w:val="00A550B0"/>
    <w:rsid w:val="00A55197"/>
    <w:rsid w:val="00A55400"/>
    <w:rsid w:val="00A55432"/>
    <w:rsid w:val="00A5558D"/>
    <w:rsid w:val="00A555C6"/>
    <w:rsid w:val="00A555F7"/>
    <w:rsid w:val="00A5572D"/>
    <w:rsid w:val="00A55A36"/>
    <w:rsid w:val="00A55D3B"/>
    <w:rsid w:val="00A55E78"/>
    <w:rsid w:val="00A55F39"/>
    <w:rsid w:val="00A55F3A"/>
    <w:rsid w:val="00A55F62"/>
    <w:rsid w:val="00A55FF0"/>
    <w:rsid w:val="00A560BD"/>
    <w:rsid w:val="00A56105"/>
    <w:rsid w:val="00A5611B"/>
    <w:rsid w:val="00A5614C"/>
    <w:rsid w:val="00A56266"/>
    <w:rsid w:val="00A56431"/>
    <w:rsid w:val="00A56553"/>
    <w:rsid w:val="00A5655D"/>
    <w:rsid w:val="00A5666F"/>
    <w:rsid w:val="00A56674"/>
    <w:rsid w:val="00A569DF"/>
    <w:rsid w:val="00A56A2B"/>
    <w:rsid w:val="00A56A5C"/>
    <w:rsid w:val="00A56A7B"/>
    <w:rsid w:val="00A56B90"/>
    <w:rsid w:val="00A56CFD"/>
    <w:rsid w:val="00A56DBC"/>
    <w:rsid w:val="00A56DC1"/>
    <w:rsid w:val="00A56F0E"/>
    <w:rsid w:val="00A56F10"/>
    <w:rsid w:val="00A56F30"/>
    <w:rsid w:val="00A570DC"/>
    <w:rsid w:val="00A57137"/>
    <w:rsid w:val="00A57193"/>
    <w:rsid w:val="00A57221"/>
    <w:rsid w:val="00A57241"/>
    <w:rsid w:val="00A57266"/>
    <w:rsid w:val="00A574F5"/>
    <w:rsid w:val="00A57504"/>
    <w:rsid w:val="00A575C5"/>
    <w:rsid w:val="00A5761F"/>
    <w:rsid w:val="00A57747"/>
    <w:rsid w:val="00A57925"/>
    <w:rsid w:val="00A579AD"/>
    <w:rsid w:val="00A579FC"/>
    <w:rsid w:val="00A57A7A"/>
    <w:rsid w:val="00A57AA8"/>
    <w:rsid w:val="00A57B42"/>
    <w:rsid w:val="00A57DD5"/>
    <w:rsid w:val="00A57F2B"/>
    <w:rsid w:val="00A57F35"/>
    <w:rsid w:val="00A57F5C"/>
    <w:rsid w:val="00A57FE1"/>
    <w:rsid w:val="00A6007B"/>
    <w:rsid w:val="00A601CB"/>
    <w:rsid w:val="00A60347"/>
    <w:rsid w:val="00A60436"/>
    <w:rsid w:val="00A6052E"/>
    <w:rsid w:val="00A60873"/>
    <w:rsid w:val="00A60914"/>
    <w:rsid w:val="00A609BD"/>
    <w:rsid w:val="00A60A8A"/>
    <w:rsid w:val="00A60A9F"/>
    <w:rsid w:val="00A60BA6"/>
    <w:rsid w:val="00A60C0B"/>
    <w:rsid w:val="00A60C5C"/>
    <w:rsid w:val="00A60D8A"/>
    <w:rsid w:val="00A6124B"/>
    <w:rsid w:val="00A61270"/>
    <w:rsid w:val="00A613D0"/>
    <w:rsid w:val="00A6150B"/>
    <w:rsid w:val="00A61510"/>
    <w:rsid w:val="00A61566"/>
    <w:rsid w:val="00A61695"/>
    <w:rsid w:val="00A61790"/>
    <w:rsid w:val="00A618ED"/>
    <w:rsid w:val="00A61BEE"/>
    <w:rsid w:val="00A61C1E"/>
    <w:rsid w:val="00A61C84"/>
    <w:rsid w:val="00A61DAB"/>
    <w:rsid w:val="00A61E44"/>
    <w:rsid w:val="00A61F09"/>
    <w:rsid w:val="00A61F32"/>
    <w:rsid w:val="00A61F80"/>
    <w:rsid w:val="00A61F92"/>
    <w:rsid w:val="00A62079"/>
    <w:rsid w:val="00A6208A"/>
    <w:rsid w:val="00A62172"/>
    <w:rsid w:val="00A621F9"/>
    <w:rsid w:val="00A62382"/>
    <w:rsid w:val="00A623DA"/>
    <w:rsid w:val="00A623F6"/>
    <w:rsid w:val="00A6249A"/>
    <w:rsid w:val="00A62566"/>
    <w:rsid w:val="00A627CE"/>
    <w:rsid w:val="00A629C6"/>
    <w:rsid w:val="00A62ACB"/>
    <w:rsid w:val="00A62B1C"/>
    <w:rsid w:val="00A62BEA"/>
    <w:rsid w:val="00A62DDD"/>
    <w:rsid w:val="00A62E82"/>
    <w:rsid w:val="00A62E86"/>
    <w:rsid w:val="00A62F33"/>
    <w:rsid w:val="00A631AA"/>
    <w:rsid w:val="00A63276"/>
    <w:rsid w:val="00A63421"/>
    <w:rsid w:val="00A634B4"/>
    <w:rsid w:val="00A63531"/>
    <w:rsid w:val="00A635A8"/>
    <w:rsid w:val="00A635DA"/>
    <w:rsid w:val="00A6368B"/>
    <w:rsid w:val="00A636D3"/>
    <w:rsid w:val="00A63784"/>
    <w:rsid w:val="00A63921"/>
    <w:rsid w:val="00A63A37"/>
    <w:rsid w:val="00A63A61"/>
    <w:rsid w:val="00A63A6C"/>
    <w:rsid w:val="00A63A70"/>
    <w:rsid w:val="00A63AD0"/>
    <w:rsid w:val="00A63AF2"/>
    <w:rsid w:val="00A63B9C"/>
    <w:rsid w:val="00A63BA5"/>
    <w:rsid w:val="00A63BA8"/>
    <w:rsid w:val="00A63C2C"/>
    <w:rsid w:val="00A63C69"/>
    <w:rsid w:val="00A63CF3"/>
    <w:rsid w:val="00A63F02"/>
    <w:rsid w:val="00A64102"/>
    <w:rsid w:val="00A64207"/>
    <w:rsid w:val="00A6430E"/>
    <w:rsid w:val="00A64343"/>
    <w:rsid w:val="00A64431"/>
    <w:rsid w:val="00A644AF"/>
    <w:rsid w:val="00A64512"/>
    <w:rsid w:val="00A645DA"/>
    <w:rsid w:val="00A6462C"/>
    <w:rsid w:val="00A6465D"/>
    <w:rsid w:val="00A646A9"/>
    <w:rsid w:val="00A64721"/>
    <w:rsid w:val="00A647CD"/>
    <w:rsid w:val="00A6481D"/>
    <w:rsid w:val="00A64841"/>
    <w:rsid w:val="00A648B5"/>
    <w:rsid w:val="00A64923"/>
    <w:rsid w:val="00A6495D"/>
    <w:rsid w:val="00A64D21"/>
    <w:rsid w:val="00A64DE9"/>
    <w:rsid w:val="00A650F9"/>
    <w:rsid w:val="00A651D8"/>
    <w:rsid w:val="00A651FE"/>
    <w:rsid w:val="00A652BB"/>
    <w:rsid w:val="00A6533D"/>
    <w:rsid w:val="00A653B7"/>
    <w:rsid w:val="00A6548C"/>
    <w:rsid w:val="00A65529"/>
    <w:rsid w:val="00A6563E"/>
    <w:rsid w:val="00A65672"/>
    <w:rsid w:val="00A65759"/>
    <w:rsid w:val="00A65828"/>
    <w:rsid w:val="00A65874"/>
    <w:rsid w:val="00A658AB"/>
    <w:rsid w:val="00A658B5"/>
    <w:rsid w:val="00A658C6"/>
    <w:rsid w:val="00A658C8"/>
    <w:rsid w:val="00A659E1"/>
    <w:rsid w:val="00A65C0F"/>
    <w:rsid w:val="00A65CFE"/>
    <w:rsid w:val="00A65D56"/>
    <w:rsid w:val="00A662C9"/>
    <w:rsid w:val="00A665B1"/>
    <w:rsid w:val="00A6663D"/>
    <w:rsid w:val="00A666F6"/>
    <w:rsid w:val="00A6684B"/>
    <w:rsid w:val="00A668BA"/>
    <w:rsid w:val="00A669D3"/>
    <w:rsid w:val="00A669FA"/>
    <w:rsid w:val="00A66A09"/>
    <w:rsid w:val="00A66A88"/>
    <w:rsid w:val="00A66A9E"/>
    <w:rsid w:val="00A66B69"/>
    <w:rsid w:val="00A66BFF"/>
    <w:rsid w:val="00A67098"/>
    <w:rsid w:val="00A67108"/>
    <w:rsid w:val="00A67131"/>
    <w:rsid w:val="00A6722F"/>
    <w:rsid w:val="00A67445"/>
    <w:rsid w:val="00A675A5"/>
    <w:rsid w:val="00A6761F"/>
    <w:rsid w:val="00A6762B"/>
    <w:rsid w:val="00A6772B"/>
    <w:rsid w:val="00A677FD"/>
    <w:rsid w:val="00A67811"/>
    <w:rsid w:val="00A6781A"/>
    <w:rsid w:val="00A6785B"/>
    <w:rsid w:val="00A67999"/>
    <w:rsid w:val="00A679BA"/>
    <w:rsid w:val="00A67A2A"/>
    <w:rsid w:val="00A67BC0"/>
    <w:rsid w:val="00A67BDF"/>
    <w:rsid w:val="00A67C5E"/>
    <w:rsid w:val="00A67CE1"/>
    <w:rsid w:val="00A67CE4"/>
    <w:rsid w:val="00A67DBA"/>
    <w:rsid w:val="00A67DFC"/>
    <w:rsid w:val="00A67EAC"/>
    <w:rsid w:val="00A7000D"/>
    <w:rsid w:val="00A7019F"/>
    <w:rsid w:val="00A702AB"/>
    <w:rsid w:val="00A702DA"/>
    <w:rsid w:val="00A70340"/>
    <w:rsid w:val="00A70384"/>
    <w:rsid w:val="00A70386"/>
    <w:rsid w:val="00A7055E"/>
    <w:rsid w:val="00A705A3"/>
    <w:rsid w:val="00A70666"/>
    <w:rsid w:val="00A707BC"/>
    <w:rsid w:val="00A7084C"/>
    <w:rsid w:val="00A7088C"/>
    <w:rsid w:val="00A70896"/>
    <w:rsid w:val="00A70AD5"/>
    <w:rsid w:val="00A70B9D"/>
    <w:rsid w:val="00A70FC3"/>
    <w:rsid w:val="00A70FC5"/>
    <w:rsid w:val="00A70FD8"/>
    <w:rsid w:val="00A710F0"/>
    <w:rsid w:val="00A7127C"/>
    <w:rsid w:val="00A71467"/>
    <w:rsid w:val="00A7161E"/>
    <w:rsid w:val="00A7166D"/>
    <w:rsid w:val="00A71756"/>
    <w:rsid w:val="00A71831"/>
    <w:rsid w:val="00A718DA"/>
    <w:rsid w:val="00A71987"/>
    <w:rsid w:val="00A71A7B"/>
    <w:rsid w:val="00A71AAA"/>
    <w:rsid w:val="00A71B0C"/>
    <w:rsid w:val="00A71C1C"/>
    <w:rsid w:val="00A71C7B"/>
    <w:rsid w:val="00A71E8E"/>
    <w:rsid w:val="00A71F6F"/>
    <w:rsid w:val="00A7209E"/>
    <w:rsid w:val="00A72121"/>
    <w:rsid w:val="00A722F1"/>
    <w:rsid w:val="00A72374"/>
    <w:rsid w:val="00A726AD"/>
    <w:rsid w:val="00A72752"/>
    <w:rsid w:val="00A7281A"/>
    <w:rsid w:val="00A72823"/>
    <w:rsid w:val="00A72A01"/>
    <w:rsid w:val="00A72BE1"/>
    <w:rsid w:val="00A72BF1"/>
    <w:rsid w:val="00A72C04"/>
    <w:rsid w:val="00A72C49"/>
    <w:rsid w:val="00A72CDD"/>
    <w:rsid w:val="00A72D05"/>
    <w:rsid w:val="00A72D8C"/>
    <w:rsid w:val="00A7300D"/>
    <w:rsid w:val="00A73072"/>
    <w:rsid w:val="00A73331"/>
    <w:rsid w:val="00A73713"/>
    <w:rsid w:val="00A73722"/>
    <w:rsid w:val="00A73838"/>
    <w:rsid w:val="00A738B1"/>
    <w:rsid w:val="00A739B4"/>
    <w:rsid w:val="00A73A6C"/>
    <w:rsid w:val="00A73B0F"/>
    <w:rsid w:val="00A73FFA"/>
    <w:rsid w:val="00A74018"/>
    <w:rsid w:val="00A74065"/>
    <w:rsid w:val="00A740C5"/>
    <w:rsid w:val="00A7416E"/>
    <w:rsid w:val="00A74253"/>
    <w:rsid w:val="00A74465"/>
    <w:rsid w:val="00A74586"/>
    <w:rsid w:val="00A745D0"/>
    <w:rsid w:val="00A7471C"/>
    <w:rsid w:val="00A747F7"/>
    <w:rsid w:val="00A748FA"/>
    <w:rsid w:val="00A74AEC"/>
    <w:rsid w:val="00A74BF1"/>
    <w:rsid w:val="00A74C4A"/>
    <w:rsid w:val="00A74CB1"/>
    <w:rsid w:val="00A74CEA"/>
    <w:rsid w:val="00A74D1E"/>
    <w:rsid w:val="00A74D74"/>
    <w:rsid w:val="00A74D9D"/>
    <w:rsid w:val="00A74E60"/>
    <w:rsid w:val="00A750AF"/>
    <w:rsid w:val="00A750F7"/>
    <w:rsid w:val="00A7515D"/>
    <w:rsid w:val="00A7523F"/>
    <w:rsid w:val="00A752B9"/>
    <w:rsid w:val="00A754D0"/>
    <w:rsid w:val="00A75660"/>
    <w:rsid w:val="00A75747"/>
    <w:rsid w:val="00A7588F"/>
    <w:rsid w:val="00A75A14"/>
    <w:rsid w:val="00A75A30"/>
    <w:rsid w:val="00A75A96"/>
    <w:rsid w:val="00A75B6F"/>
    <w:rsid w:val="00A75BA4"/>
    <w:rsid w:val="00A75BFF"/>
    <w:rsid w:val="00A75CD4"/>
    <w:rsid w:val="00A75CF1"/>
    <w:rsid w:val="00A75D3F"/>
    <w:rsid w:val="00A75DF5"/>
    <w:rsid w:val="00A75E7F"/>
    <w:rsid w:val="00A76028"/>
    <w:rsid w:val="00A76081"/>
    <w:rsid w:val="00A76085"/>
    <w:rsid w:val="00A76240"/>
    <w:rsid w:val="00A7626F"/>
    <w:rsid w:val="00A76289"/>
    <w:rsid w:val="00A7637E"/>
    <w:rsid w:val="00A7638F"/>
    <w:rsid w:val="00A763A9"/>
    <w:rsid w:val="00A7642E"/>
    <w:rsid w:val="00A764B4"/>
    <w:rsid w:val="00A764CC"/>
    <w:rsid w:val="00A7653B"/>
    <w:rsid w:val="00A765DE"/>
    <w:rsid w:val="00A76600"/>
    <w:rsid w:val="00A7664D"/>
    <w:rsid w:val="00A7665F"/>
    <w:rsid w:val="00A7666B"/>
    <w:rsid w:val="00A766AB"/>
    <w:rsid w:val="00A766C8"/>
    <w:rsid w:val="00A7676A"/>
    <w:rsid w:val="00A76775"/>
    <w:rsid w:val="00A76784"/>
    <w:rsid w:val="00A76840"/>
    <w:rsid w:val="00A7687B"/>
    <w:rsid w:val="00A76908"/>
    <w:rsid w:val="00A76C13"/>
    <w:rsid w:val="00A76CF6"/>
    <w:rsid w:val="00A76E92"/>
    <w:rsid w:val="00A76EF0"/>
    <w:rsid w:val="00A76FF1"/>
    <w:rsid w:val="00A770D5"/>
    <w:rsid w:val="00A7719F"/>
    <w:rsid w:val="00A7726F"/>
    <w:rsid w:val="00A772DB"/>
    <w:rsid w:val="00A773C7"/>
    <w:rsid w:val="00A775DF"/>
    <w:rsid w:val="00A776D0"/>
    <w:rsid w:val="00A777A9"/>
    <w:rsid w:val="00A777CC"/>
    <w:rsid w:val="00A77845"/>
    <w:rsid w:val="00A778FF"/>
    <w:rsid w:val="00A779B1"/>
    <w:rsid w:val="00A779D1"/>
    <w:rsid w:val="00A77AEE"/>
    <w:rsid w:val="00A77E5F"/>
    <w:rsid w:val="00A77EC7"/>
    <w:rsid w:val="00A77FA9"/>
    <w:rsid w:val="00A77FAF"/>
    <w:rsid w:val="00A77FF8"/>
    <w:rsid w:val="00A80045"/>
    <w:rsid w:val="00A80112"/>
    <w:rsid w:val="00A8012D"/>
    <w:rsid w:val="00A80132"/>
    <w:rsid w:val="00A80177"/>
    <w:rsid w:val="00A801B0"/>
    <w:rsid w:val="00A801F6"/>
    <w:rsid w:val="00A802CC"/>
    <w:rsid w:val="00A80667"/>
    <w:rsid w:val="00A80732"/>
    <w:rsid w:val="00A80790"/>
    <w:rsid w:val="00A807B4"/>
    <w:rsid w:val="00A8082E"/>
    <w:rsid w:val="00A8086F"/>
    <w:rsid w:val="00A808F6"/>
    <w:rsid w:val="00A80992"/>
    <w:rsid w:val="00A809A5"/>
    <w:rsid w:val="00A809AB"/>
    <w:rsid w:val="00A80A13"/>
    <w:rsid w:val="00A80A81"/>
    <w:rsid w:val="00A80A9E"/>
    <w:rsid w:val="00A80B26"/>
    <w:rsid w:val="00A80C39"/>
    <w:rsid w:val="00A80C51"/>
    <w:rsid w:val="00A80D8C"/>
    <w:rsid w:val="00A80E26"/>
    <w:rsid w:val="00A80E67"/>
    <w:rsid w:val="00A80E7E"/>
    <w:rsid w:val="00A80EB6"/>
    <w:rsid w:val="00A80EBD"/>
    <w:rsid w:val="00A81104"/>
    <w:rsid w:val="00A8116E"/>
    <w:rsid w:val="00A811DC"/>
    <w:rsid w:val="00A81360"/>
    <w:rsid w:val="00A81368"/>
    <w:rsid w:val="00A81398"/>
    <w:rsid w:val="00A81414"/>
    <w:rsid w:val="00A81562"/>
    <w:rsid w:val="00A8161C"/>
    <w:rsid w:val="00A8163A"/>
    <w:rsid w:val="00A81646"/>
    <w:rsid w:val="00A81656"/>
    <w:rsid w:val="00A81770"/>
    <w:rsid w:val="00A81785"/>
    <w:rsid w:val="00A8183F"/>
    <w:rsid w:val="00A818A6"/>
    <w:rsid w:val="00A818F9"/>
    <w:rsid w:val="00A81A53"/>
    <w:rsid w:val="00A81AB0"/>
    <w:rsid w:val="00A81ABE"/>
    <w:rsid w:val="00A81AE5"/>
    <w:rsid w:val="00A81C0B"/>
    <w:rsid w:val="00A81CA2"/>
    <w:rsid w:val="00A81EB8"/>
    <w:rsid w:val="00A81ED0"/>
    <w:rsid w:val="00A82001"/>
    <w:rsid w:val="00A82106"/>
    <w:rsid w:val="00A82175"/>
    <w:rsid w:val="00A821C9"/>
    <w:rsid w:val="00A821D4"/>
    <w:rsid w:val="00A821FA"/>
    <w:rsid w:val="00A82219"/>
    <w:rsid w:val="00A82265"/>
    <w:rsid w:val="00A824E7"/>
    <w:rsid w:val="00A8258C"/>
    <w:rsid w:val="00A82649"/>
    <w:rsid w:val="00A826C9"/>
    <w:rsid w:val="00A82810"/>
    <w:rsid w:val="00A829F2"/>
    <w:rsid w:val="00A82A59"/>
    <w:rsid w:val="00A82A5C"/>
    <w:rsid w:val="00A82A77"/>
    <w:rsid w:val="00A82AD9"/>
    <w:rsid w:val="00A82AFC"/>
    <w:rsid w:val="00A82D46"/>
    <w:rsid w:val="00A82D73"/>
    <w:rsid w:val="00A82EF6"/>
    <w:rsid w:val="00A82F22"/>
    <w:rsid w:val="00A83086"/>
    <w:rsid w:val="00A83154"/>
    <w:rsid w:val="00A8322D"/>
    <w:rsid w:val="00A83345"/>
    <w:rsid w:val="00A83359"/>
    <w:rsid w:val="00A833B4"/>
    <w:rsid w:val="00A833CD"/>
    <w:rsid w:val="00A8349B"/>
    <w:rsid w:val="00A83687"/>
    <w:rsid w:val="00A8370C"/>
    <w:rsid w:val="00A8373C"/>
    <w:rsid w:val="00A837D0"/>
    <w:rsid w:val="00A8390C"/>
    <w:rsid w:val="00A83940"/>
    <w:rsid w:val="00A8399B"/>
    <w:rsid w:val="00A839D5"/>
    <w:rsid w:val="00A83A07"/>
    <w:rsid w:val="00A83AA3"/>
    <w:rsid w:val="00A83AE9"/>
    <w:rsid w:val="00A83AFC"/>
    <w:rsid w:val="00A83B18"/>
    <w:rsid w:val="00A83B5F"/>
    <w:rsid w:val="00A83BB4"/>
    <w:rsid w:val="00A83BFB"/>
    <w:rsid w:val="00A83D2C"/>
    <w:rsid w:val="00A83D55"/>
    <w:rsid w:val="00A83ECB"/>
    <w:rsid w:val="00A83F29"/>
    <w:rsid w:val="00A84058"/>
    <w:rsid w:val="00A8416F"/>
    <w:rsid w:val="00A841EF"/>
    <w:rsid w:val="00A842C3"/>
    <w:rsid w:val="00A844B0"/>
    <w:rsid w:val="00A845FF"/>
    <w:rsid w:val="00A84665"/>
    <w:rsid w:val="00A8475E"/>
    <w:rsid w:val="00A84778"/>
    <w:rsid w:val="00A84A41"/>
    <w:rsid w:val="00A84BEA"/>
    <w:rsid w:val="00A84BF7"/>
    <w:rsid w:val="00A84C57"/>
    <w:rsid w:val="00A84D6D"/>
    <w:rsid w:val="00A84DA5"/>
    <w:rsid w:val="00A84E48"/>
    <w:rsid w:val="00A84EFD"/>
    <w:rsid w:val="00A84F04"/>
    <w:rsid w:val="00A850B1"/>
    <w:rsid w:val="00A8517A"/>
    <w:rsid w:val="00A852E7"/>
    <w:rsid w:val="00A85387"/>
    <w:rsid w:val="00A85445"/>
    <w:rsid w:val="00A8544E"/>
    <w:rsid w:val="00A85532"/>
    <w:rsid w:val="00A856A7"/>
    <w:rsid w:val="00A856D8"/>
    <w:rsid w:val="00A85754"/>
    <w:rsid w:val="00A857E3"/>
    <w:rsid w:val="00A859DD"/>
    <w:rsid w:val="00A85A6A"/>
    <w:rsid w:val="00A85D70"/>
    <w:rsid w:val="00A85E0C"/>
    <w:rsid w:val="00A85E6D"/>
    <w:rsid w:val="00A85EF3"/>
    <w:rsid w:val="00A85F41"/>
    <w:rsid w:val="00A86102"/>
    <w:rsid w:val="00A861B3"/>
    <w:rsid w:val="00A861D6"/>
    <w:rsid w:val="00A862FD"/>
    <w:rsid w:val="00A86427"/>
    <w:rsid w:val="00A86447"/>
    <w:rsid w:val="00A86471"/>
    <w:rsid w:val="00A8648D"/>
    <w:rsid w:val="00A86538"/>
    <w:rsid w:val="00A86576"/>
    <w:rsid w:val="00A8659F"/>
    <w:rsid w:val="00A865A6"/>
    <w:rsid w:val="00A86723"/>
    <w:rsid w:val="00A86746"/>
    <w:rsid w:val="00A867B5"/>
    <w:rsid w:val="00A8683E"/>
    <w:rsid w:val="00A8697B"/>
    <w:rsid w:val="00A86B5A"/>
    <w:rsid w:val="00A86B9B"/>
    <w:rsid w:val="00A86CFD"/>
    <w:rsid w:val="00A86D59"/>
    <w:rsid w:val="00A86D64"/>
    <w:rsid w:val="00A86DD6"/>
    <w:rsid w:val="00A86E2D"/>
    <w:rsid w:val="00A86E81"/>
    <w:rsid w:val="00A86EA0"/>
    <w:rsid w:val="00A86F8E"/>
    <w:rsid w:val="00A87344"/>
    <w:rsid w:val="00A8736F"/>
    <w:rsid w:val="00A874FB"/>
    <w:rsid w:val="00A87520"/>
    <w:rsid w:val="00A875C1"/>
    <w:rsid w:val="00A8761F"/>
    <w:rsid w:val="00A876B1"/>
    <w:rsid w:val="00A876CD"/>
    <w:rsid w:val="00A87709"/>
    <w:rsid w:val="00A87860"/>
    <w:rsid w:val="00A8786C"/>
    <w:rsid w:val="00A87919"/>
    <w:rsid w:val="00A87964"/>
    <w:rsid w:val="00A87966"/>
    <w:rsid w:val="00A879D7"/>
    <w:rsid w:val="00A87C4C"/>
    <w:rsid w:val="00A87C78"/>
    <w:rsid w:val="00A87D1E"/>
    <w:rsid w:val="00A87D23"/>
    <w:rsid w:val="00A87D55"/>
    <w:rsid w:val="00A87E71"/>
    <w:rsid w:val="00A87E85"/>
    <w:rsid w:val="00A900CC"/>
    <w:rsid w:val="00A90153"/>
    <w:rsid w:val="00A90155"/>
    <w:rsid w:val="00A90307"/>
    <w:rsid w:val="00A90322"/>
    <w:rsid w:val="00A9034B"/>
    <w:rsid w:val="00A903DB"/>
    <w:rsid w:val="00A903F8"/>
    <w:rsid w:val="00A90499"/>
    <w:rsid w:val="00A90514"/>
    <w:rsid w:val="00A905CE"/>
    <w:rsid w:val="00A908BC"/>
    <w:rsid w:val="00A908C6"/>
    <w:rsid w:val="00A9095B"/>
    <w:rsid w:val="00A9095F"/>
    <w:rsid w:val="00A90A08"/>
    <w:rsid w:val="00A90A65"/>
    <w:rsid w:val="00A90AE1"/>
    <w:rsid w:val="00A90B51"/>
    <w:rsid w:val="00A90B59"/>
    <w:rsid w:val="00A90BBA"/>
    <w:rsid w:val="00A90C1B"/>
    <w:rsid w:val="00A90D13"/>
    <w:rsid w:val="00A90D23"/>
    <w:rsid w:val="00A90D61"/>
    <w:rsid w:val="00A9128B"/>
    <w:rsid w:val="00A912F0"/>
    <w:rsid w:val="00A91364"/>
    <w:rsid w:val="00A9136D"/>
    <w:rsid w:val="00A91395"/>
    <w:rsid w:val="00A915D7"/>
    <w:rsid w:val="00A91660"/>
    <w:rsid w:val="00A9173E"/>
    <w:rsid w:val="00A91780"/>
    <w:rsid w:val="00A91ACE"/>
    <w:rsid w:val="00A91AD2"/>
    <w:rsid w:val="00A91AE0"/>
    <w:rsid w:val="00A91ECA"/>
    <w:rsid w:val="00A91FB9"/>
    <w:rsid w:val="00A92048"/>
    <w:rsid w:val="00A920F8"/>
    <w:rsid w:val="00A92166"/>
    <w:rsid w:val="00A9223C"/>
    <w:rsid w:val="00A92425"/>
    <w:rsid w:val="00A92438"/>
    <w:rsid w:val="00A925F0"/>
    <w:rsid w:val="00A926C2"/>
    <w:rsid w:val="00A926CF"/>
    <w:rsid w:val="00A9284F"/>
    <w:rsid w:val="00A928D3"/>
    <w:rsid w:val="00A928EC"/>
    <w:rsid w:val="00A92906"/>
    <w:rsid w:val="00A92922"/>
    <w:rsid w:val="00A9298C"/>
    <w:rsid w:val="00A92A46"/>
    <w:rsid w:val="00A92A70"/>
    <w:rsid w:val="00A92B26"/>
    <w:rsid w:val="00A92C1A"/>
    <w:rsid w:val="00A92CB3"/>
    <w:rsid w:val="00A92E6F"/>
    <w:rsid w:val="00A92F2B"/>
    <w:rsid w:val="00A930A1"/>
    <w:rsid w:val="00A93177"/>
    <w:rsid w:val="00A93186"/>
    <w:rsid w:val="00A93323"/>
    <w:rsid w:val="00A9347A"/>
    <w:rsid w:val="00A93501"/>
    <w:rsid w:val="00A93897"/>
    <w:rsid w:val="00A938EA"/>
    <w:rsid w:val="00A9393F"/>
    <w:rsid w:val="00A93962"/>
    <w:rsid w:val="00A9396F"/>
    <w:rsid w:val="00A93A26"/>
    <w:rsid w:val="00A93A2C"/>
    <w:rsid w:val="00A93AE1"/>
    <w:rsid w:val="00A93E64"/>
    <w:rsid w:val="00A93F3C"/>
    <w:rsid w:val="00A93FA0"/>
    <w:rsid w:val="00A93FBE"/>
    <w:rsid w:val="00A94171"/>
    <w:rsid w:val="00A94175"/>
    <w:rsid w:val="00A941B7"/>
    <w:rsid w:val="00A94207"/>
    <w:rsid w:val="00A942A1"/>
    <w:rsid w:val="00A944F7"/>
    <w:rsid w:val="00A94602"/>
    <w:rsid w:val="00A9476F"/>
    <w:rsid w:val="00A94805"/>
    <w:rsid w:val="00A94879"/>
    <w:rsid w:val="00A9487E"/>
    <w:rsid w:val="00A9491B"/>
    <w:rsid w:val="00A9496B"/>
    <w:rsid w:val="00A949BB"/>
    <w:rsid w:val="00A94B4C"/>
    <w:rsid w:val="00A94CF9"/>
    <w:rsid w:val="00A94E6B"/>
    <w:rsid w:val="00A94F60"/>
    <w:rsid w:val="00A94F73"/>
    <w:rsid w:val="00A94F8C"/>
    <w:rsid w:val="00A95023"/>
    <w:rsid w:val="00A95080"/>
    <w:rsid w:val="00A95098"/>
    <w:rsid w:val="00A95150"/>
    <w:rsid w:val="00A9525D"/>
    <w:rsid w:val="00A95293"/>
    <w:rsid w:val="00A952FD"/>
    <w:rsid w:val="00A95311"/>
    <w:rsid w:val="00A95362"/>
    <w:rsid w:val="00A95443"/>
    <w:rsid w:val="00A9548D"/>
    <w:rsid w:val="00A954EA"/>
    <w:rsid w:val="00A95553"/>
    <w:rsid w:val="00A9587C"/>
    <w:rsid w:val="00A95A09"/>
    <w:rsid w:val="00A95A81"/>
    <w:rsid w:val="00A95AB2"/>
    <w:rsid w:val="00A95BE4"/>
    <w:rsid w:val="00A95D03"/>
    <w:rsid w:val="00A95D3C"/>
    <w:rsid w:val="00A95EA3"/>
    <w:rsid w:val="00A95EF6"/>
    <w:rsid w:val="00A95FB6"/>
    <w:rsid w:val="00A95FE2"/>
    <w:rsid w:val="00A9624D"/>
    <w:rsid w:val="00A9626C"/>
    <w:rsid w:val="00A9642D"/>
    <w:rsid w:val="00A964E6"/>
    <w:rsid w:val="00A96987"/>
    <w:rsid w:val="00A969C6"/>
    <w:rsid w:val="00A96A13"/>
    <w:rsid w:val="00A96B1B"/>
    <w:rsid w:val="00A96B41"/>
    <w:rsid w:val="00A96B7B"/>
    <w:rsid w:val="00A96C33"/>
    <w:rsid w:val="00A96CA6"/>
    <w:rsid w:val="00A96D53"/>
    <w:rsid w:val="00A96D78"/>
    <w:rsid w:val="00A96E3A"/>
    <w:rsid w:val="00A96E58"/>
    <w:rsid w:val="00A9707E"/>
    <w:rsid w:val="00A9707F"/>
    <w:rsid w:val="00A973AB"/>
    <w:rsid w:val="00A97508"/>
    <w:rsid w:val="00A9753D"/>
    <w:rsid w:val="00A976C0"/>
    <w:rsid w:val="00A976E6"/>
    <w:rsid w:val="00A97704"/>
    <w:rsid w:val="00A97741"/>
    <w:rsid w:val="00A977D9"/>
    <w:rsid w:val="00A97898"/>
    <w:rsid w:val="00A979C2"/>
    <w:rsid w:val="00A97A85"/>
    <w:rsid w:val="00A97C05"/>
    <w:rsid w:val="00A97C39"/>
    <w:rsid w:val="00A97D05"/>
    <w:rsid w:val="00A97D0D"/>
    <w:rsid w:val="00A97DB1"/>
    <w:rsid w:val="00A97DCC"/>
    <w:rsid w:val="00A97DD3"/>
    <w:rsid w:val="00A97DF3"/>
    <w:rsid w:val="00A97E11"/>
    <w:rsid w:val="00A97EDE"/>
    <w:rsid w:val="00A97EF3"/>
    <w:rsid w:val="00AA008E"/>
    <w:rsid w:val="00AA0269"/>
    <w:rsid w:val="00AA03CE"/>
    <w:rsid w:val="00AA040C"/>
    <w:rsid w:val="00AA04A5"/>
    <w:rsid w:val="00AA0536"/>
    <w:rsid w:val="00AA05BE"/>
    <w:rsid w:val="00AA0614"/>
    <w:rsid w:val="00AA06A6"/>
    <w:rsid w:val="00AA07A5"/>
    <w:rsid w:val="00AA084B"/>
    <w:rsid w:val="00AA0918"/>
    <w:rsid w:val="00AA0B9F"/>
    <w:rsid w:val="00AA0D41"/>
    <w:rsid w:val="00AA0E72"/>
    <w:rsid w:val="00AA0E97"/>
    <w:rsid w:val="00AA1113"/>
    <w:rsid w:val="00AA1116"/>
    <w:rsid w:val="00AA1360"/>
    <w:rsid w:val="00AA1418"/>
    <w:rsid w:val="00AA1682"/>
    <w:rsid w:val="00AA1808"/>
    <w:rsid w:val="00AA187C"/>
    <w:rsid w:val="00AA18DD"/>
    <w:rsid w:val="00AA19B5"/>
    <w:rsid w:val="00AA1BDD"/>
    <w:rsid w:val="00AA1C90"/>
    <w:rsid w:val="00AA1D01"/>
    <w:rsid w:val="00AA208F"/>
    <w:rsid w:val="00AA2128"/>
    <w:rsid w:val="00AA212D"/>
    <w:rsid w:val="00AA217A"/>
    <w:rsid w:val="00AA21DE"/>
    <w:rsid w:val="00AA2213"/>
    <w:rsid w:val="00AA23DA"/>
    <w:rsid w:val="00AA2559"/>
    <w:rsid w:val="00AA259B"/>
    <w:rsid w:val="00AA259E"/>
    <w:rsid w:val="00AA25B6"/>
    <w:rsid w:val="00AA276B"/>
    <w:rsid w:val="00AA27D2"/>
    <w:rsid w:val="00AA28DD"/>
    <w:rsid w:val="00AA2CEE"/>
    <w:rsid w:val="00AA2D07"/>
    <w:rsid w:val="00AA2D69"/>
    <w:rsid w:val="00AA2DB0"/>
    <w:rsid w:val="00AA2E95"/>
    <w:rsid w:val="00AA3115"/>
    <w:rsid w:val="00AA314B"/>
    <w:rsid w:val="00AA3155"/>
    <w:rsid w:val="00AA31A5"/>
    <w:rsid w:val="00AA3327"/>
    <w:rsid w:val="00AA3329"/>
    <w:rsid w:val="00AA334D"/>
    <w:rsid w:val="00AA348D"/>
    <w:rsid w:val="00AA34E3"/>
    <w:rsid w:val="00AA3504"/>
    <w:rsid w:val="00AA37CE"/>
    <w:rsid w:val="00AA38B8"/>
    <w:rsid w:val="00AA3921"/>
    <w:rsid w:val="00AA3954"/>
    <w:rsid w:val="00AA3977"/>
    <w:rsid w:val="00AA39B5"/>
    <w:rsid w:val="00AA3A8A"/>
    <w:rsid w:val="00AA3A94"/>
    <w:rsid w:val="00AA3C22"/>
    <w:rsid w:val="00AA3CB9"/>
    <w:rsid w:val="00AA3ECF"/>
    <w:rsid w:val="00AA4119"/>
    <w:rsid w:val="00AA415A"/>
    <w:rsid w:val="00AA416A"/>
    <w:rsid w:val="00AA41DE"/>
    <w:rsid w:val="00AA42CF"/>
    <w:rsid w:val="00AA4597"/>
    <w:rsid w:val="00AA45B7"/>
    <w:rsid w:val="00AA488B"/>
    <w:rsid w:val="00AA4905"/>
    <w:rsid w:val="00AA49A6"/>
    <w:rsid w:val="00AA49EB"/>
    <w:rsid w:val="00AA4AD4"/>
    <w:rsid w:val="00AA4AD9"/>
    <w:rsid w:val="00AA4C37"/>
    <w:rsid w:val="00AA4CA5"/>
    <w:rsid w:val="00AA4D2B"/>
    <w:rsid w:val="00AA4DF2"/>
    <w:rsid w:val="00AA4E46"/>
    <w:rsid w:val="00AA4E9F"/>
    <w:rsid w:val="00AA4F2A"/>
    <w:rsid w:val="00AA5027"/>
    <w:rsid w:val="00AA50F7"/>
    <w:rsid w:val="00AA5107"/>
    <w:rsid w:val="00AA5112"/>
    <w:rsid w:val="00AA5180"/>
    <w:rsid w:val="00AA51D1"/>
    <w:rsid w:val="00AA5240"/>
    <w:rsid w:val="00AA53C4"/>
    <w:rsid w:val="00AA5541"/>
    <w:rsid w:val="00AA55EC"/>
    <w:rsid w:val="00AA56DA"/>
    <w:rsid w:val="00AA56E2"/>
    <w:rsid w:val="00AA56E7"/>
    <w:rsid w:val="00AA57F8"/>
    <w:rsid w:val="00AA5821"/>
    <w:rsid w:val="00AA5829"/>
    <w:rsid w:val="00AA5914"/>
    <w:rsid w:val="00AA5A3D"/>
    <w:rsid w:val="00AA5A54"/>
    <w:rsid w:val="00AA5AFC"/>
    <w:rsid w:val="00AA5B96"/>
    <w:rsid w:val="00AA5BC8"/>
    <w:rsid w:val="00AA5CAE"/>
    <w:rsid w:val="00AA5CBC"/>
    <w:rsid w:val="00AA5DBE"/>
    <w:rsid w:val="00AA5E66"/>
    <w:rsid w:val="00AA5EB0"/>
    <w:rsid w:val="00AA5F3A"/>
    <w:rsid w:val="00AA5F5E"/>
    <w:rsid w:val="00AA6155"/>
    <w:rsid w:val="00AA62FE"/>
    <w:rsid w:val="00AA632C"/>
    <w:rsid w:val="00AA6463"/>
    <w:rsid w:val="00AA65E6"/>
    <w:rsid w:val="00AA66C1"/>
    <w:rsid w:val="00AA681E"/>
    <w:rsid w:val="00AA6863"/>
    <w:rsid w:val="00AA68AF"/>
    <w:rsid w:val="00AA68C0"/>
    <w:rsid w:val="00AA6913"/>
    <w:rsid w:val="00AA693B"/>
    <w:rsid w:val="00AA6951"/>
    <w:rsid w:val="00AA69F2"/>
    <w:rsid w:val="00AA6A5E"/>
    <w:rsid w:val="00AA6A8B"/>
    <w:rsid w:val="00AA6B07"/>
    <w:rsid w:val="00AA6B10"/>
    <w:rsid w:val="00AA6C1B"/>
    <w:rsid w:val="00AA6C20"/>
    <w:rsid w:val="00AA6C5E"/>
    <w:rsid w:val="00AA6D71"/>
    <w:rsid w:val="00AA6E7C"/>
    <w:rsid w:val="00AA6EC6"/>
    <w:rsid w:val="00AA6F2F"/>
    <w:rsid w:val="00AA6F64"/>
    <w:rsid w:val="00AA7066"/>
    <w:rsid w:val="00AA70A9"/>
    <w:rsid w:val="00AA70CB"/>
    <w:rsid w:val="00AA7127"/>
    <w:rsid w:val="00AA7145"/>
    <w:rsid w:val="00AA7155"/>
    <w:rsid w:val="00AA715B"/>
    <w:rsid w:val="00AA71D6"/>
    <w:rsid w:val="00AA7322"/>
    <w:rsid w:val="00AA7371"/>
    <w:rsid w:val="00AA741D"/>
    <w:rsid w:val="00AA74D7"/>
    <w:rsid w:val="00AA75DE"/>
    <w:rsid w:val="00AA764F"/>
    <w:rsid w:val="00AA78F1"/>
    <w:rsid w:val="00AA796F"/>
    <w:rsid w:val="00AA7BC5"/>
    <w:rsid w:val="00AA7D4F"/>
    <w:rsid w:val="00AA7D7B"/>
    <w:rsid w:val="00AA7E17"/>
    <w:rsid w:val="00AA7E42"/>
    <w:rsid w:val="00AA7E8C"/>
    <w:rsid w:val="00AA7FA3"/>
    <w:rsid w:val="00AB0038"/>
    <w:rsid w:val="00AB00E2"/>
    <w:rsid w:val="00AB0108"/>
    <w:rsid w:val="00AB03AC"/>
    <w:rsid w:val="00AB0435"/>
    <w:rsid w:val="00AB049C"/>
    <w:rsid w:val="00AB0596"/>
    <w:rsid w:val="00AB0633"/>
    <w:rsid w:val="00AB06F3"/>
    <w:rsid w:val="00AB074C"/>
    <w:rsid w:val="00AB082B"/>
    <w:rsid w:val="00AB089F"/>
    <w:rsid w:val="00AB08CD"/>
    <w:rsid w:val="00AB09D8"/>
    <w:rsid w:val="00AB0A32"/>
    <w:rsid w:val="00AB0A7D"/>
    <w:rsid w:val="00AB0B5F"/>
    <w:rsid w:val="00AB0D6E"/>
    <w:rsid w:val="00AB0E1E"/>
    <w:rsid w:val="00AB0E3F"/>
    <w:rsid w:val="00AB0E51"/>
    <w:rsid w:val="00AB0EAB"/>
    <w:rsid w:val="00AB0F0A"/>
    <w:rsid w:val="00AB104B"/>
    <w:rsid w:val="00AB105F"/>
    <w:rsid w:val="00AB1129"/>
    <w:rsid w:val="00AB1275"/>
    <w:rsid w:val="00AB13A1"/>
    <w:rsid w:val="00AB13C0"/>
    <w:rsid w:val="00AB141A"/>
    <w:rsid w:val="00AB14CA"/>
    <w:rsid w:val="00AB1549"/>
    <w:rsid w:val="00AB16BF"/>
    <w:rsid w:val="00AB171D"/>
    <w:rsid w:val="00AB184F"/>
    <w:rsid w:val="00AB189A"/>
    <w:rsid w:val="00AB1E82"/>
    <w:rsid w:val="00AB1EA3"/>
    <w:rsid w:val="00AB1F31"/>
    <w:rsid w:val="00AB1F3C"/>
    <w:rsid w:val="00AB1F3E"/>
    <w:rsid w:val="00AB2011"/>
    <w:rsid w:val="00AB2146"/>
    <w:rsid w:val="00AB2218"/>
    <w:rsid w:val="00AB2220"/>
    <w:rsid w:val="00AB2246"/>
    <w:rsid w:val="00AB22B0"/>
    <w:rsid w:val="00AB24BB"/>
    <w:rsid w:val="00AB2619"/>
    <w:rsid w:val="00AB27E0"/>
    <w:rsid w:val="00AB290A"/>
    <w:rsid w:val="00AB2924"/>
    <w:rsid w:val="00AB2A04"/>
    <w:rsid w:val="00AB2A6B"/>
    <w:rsid w:val="00AB2B43"/>
    <w:rsid w:val="00AB2D39"/>
    <w:rsid w:val="00AB2D51"/>
    <w:rsid w:val="00AB2E67"/>
    <w:rsid w:val="00AB2FA1"/>
    <w:rsid w:val="00AB3012"/>
    <w:rsid w:val="00AB307C"/>
    <w:rsid w:val="00AB3106"/>
    <w:rsid w:val="00AB3161"/>
    <w:rsid w:val="00AB319F"/>
    <w:rsid w:val="00AB32A9"/>
    <w:rsid w:val="00AB32C3"/>
    <w:rsid w:val="00AB34FE"/>
    <w:rsid w:val="00AB34FF"/>
    <w:rsid w:val="00AB3599"/>
    <w:rsid w:val="00AB3652"/>
    <w:rsid w:val="00AB3657"/>
    <w:rsid w:val="00AB366F"/>
    <w:rsid w:val="00AB372D"/>
    <w:rsid w:val="00AB3736"/>
    <w:rsid w:val="00AB377D"/>
    <w:rsid w:val="00AB398D"/>
    <w:rsid w:val="00AB3A4B"/>
    <w:rsid w:val="00AB3AF6"/>
    <w:rsid w:val="00AB3BB9"/>
    <w:rsid w:val="00AB3C70"/>
    <w:rsid w:val="00AB3D72"/>
    <w:rsid w:val="00AB3DD5"/>
    <w:rsid w:val="00AB3DE2"/>
    <w:rsid w:val="00AB3E80"/>
    <w:rsid w:val="00AB3E9D"/>
    <w:rsid w:val="00AB3EE1"/>
    <w:rsid w:val="00AB3F5E"/>
    <w:rsid w:val="00AB414D"/>
    <w:rsid w:val="00AB41D4"/>
    <w:rsid w:val="00AB43E1"/>
    <w:rsid w:val="00AB4436"/>
    <w:rsid w:val="00AB443B"/>
    <w:rsid w:val="00AB446A"/>
    <w:rsid w:val="00AB449E"/>
    <w:rsid w:val="00AB44AD"/>
    <w:rsid w:val="00AB46D8"/>
    <w:rsid w:val="00AB46E6"/>
    <w:rsid w:val="00AB47FD"/>
    <w:rsid w:val="00AB4982"/>
    <w:rsid w:val="00AB4A5A"/>
    <w:rsid w:val="00AB4AF9"/>
    <w:rsid w:val="00AB4B04"/>
    <w:rsid w:val="00AB4B2C"/>
    <w:rsid w:val="00AB4C8D"/>
    <w:rsid w:val="00AB4E83"/>
    <w:rsid w:val="00AB4F16"/>
    <w:rsid w:val="00AB4F68"/>
    <w:rsid w:val="00AB4FEE"/>
    <w:rsid w:val="00AB5052"/>
    <w:rsid w:val="00AB5069"/>
    <w:rsid w:val="00AB5156"/>
    <w:rsid w:val="00AB5162"/>
    <w:rsid w:val="00AB5188"/>
    <w:rsid w:val="00AB52C1"/>
    <w:rsid w:val="00AB5304"/>
    <w:rsid w:val="00AB5330"/>
    <w:rsid w:val="00AB5471"/>
    <w:rsid w:val="00AB54FA"/>
    <w:rsid w:val="00AB5547"/>
    <w:rsid w:val="00AB56F8"/>
    <w:rsid w:val="00AB5732"/>
    <w:rsid w:val="00AB5754"/>
    <w:rsid w:val="00AB577F"/>
    <w:rsid w:val="00AB582C"/>
    <w:rsid w:val="00AB584E"/>
    <w:rsid w:val="00AB5A3F"/>
    <w:rsid w:val="00AB5AF4"/>
    <w:rsid w:val="00AB5B1B"/>
    <w:rsid w:val="00AB5C8B"/>
    <w:rsid w:val="00AB5FA4"/>
    <w:rsid w:val="00AB6051"/>
    <w:rsid w:val="00AB605B"/>
    <w:rsid w:val="00AB60DF"/>
    <w:rsid w:val="00AB611A"/>
    <w:rsid w:val="00AB614A"/>
    <w:rsid w:val="00AB61D6"/>
    <w:rsid w:val="00AB6203"/>
    <w:rsid w:val="00AB62DA"/>
    <w:rsid w:val="00AB630C"/>
    <w:rsid w:val="00AB641D"/>
    <w:rsid w:val="00AB6421"/>
    <w:rsid w:val="00AB6435"/>
    <w:rsid w:val="00AB647A"/>
    <w:rsid w:val="00AB64B2"/>
    <w:rsid w:val="00AB64FF"/>
    <w:rsid w:val="00AB6582"/>
    <w:rsid w:val="00AB685B"/>
    <w:rsid w:val="00AB69DF"/>
    <w:rsid w:val="00AB6A68"/>
    <w:rsid w:val="00AB6B81"/>
    <w:rsid w:val="00AB6F3F"/>
    <w:rsid w:val="00AB6FCC"/>
    <w:rsid w:val="00AB73A6"/>
    <w:rsid w:val="00AB73BD"/>
    <w:rsid w:val="00AB73FC"/>
    <w:rsid w:val="00AB74B0"/>
    <w:rsid w:val="00AB75FF"/>
    <w:rsid w:val="00AB7648"/>
    <w:rsid w:val="00AB7689"/>
    <w:rsid w:val="00AB76C1"/>
    <w:rsid w:val="00AB78A1"/>
    <w:rsid w:val="00AB7924"/>
    <w:rsid w:val="00AB79AB"/>
    <w:rsid w:val="00AB79EB"/>
    <w:rsid w:val="00AB7AAA"/>
    <w:rsid w:val="00AB7AEA"/>
    <w:rsid w:val="00AB7B0F"/>
    <w:rsid w:val="00AB7CEA"/>
    <w:rsid w:val="00AB7F04"/>
    <w:rsid w:val="00AC00C7"/>
    <w:rsid w:val="00AC02AA"/>
    <w:rsid w:val="00AC0353"/>
    <w:rsid w:val="00AC04EE"/>
    <w:rsid w:val="00AC0532"/>
    <w:rsid w:val="00AC0613"/>
    <w:rsid w:val="00AC06D0"/>
    <w:rsid w:val="00AC0776"/>
    <w:rsid w:val="00AC0810"/>
    <w:rsid w:val="00AC0811"/>
    <w:rsid w:val="00AC098D"/>
    <w:rsid w:val="00AC0992"/>
    <w:rsid w:val="00AC0D39"/>
    <w:rsid w:val="00AC0D3A"/>
    <w:rsid w:val="00AC0D3B"/>
    <w:rsid w:val="00AC0E37"/>
    <w:rsid w:val="00AC0F2F"/>
    <w:rsid w:val="00AC0F34"/>
    <w:rsid w:val="00AC0F57"/>
    <w:rsid w:val="00AC0FA8"/>
    <w:rsid w:val="00AC1177"/>
    <w:rsid w:val="00AC1202"/>
    <w:rsid w:val="00AC1393"/>
    <w:rsid w:val="00AC13D3"/>
    <w:rsid w:val="00AC14D2"/>
    <w:rsid w:val="00AC1507"/>
    <w:rsid w:val="00AC17B9"/>
    <w:rsid w:val="00AC1809"/>
    <w:rsid w:val="00AC1BA2"/>
    <w:rsid w:val="00AC1D94"/>
    <w:rsid w:val="00AC1E18"/>
    <w:rsid w:val="00AC1E4D"/>
    <w:rsid w:val="00AC1ECD"/>
    <w:rsid w:val="00AC1F10"/>
    <w:rsid w:val="00AC1F56"/>
    <w:rsid w:val="00AC2081"/>
    <w:rsid w:val="00AC2206"/>
    <w:rsid w:val="00AC2270"/>
    <w:rsid w:val="00AC2325"/>
    <w:rsid w:val="00AC237C"/>
    <w:rsid w:val="00AC238E"/>
    <w:rsid w:val="00AC2519"/>
    <w:rsid w:val="00AC25DA"/>
    <w:rsid w:val="00AC277A"/>
    <w:rsid w:val="00AC2795"/>
    <w:rsid w:val="00AC2825"/>
    <w:rsid w:val="00AC2944"/>
    <w:rsid w:val="00AC29F9"/>
    <w:rsid w:val="00AC2A72"/>
    <w:rsid w:val="00AC2AFE"/>
    <w:rsid w:val="00AC2C05"/>
    <w:rsid w:val="00AC2D41"/>
    <w:rsid w:val="00AC2D55"/>
    <w:rsid w:val="00AC2E33"/>
    <w:rsid w:val="00AC2EE0"/>
    <w:rsid w:val="00AC2F15"/>
    <w:rsid w:val="00AC2F2E"/>
    <w:rsid w:val="00AC302A"/>
    <w:rsid w:val="00AC3082"/>
    <w:rsid w:val="00AC315A"/>
    <w:rsid w:val="00AC31B1"/>
    <w:rsid w:val="00AC3320"/>
    <w:rsid w:val="00AC3487"/>
    <w:rsid w:val="00AC3529"/>
    <w:rsid w:val="00AC36AF"/>
    <w:rsid w:val="00AC36D4"/>
    <w:rsid w:val="00AC37A4"/>
    <w:rsid w:val="00AC37A7"/>
    <w:rsid w:val="00AC3845"/>
    <w:rsid w:val="00AC3858"/>
    <w:rsid w:val="00AC38A7"/>
    <w:rsid w:val="00AC399B"/>
    <w:rsid w:val="00AC3A23"/>
    <w:rsid w:val="00AC3A46"/>
    <w:rsid w:val="00AC3AC3"/>
    <w:rsid w:val="00AC3B50"/>
    <w:rsid w:val="00AC3BCD"/>
    <w:rsid w:val="00AC3C39"/>
    <w:rsid w:val="00AC3C6E"/>
    <w:rsid w:val="00AC3CC1"/>
    <w:rsid w:val="00AC3D91"/>
    <w:rsid w:val="00AC3F65"/>
    <w:rsid w:val="00AC3FDE"/>
    <w:rsid w:val="00AC405B"/>
    <w:rsid w:val="00AC40CB"/>
    <w:rsid w:val="00AC417B"/>
    <w:rsid w:val="00AC41F4"/>
    <w:rsid w:val="00AC428D"/>
    <w:rsid w:val="00AC447F"/>
    <w:rsid w:val="00AC4531"/>
    <w:rsid w:val="00AC4672"/>
    <w:rsid w:val="00AC46F5"/>
    <w:rsid w:val="00AC471A"/>
    <w:rsid w:val="00AC4756"/>
    <w:rsid w:val="00AC485F"/>
    <w:rsid w:val="00AC4933"/>
    <w:rsid w:val="00AC497E"/>
    <w:rsid w:val="00AC4A2A"/>
    <w:rsid w:val="00AC4AF5"/>
    <w:rsid w:val="00AC4BB6"/>
    <w:rsid w:val="00AC4C16"/>
    <w:rsid w:val="00AC4C52"/>
    <w:rsid w:val="00AC4CE0"/>
    <w:rsid w:val="00AC4D76"/>
    <w:rsid w:val="00AC4DB1"/>
    <w:rsid w:val="00AC4E07"/>
    <w:rsid w:val="00AC4E19"/>
    <w:rsid w:val="00AC4EF6"/>
    <w:rsid w:val="00AC4F20"/>
    <w:rsid w:val="00AC4F97"/>
    <w:rsid w:val="00AC503E"/>
    <w:rsid w:val="00AC5125"/>
    <w:rsid w:val="00AC52A6"/>
    <w:rsid w:val="00AC52B1"/>
    <w:rsid w:val="00AC52C1"/>
    <w:rsid w:val="00AC5340"/>
    <w:rsid w:val="00AC538D"/>
    <w:rsid w:val="00AC53A7"/>
    <w:rsid w:val="00AC5477"/>
    <w:rsid w:val="00AC54C3"/>
    <w:rsid w:val="00AC54E2"/>
    <w:rsid w:val="00AC55EF"/>
    <w:rsid w:val="00AC5675"/>
    <w:rsid w:val="00AC56B8"/>
    <w:rsid w:val="00AC56DD"/>
    <w:rsid w:val="00AC5728"/>
    <w:rsid w:val="00AC57A8"/>
    <w:rsid w:val="00AC57AB"/>
    <w:rsid w:val="00AC57C8"/>
    <w:rsid w:val="00AC5853"/>
    <w:rsid w:val="00AC595D"/>
    <w:rsid w:val="00AC5B6D"/>
    <w:rsid w:val="00AC5C1B"/>
    <w:rsid w:val="00AC5C1F"/>
    <w:rsid w:val="00AC5C7A"/>
    <w:rsid w:val="00AC5D9D"/>
    <w:rsid w:val="00AC5E05"/>
    <w:rsid w:val="00AC5EB9"/>
    <w:rsid w:val="00AC5ED1"/>
    <w:rsid w:val="00AC5F53"/>
    <w:rsid w:val="00AC5F61"/>
    <w:rsid w:val="00AC6033"/>
    <w:rsid w:val="00AC603B"/>
    <w:rsid w:val="00AC60AB"/>
    <w:rsid w:val="00AC618D"/>
    <w:rsid w:val="00AC61A1"/>
    <w:rsid w:val="00AC62CD"/>
    <w:rsid w:val="00AC62E5"/>
    <w:rsid w:val="00AC640C"/>
    <w:rsid w:val="00AC6469"/>
    <w:rsid w:val="00AC650F"/>
    <w:rsid w:val="00AC6519"/>
    <w:rsid w:val="00AC66F6"/>
    <w:rsid w:val="00AC6744"/>
    <w:rsid w:val="00AC6BE8"/>
    <w:rsid w:val="00AC6D72"/>
    <w:rsid w:val="00AC6DF5"/>
    <w:rsid w:val="00AC6DFA"/>
    <w:rsid w:val="00AC6EA7"/>
    <w:rsid w:val="00AC6ED3"/>
    <w:rsid w:val="00AC6F95"/>
    <w:rsid w:val="00AC7132"/>
    <w:rsid w:val="00AC7144"/>
    <w:rsid w:val="00AC71DA"/>
    <w:rsid w:val="00AC724D"/>
    <w:rsid w:val="00AC729D"/>
    <w:rsid w:val="00AC7374"/>
    <w:rsid w:val="00AC73E1"/>
    <w:rsid w:val="00AC7475"/>
    <w:rsid w:val="00AC74C4"/>
    <w:rsid w:val="00AC7556"/>
    <w:rsid w:val="00AC766B"/>
    <w:rsid w:val="00AC7783"/>
    <w:rsid w:val="00AC779A"/>
    <w:rsid w:val="00AC7803"/>
    <w:rsid w:val="00AC795E"/>
    <w:rsid w:val="00AC7A53"/>
    <w:rsid w:val="00AC7CA4"/>
    <w:rsid w:val="00AC7E4C"/>
    <w:rsid w:val="00AC7E68"/>
    <w:rsid w:val="00AC7E71"/>
    <w:rsid w:val="00AC7F7C"/>
    <w:rsid w:val="00AD00C7"/>
    <w:rsid w:val="00AD0158"/>
    <w:rsid w:val="00AD0243"/>
    <w:rsid w:val="00AD0312"/>
    <w:rsid w:val="00AD0578"/>
    <w:rsid w:val="00AD0A43"/>
    <w:rsid w:val="00AD0CF9"/>
    <w:rsid w:val="00AD0E68"/>
    <w:rsid w:val="00AD0FC7"/>
    <w:rsid w:val="00AD11BC"/>
    <w:rsid w:val="00AD12D7"/>
    <w:rsid w:val="00AD135B"/>
    <w:rsid w:val="00AD1371"/>
    <w:rsid w:val="00AD1415"/>
    <w:rsid w:val="00AD152B"/>
    <w:rsid w:val="00AD1694"/>
    <w:rsid w:val="00AD1800"/>
    <w:rsid w:val="00AD1881"/>
    <w:rsid w:val="00AD191F"/>
    <w:rsid w:val="00AD1A38"/>
    <w:rsid w:val="00AD1AD7"/>
    <w:rsid w:val="00AD1AFD"/>
    <w:rsid w:val="00AD1B36"/>
    <w:rsid w:val="00AD1B77"/>
    <w:rsid w:val="00AD1BAB"/>
    <w:rsid w:val="00AD1CBF"/>
    <w:rsid w:val="00AD1D3A"/>
    <w:rsid w:val="00AD1DAD"/>
    <w:rsid w:val="00AD1DCB"/>
    <w:rsid w:val="00AD1DF0"/>
    <w:rsid w:val="00AD2183"/>
    <w:rsid w:val="00AD2223"/>
    <w:rsid w:val="00AD2344"/>
    <w:rsid w:val="00AD245E"/>
    <w:rsid w:val="00AD246A"/>
    <w:rsid w:val="00AD260A"/>
    <w:rsid w:val="00AD262A"/>
    <w:rsid w:val="00AD2833"/>
    <w:rsid w:val="00AD28F7"/>
    <w:rsid w:val="00AD290F"/>
    <w:rsid w:val="00AD29C7"/>
    <w:rsid w:val="00AD2B0F"/>
    <w:rsid w:val="00AD2D1D"/>
    <w:rsid w:val="00AD2D4C"/>
    <w:rsid w:val="00AD2DFF"/>
    <w:rsid w:val="00AD2EDA"/>
    <w:rsid w:val="00AD2F46"/>
    <w:rsid w:val="00AD2F53"/>
    <w:rsid w:val="00AD2F91"/>
    <w:rsid w:val="00AD3116"/>
    <w:rsid w:val="00AD313D"/>
    <w:rsid w:val="00AD32D6"/>
    <w:rsid w:val="00AD33A6"/>
    <w:rsid w:val="00AD3417"/>
    <w:rsid w:val="00AD34B4"/>
    <w:rsid w:val="00AD364D"/>
    <w:rsid w:val="00AD3663"/>
    <w:rsid w:val="00AD36FD"/>
    <w:rsid w:val="00AD37D3"/>
    <w:rsid w:val="00AD383A"/>
    <w:rsid w:val="00AD3858"/>
    <w:rsid w:val="00AD3979"/>
    <w:rsid w:val="00AD39A8"/>
    <w:rsid w:val="00AD3A43"/>
    <w:rsid w:val="00AD3A77"/>
    <w:rsid w:val="00AD3A98"/>
    <w:rsid w:val="00AD3AF6"/>
    <w:rsid w:val="00AD3C2B"/>
    <w:rsid w:val="00AD3C31"/>
    <w:rsid w:val="00AD3C33"/>
    <w:rsid w:val="00AD3E34"/>
    <w:rsid w:val="00AD3E3B"/>
    <w:rsid w:val="00AD3F24"/>
    <w:rsid w:val="00AD3F6A"/>
    <w:rsid w:val="00AD3F7B"/>
    <w:rsid w:val="00AD3FB4"/>
    <w:rsid w:val="00AD416B"/>
    <w:rsid w:val="00AD4171"/>
    <w:rsid w:val="00AD41D0"/>
    <w:rsid w:val="00AD42E2"/>
    <w:rsid w:val="00AD459A"/>
    <w:rsid w:val="00AD46BD"/>
    <w:rsid w:val="00AD4731"/>
    <w:rsid w:val="00AD477C"/>
    <w:rsid w:val="00AD47FF"/>
    <w:rsid w:val="00AD4846"/>
    <w:rsid w:val="00AD48A9"/>
    <w:rsid w:val="00AD4906"/>
    <w:rsid w:val="00AD49BD"/>
    <w:rsid w:val="00AD4CDB"/>
    <w:rsid w:val="00AD4D43"/>
    <w:rsid w:val="00AD4DA2"/>
    <w:rsid w:val="00AD4DFD"/>
    <w:rsid w:val="00AD4E75"/>
    <w:rsid w:val="00AD4F32"/>
    <w:rsid w:val="00AD4F4A"/>
    <w:rsid w:val="00AD4F59"/>
    <w:rsid w:val="00AD4FC3"/>
    <w:rsid w:val="00AD5048"/>
    <w:rsid w:val="00AD5325"/>
    <w:rsid w:val="00AD56A0"/>
    <w:rsid w:val="00AD57A2"/>
    <w:rsid w:val="00AD5D16"/>
    <w:rsid w:val="00AD5D79"/>
    <w:rsid w:val="00AD5DED"/>
    <w:rsid w:val="00AD5E1F"/>
    <w:rsid w:val="00AD5F56"/>
    <w:rsid w:val="00AD602B"/>
    <w:rsid w:val="00AD61BE"/>
    <w:rsid w:val="00AD6344"/>
    <w:rsid w:val="00AD65EA"/>
    <w:rsid w:val="00AD6606"/>
    <w:rsid w:val="00AD6634"/>
    <w:rsid w:val="00AD6757"/>
    <w:rsid w:val="00AD67E2"/>
    <w:rsid w:val="00AD68DB"/>
    <w:rsid w:val="00AD6926"/>
    <w:rsid w:val="00AD6A25"/>
    <w:rsid w:val="00AD6A49"/>
    <w:rsid w:val="00AD6A50"/>
    <w:rsid w:val="00AD6ADF"/>
    <w:rsid w:val="00AD6B3A"/>
    <w:rsid w:val="00AD6B53"/>
    <w:rsid w:val="00AD6C4B"/>
    <w:rsid w:val="00AD6C73"/>
    <w:rsid w:val="00AD6D81"/>
    <w:rsid w:val="00AD6DAC"/>
    <w:rsid w:val="00AD6DD0"/>
    <w:rsid w:val="00AD6EAC"/>
    <w:rsid w:val="00AD6F93"/>
    <w:rsid w:val="00AD70C4"/>
    <w:rsid w:val="00AD71F1"/>
    <w:rsid w:val="00AD7262"/>
    <w:rsid w:val="00AD7293"/>
    <w:rsid w:val="00AD73DF"/>
    <w:rsid w:val="00AD75B8"/>
    <w:rsid w:val="00AD7691"/>
    <w:rsid w:val="00AD76DE"/>
    <w:rsid w:val="00AD7827"/>
    <w:rsid w:val="00AD7830"/>
    <w:rsid w:val="00AD78D8"/>
    <w:rsid w:val="00AD795F"/>
    <w:rsid w:val="00AD79F2"/>
    <w:rsid w:val="00AD7A11"/>
    <w:rsid w:val="00AD7BB8"/>
    <w:rsid w:val="00AD7E3E"/>
    <w:rsid w:val="00AD7F27"/>
    <w:rsid w:val="00AE0143"/>
    <w:rsid w:val="00AE01BE"/>
    <w:rsid w:val="00AE020F"/>
    <w:rsid w:val="00AE024E"/>
    <w:rsid w:val="00AE025E"/>
    <w:rsid w:val="00AE063F"/>
    <w:rsid w:val="00AE067B"/>
    <w:rsid w:val="00AE06CD"/>
    <w:rsid w:val="00AE0880"/>
    <w:rsid w:val="00AE08DE"/>
    <w:rsid w:val="00AE0A34"/>
    <w:rsid w:val="00AE0B53"/>
    <w:rsid w:val="00AE0B7B"/>
    <w:rsid w:val="00AE0B84"/>
    <w:rsid w:val="00AE0C7E"/>
    <w:rsid w:val="00AE0C9E"/>
    <w:rsid w:val="00AE0DE1"/>
    <w:rsid w:val="00AE0FC7"/>
    <w:rsid w:val="00AE1008"/>
    <w:rsid w:val="00AE1077"/>
    <w:rsid w:val="00AE109A"/>
    <w:rsid w:val="00AE11A2"/>
    <w:rsid w:val="00AE128A"/>
    <w:rsid w:val="00AE132D"/>
    <w:rsid w:val="00AE1362"/>
    <w:rsid w:val="00AE13B6"/>
    <w:rsid w:val="00AE159E"/>
    <w:rsid w:val="00AE1664"/>
    <w:rsid w:val="00AE1736"/>
    <w:rsid w:val="00AE17F1"/>
    <w:rsid w:val="00AE186F"/>
    <w:rsid w:val="00AE1875"/>
    <w:rsid w:val="00AE18AD"/>
    <w:rsid w:val="00AE1964"/>
    <w:rsid w:val="00AE1989"/>
    <w:rsid w:val="00AE19BE"/>
    <w:rsid w:val="00AE1AD5"/>
    <w:rsid w:val="00AE1B8C"/>
    <w:rsid w:val="00AE1E03"/>
    <w:rsid w:val="00AE1F23"/>
    <w:rsid w:val="00AE1F75"/>
    <w:rsid w:val="00AE2099"/>
    <w:rsid w:val="00AE20FD"/>
    <w:rsid w:val="00AE220C"/>
    <w:rsid w:val="00AE227A"/>
    <w:rsid w:val="00AE23B4"/>
    <w:rsid w:val="00AE259A"/>
    <w:rsid w:val="00AE26C4"/>
    <w:rsid w:val="00AE2795"/>
    <w:rsid w:val="00AE2854"/>
    <w:rsid w:val="00AE2894"/>
    <w:rsid w:val="00AE28CE"/>
    <w:rsid w:val="00AE28FB"/>
    <w:rsid w:val="00AE29F6"/>
    <w:rsid w:val="00AE2A5F"/>
    <w:rsid w:val="00AE2AE6"/>
    <w:rsid w:val="00AE2B24"/>
    <w:rsid w:val="00AE2D46"/>
    <w:rsid w:val="00AE2DBE"/>
    <w:rsid w:val="00AE2EA2"/>
    <w:rsid w:val="00AE2F86"/>
    <w:rsid w:val="00AE3042"/>
    <w:rsid w:val="00AE3080"/>
    <w:rsid w:val="00AE3086"/>
    <w:rsid w:val="00AE3145"/>
    <w:rsid w:val="00AE31C0"/>
    <w:rsid w:val="00AE320C"/>
    <w:rsid w:val="00AE3210"/>
    <w:rsid w:val="00AE3292"/>
    <w:rsid w:val="00AE3345"/>
    <w:rsid w:val="00AE3348"/>
    <w:rsid w:val="00AE34E1"/>
    <w:rsid w:val="00AE34EE"/>
    <w:rsid w:val="00AE35A5"/>
    <w:rsid w:val="00AE379B"/>
    <w:rsid w:val="00AE38BF"/>
    <w:rsid w:val="00AE3A71"/>
    <w:rsid w:val="00AE3BCC"/>
    <w:rsid w:val="00AE3CAD"/>
    <w:rsid w:val="00AE3CED"/>
    <w:rsid w:val="00AE3D08"/>
    <w:rsid w:val="00AE3F31"/>
    <w:rsid w:val="00AE4000"/>
    <w:rsid w:val="00AE425B"/>
    <w:rsid w:val="00AE42B1"/>
    <w:rsid w:val="00AE42B7"/>
    <w:rsid w:val="00AE4393"/>
    <w:rsid w:val="00AE452A"/>
    <w:rsid w:val="00AE48C7"/>
    <w:rsid w:val="00AE4AE6"/>
    <w:rsid w:val="00AE4B1E"/>
    <w:rsid w:val="00AE4C7E"/>
    <w:rsid w:val="00AE4E37"/>
    <w:rsid w:val="00AE4EC4"/>
    <w:rsid w:val="00AE4F8A"/>
    <w:rsid w:val="00AE50C5"/>
    <w:rsid w:val="00AE5275"/>
    <w:rsid w:val="00AE52AB"/>
    <w:rsid w:val="00AE54AE"/>
    <w:rsid w:val="00AE54CB"/>
    <w:rsid w:val="00AE54EF"/>
    <w:rsid w:val="00AE5512"/>
    <w:rsid w:val="00AE5644"/>
    <w:rsid w:val="00AE56DE"/>
    <w:rsid w:val="00AE57F0"/>
    <w:rsid w:val="00AE57F7"/>
    <w:rsid w:val="00AE584A"/>
    <w:rsid w:val="00AE5885"/>
    <w:rsid w:val="00AE58CC"/>
    <w:rsid w:val="00AE58F8"/>
    <w:rsid w:val="00AE5AE1"/>
    <w:rsid w:val="00AE5B70"/>
    <w:rsid w:val="00AE5D77"/>
    <w:rsid w:val="00AE5DF5"/>
    <w:rsid w:val="00AE5EA5"/>
    <w:rsid w:val="00AE5F7C"/>
    <w:rsid w:val="00AE6329"/>
    <w:rsid w:val="00AE64B1"/>
    <w:rsid w:val="00AE65C5"/>
    <w:rsid w:val="00AE6693"/>
    <w:rsid w:val="00AE6737"/>
    <w:rsid w:val="00AE674D"/>
    <w:rsid w:val="00AE6A31"/>
    <w:rsid w:val="00AE6B0B"/>
    <w:rsid w:val="00AE6B14"/>
    <w:rsid w:val="00AE6BF2"/>
    <w:rsid w:val="00AE6BFF"/>
    <w:rsid w:val="00AE6C40"/>
    <w:rsid w:val="00AE6CD4"/>
    <w:rsid w:val="00AE6D13"/>
    <w:rsid w:val="00AE6DE2"/>
    <w:rsid w:val="00AE6EC5"/>
    <w:rsid w:val="00AE70A4"/>
    <w:rsid w:val="00AE710A"/>
    <w:rsid w:val="00AE71A1"/>
    <w:rsid w:val="00AE72C9"/>
    <w:rsid w:val="00AE734F"/>
    <w:rsid w:val="00AE7499"/>
    <w:rsid w:val="00AE76AF"/>
    <w:rsid w:val="00AE783D"/>
    <w:rsid w:val="00AE78BA"/>
    <w:rsid w:val="00AE78C9"/>
    <w:rsid w:val="00AE7B6F"/>
    <w:rsid w:val="00AE7D5D"/>
    <w:rsid w:val="00AE7E39"/>
    <w:rsid w:val="00AE7F92"/>
    <w:rsid w:val="00AE7F9F"/>
    <w:rsid w:val="00AE7FDB"/>
    <w:rsid w:val="00AF005D"/>
    <w:rsid w:val="00AF007A"/>
    <w:rsid w:val="00AF00FE"/>
    <w:rsid w:val="00AF01D5"/>
    <w:rsid w:val="00AF02A8"/>
    <w:rsid w:val="00AF0302"/>
    <w:rsid w:val="00AF032C"/>
    <w:rsid w:val="00AF0418"/>
    <w:rsid w:val="00AF0442"/>
    <w:rsid w:val="00AF0575"/>
    <w:rsid w:val="00AF062A"/>
    <w:rsid w:val="00AF065B"/>
    <w:rsid w:val="00AF06FB"/>
    <w:rsid w:val="00AF0745"/>
    <w:rsid w:val="00AF07BD"/>
    <w:rsid w:val="00AF09AF"/>
    <w:rsid w:val="00AF0A62"/>
    <w:rsid w:val="00AF0B1C"/>
    <w:rsid w:val="00AF0B4A"/>
    <w:rsid w:val="00AF0B58"/>
    <w:rsid w:val="00AF0C27"/>
    <w:rsid w:val="00AF0C51"/>
    <w:rsid w:val="00AF0E93"/>
    <w:rsid w:val="00AF10EE"/>
    <w:rsid w:val="00AF1236"/>
    <w:rsid w:val="00AF1281"/>
    <w:rsid w:val="00AF1347"/>
    <w:rsid w:val="00AF14B0"/>
    <w:rsid w:val="00AF1566"/>
    <w:rsid w:val="00AF156B"/>
    <w:rsid w:val="00AF170F"/>
    <w:rsid w:val="00AF179D"/>
    <w:rsid w:val="00AF17BD"/>
    <w:rsid w:val="00AF182C"/>
    <w:rsid w:val="00AF1AC3"/>
    <w:rsid w:val="00AF1AEB"/>
    <w:rsid w:val="00AF1BD7"/>
    <w:rsid w:val="00AF1D40"/>
    <w:rsid w:val="00AF1EB7"/>
    <w:rsid w:val="00AF1F0F"/>
    <w:rsid w:val="00AF1FA5"/>
    <w:rsid w:val="00AF1FFB"/>
    <w:rsid w:val="00AF2008"/>
    <w:rsid w:val="00AF2166"/>
    <w:rsid w:val="00AF2447"/>
    <w:rsid w:val="00AF245E"/>
    <w:rsid w:val="00AF264F"/>
    <w:rsid w:val="00AF26AF"/>
    <w:rsid w:val="00AF2843"/>
    <w:rsid w:val="00AF288E"/>
    <w:rsid w:val="00AF28A9"/>
    <w:rsid w:val="00AF2903"/>
    <w:rsid w:val="00AF2A41"/>
    <w:rsid w:val="00AF2B22"/>
    <w:rsid w:val="00AF2B51"/>
    <w:rsid w:val="00AF2B63"/>
    <w:rsid w:val="00AF2EC7"/>
    <w:rsid w:val="00AF2F4E"/>
    <w:rsid w:val="00AF3004"/>
    <w:rsid w:val="00AF316D"/>
    <w:rsid w:val="00AF318C"/>
    <w:rsid w:val="00AF3191"/>
    <w:rsid w:val="00AF3450"/>
    <w:rsid w:val="00AF349E"/>
    <w:rsid w:val="00AF35C5"/>
    <w:rsid w:val="00AF35FA"/>
    <w:rsid w:val="00AF369F"/>
    <w:rsid w:val="00AF3730"/>
    <w:rsid w:val="00AF3A47"/>
    <w:rsid w:val="00AF3BC7"/>
    <w:rsid w:val="00AF3D59"/>
    <w:rsid w:val="00AF3E9F"/>
    <w:rsid w:val="00AF3FB2"/>
    <w:rsid w:val="00AF4005"/>
    <w:rsid w:val="00AF4276"/>
    <w:rsid w:val="00AF42AA"/>
    <w:rsid w:val="00AF4390"/>
    <w:rsid w:val="00AF44CE"/>
    <w:rsid w:val="00AF450B"/>
    <w:rsid w:val="00AF452D"/>
    <w:rsid w:val="00AF453B"/>
    <w:rsid w:val="00AF4551"/>
    <w:rsid w:val="00AF47A7"/>
    <w:rsid w:val="00AF4847"/>
    <w:rsid w:val="00AF4870"/>
    <w:rsid w:val="00AF498C"/>
    <w:rsid w:val="00AF498F"/>
    <w:rsid w:val="00AF4AA7"/>
    <w:rsid w:val="00AF4AC4"/>
    <w:rsid w:val="00AF4C0D"/>
    <w:rsid w:val="00AF4CBC"/>
    <w:rsid w:val="00AF4E5C"/>
    <w:rsid w:val="00AF4E9B"/>
    <w:rsid w:val="00AF4F4F"/>
    <w:rsid w:val="00AF4FF2"/>
    <w:rsid w:val="00AF5090"/>
    <w:rsid w:val="00AF5272"/>
    <w:rsid w:val="00AF5287"/>
    <w:rsid w:val="00AF52CE"/>
    <w:rsid w:val="00AF53E6"/>
    <w:rsid w:val="00AF5414"/>
    <w:rsid w:val="00AF547A"/>
    <w:rsid w:val="00AF54EC"/>
    <w:rsid w:val="00AF551D"/>
    <w:rsid w:val="00AF55F0"/>
    <w:rsid w:val="00AF56D4"/>
    <w:rsid w:val="00AF56E5"/>
    <w:rsid w:val="00AF5822"/>
    <w:rsid w:val="00AF58AA"/>
    <w:rsid w:val="00AF58E9"/>
    <w:rsid w:val="00AF5BA9"/>
    <w:rsid w:val="00AF5CA5"/>
    <w:rsid w:val="00AF5D8E"/>
    <w:rsid w:val="00AF5E2B"/>
    <w:rsid w:val="00AF5E48"/>
    <w:rsid w:val="00AF5EC6"/>
    <w:rsid w:val="00AF5EC9"/>
    <w:rsid w:val="00AF5F07"/>
    <w:rsid w:val="00AF5F57"/>
    <w:rsid w:val="00AF5F99"/>
    <w:rsid w:val="00AF610F"/>
    <w:rsid w:val="00AF6192"/>
    <w:rsid w:val="00AF619B"/>
    <w:rsid w:val="00AF61A0"/>
    <w:rsid w:val="00AF62AC"/>
    <w:rsid w:val="00AF62F3"/>
    <w:rsid w:val="00AF635F"/>
    <w:rsid w:val="00AF6414"/>
    <w:rsid w:val="00AF6503"/>
    <w:rsid w:val="00AF69AF"/>
    <w:rsid w:val="00AF69BA"/>
    <w:rsid w:val="00AF6A0A"/>
    <w:rsid w:val="00AF6A43"/>
    <w:rsid w:val="00AF6D42"/>
    <w:rsid w:val="00AF6E8E"/>
    <w:rsid w:val="00AF70BF"/>
    <w:rsid w:val="00AF70C5"/>
    <w:rsid w:val="00AF70EE"/>
    <w:rsid w:val="00AF7394"/>
    <w:rsid w:val="00AF76AE"/>
    <w:rsid w:val="00AF7707"/>
    <w:rsid w:val="00AF78F1"/>
    <w:rsid w:val="00AF7917"/>
    <w:rsid w:val="00AF791C"/>
    <w:rsid w:val="00AF7A55"/>
    <w:rsid w:val="00AF7A5C"/>
    <w:rsid w:val="00AF7A8C"/>
    <w:rsid w:val="00AF7AF1"/>
    <w:rsid w:val="00AF7D07"/>
    <w:rsid w:val="00AF7D8D"/>
    <w:rsid w:val="00AF7F84"/>
    <w:rsid w:val="00AF7F8F"/>
    <w:rsid w:val="00AF7FF3"/>
    <w:rsid w:val="00B0005B"/>
    <w:rsid w:val="00B000B6"/>
    <w:rsid w:val="00B003A0"/>
    <w:rsid w:val="00B00414"/>
    <w:rsid w:val="00B00684"/>
    <w:rsid w:val="00B00744"/>
    <w:rsid w:val="00B00AAB"/>
    <w:rsid w:val="00B00B87"/>
    <w:rsid w:val="00B00BE2"/>
    <w:rsid w:val="00B00BEC"/>
    <w:rsid w:val="00B00C4F"/>
    <w:rsid w:val="00B00D52"/>
    <w:rsid w:val="00B00D5D"/>
    <w:rsid w:val="00B00E66"/>
    <w:rsid w:val="00B00E88"/>
    <w:rsid w:val="00B00EF5"/>
    <w:rsid w:val="00B00F65"/>
    <w:rsid w:val="00B00FF5"/>
    <w:rsid w:val="00B0110D"/>
    <w:rsid w:val="00B011C8"/>
    <w:rsid w:val="00B01325"/>
    <w:rsid w:val="00B013BF"/>
    <w:rsid w:val="00B015E6"/>
    <w:rsid w:val="00B01773"/>
    <w:rsid w:val="00B017A3"/>
    <w:rsid w:val="00B0199D"/>
    <w:rsid w:val="00B01A64"/>
    <w:rsid w:val="00B01AA4"/>
    <w:rsid w:val="00B01ACB"/>
    <w:rsid w:val="00B01AD3"/>
    <w:rsid w:val="00B01D52"/>
    <w:rsid w:val="00B01EA0"/>
    <w:rsid w:val="00B01F0B"/>
    <w:rsid w:val="00B01FA6"/>
    <w:rsid w:val="00B01FB1"/>
    <w:rsid w:val="00B01FD7"/>
    <w:rsid w:val="00B01FEC"/>
    <w:rsid w:val="00B020E4"/>
    <w:rsid w:val="00B020F6"/>
    <w:rsid w:val="00B02194"/>
    <w:rsid w:val="00B02196"/>
    <w:rsid w:val="00B0219C"/>
    <w:rsid w:val="00B023B8"/>
    <w:rsid w:val="00B02412"/>
    <w:rsid w:val="00B024DF"/>
    <w:rsid w:val="00B025AA"/>
    <w:rsid w:val="00B0260A"/>
    <w:rsid w:val="00B026AD"/>
    <w:rsid w:val="00B026FD"/>
    <w:rsid w:val="00B027BA"/>
    <w:rsid w:val="00B027C5"/>
    <w:rsid w:val="00B0287B"/>
    <w:rsid w:val="00B0292B"/>
    <w:rsid w:val="00B0295E"/>
    <w:rsid w:val="00B02C02"/>
    <w:rsid w:val="00B02C9C"/>
    <w:rsid w:val="00B02D18"/>
    <w:rsid w:val="00B02D40"/>
    <w:rsid w:val="00B02D5F"/>
    <w:rsid w:val="00B02E51"/>
    <w:rsid w:val="00B02EA8"/>
    <w:rsid w:val="00B02FB0"/>
    <w:rsid w:val="00B03048"/>
    <w:rsid w:val="00B03192"/>
    <w:rsid w:val="00B031EF"/>
    <w:rsid w:val="00B0320B"/>
    <w:rsid w:val="00B0327B"/>
    <w:rsid w:val="00B0339A"/>
    <w:rsid w:val="00B0351F"/>
    <w:rsid w:val="00B0357B"/>
    <w:rsid w:val="00B0361F"/>
    <w:rsid w:val="00B03620"/>
    <w:rsid w:val="00B03629"/>
    <w:rsid w:val="00B03677"/>
    <w:rsid w:val="00B036BB"/>
    <w:rsid w:val="00B036F8"/>
    <w:rsid w:val="00B0373F"/>
    <w:rsid w:val="00B03758"/>
    <w:rsid w:val="00B03779"/>
    <w:rsid w:val="00B037C7"/>
    <w:rsid w:val="00B03814"/>
    <w:rsid w:val="00B0385A"/>
    <w:rsid w:val="00B03881"/>
    <w:rsid w:val="00B038AE"/>
    <w:rsid w:val="00B038B8"/>
    <w:rsid w:val="00B0396D"/>
    <w:rsid w:val="00B0398C"/>
    <w:rsid w:val="00B03A67"/>
    <w:rsid w:val="00B03AF5"/>
    <w:rsid w:val="00B03EAD"/>
    <w:rsid w:val="00B03EBF"/>
    <w:rsid w:val="00B0412B"/>
    <w:rsid w:val="00B041DE"/>
    <w:rsid w:val="00B044D5"/>
    <w:rsid w:val="00B046D8"/>
    <w:rsid w:val="00B04724"/>
    <w:rsid w:val="00B0475B"/>
    <w:rsid w:val="00B049CD"/>
    <w:rsid w:val="00B04AA1"/>
    <w:rsid w:val="00B04ABD"/>
    <w:rsid w:val="00B04AD2"/>
    <w:rsid w:val="00B04B20"/>
    <w:rsid w:val="00B04C26"/>
    <w:rsid w:val="00B04C31"/>
    <w:rsid w:val="00B04E44"/>
    <w:rsid w:val="00B04EE1"/>
    <w:rsid w:val="00B04F9D"/>
    <w:rsid w:val="00B04FE9"/>
    <w:rsid w:val="00B04FEC"/>
    <w:rsid w:val="00B050E0"/>
    <w:rsid w:val="00B050FF"/>
    <w:rsid w:val="00B05276"/>
    <w:rsid w:val="00B052CE"/>
    <w:rsid w:val="00B053DF"/>
    <w:rsid w:val="00B0540C"/>
    <w:rsid w:val="00B0555B"/>
    <w:rsid w:val="00B0556D"/>
    <w:rsid w:val="00B055B1"/>
    <w:rsid w:val="00B055EA"/>
    <w:rsid w:val="00B05707"/>
    <w:rsid w:val="00B05750"/>
    <w:rsid w:val="00B05816"/>
    <w:rsid w:val="00B058D0"/>
    <w:rsid w:val="00B058E6"/>
    <w:rsid w:val="00B058FD"/>
    <w:rsid w:val="00B0599C"/>
    <w:rsid w:val="00B05B8C"/>
    <w:rsid w:val="00B05CC6"/>
    <w:rsid w:val="00B05D36"/>
    <w:rsid w:val="00B05D9E"/>
    <w:rsid w:val="00B05DBD"/>
    <w:rsid w:val="00B05E12"/>
    <w:rsid w:val="00B0608C"/>
    <w:rsid w:val="00B061B2"/>
    <w:rsid w:val="00B06350"/>
    <w:rsid w:val="00B063CA"/>
    <w:rsid w:val="00B06413"/>
    <w:rsid w:val="00B06478"/>
    <w:rsid w:val="00B0660D"/>
    <w:rsid w:val="00B06697"/>
    <w:rsid w:val="00B0670C"/>
    <w:rsid w:val="00B0675C"/>
    <w:rsid w:val="00B06802"/>
    <w:rsid w:val="00B06856"/>
    <w:rsid w:val="00B069AD"/>
    <w:rsid w:val="00B069BF"/>
    <w:rsid w:val="00B069FE"/>
    <w:rsid w:val="00B06A6F"/>
    <w:rsid w:val="00B06A77"/>
    <w:rsid w:val="00B06CD6"/>
    <w:rsid w:val="00B06D7A"/>
    <w:rsid w:val="00B06EE7"/>
    <w:rsid w:val="00B06F1D"/>
    <w:rsid w:val="00B06F21"/>
    <w:rsid w:val="00B070A4"/>
    <w:rsid w:val="00B0716E"/>
    <w:rsid w:val="00B07197"/>
    <w:rsid w:val="00B072A4"/>
    <w:rsid w:val="00B07301"/>
    <w:rsid w:val="00B0735B"/>
    <w:rsid w:val="00B07366"/>
    <w:rsid w:val="00B076DE"/>
    <w:rsid w:val="00B077E7"/>
    <w:rsid w:val="00B0781B"/>
    <w:rsid w:val="00B078B2"/>
    <w:rsid w:val="00B0794A"/>
    <w:rsid w:val="00B0796F"/>
    <w:rsid w:val="00B07AAD"/>
    <w:rsid w:val="00B07CA1"/>
    <w:rsid w:val="00B07CE3"/>
    <w:rsid w:val="00B07CFE"/>
    <w:rsid w:val="00B07D46"/>
    <w:rsid w:val="00B07D71"/>
    <w:rsid w:val="00B07DC1"/>
    <w:rsid w:val="00B07E03"/>
    <w:rsid w:val="00B07E89"/>
    <w:rsid w:val="00B07FFB"/>
    <w:rsid w:val="00B10217"/>
    <w:rsid w:val="00B10223"/>
    <w:rsid w:val="00B10232"/>
    <w:rsid w:val="00B10317"/>
    <w:rsid w:val="00B1034C"/>
    <w:rsid w:val="00B10391"/>
    <w:rsid w:val="00B103B5"/>
    <w:rsid w:val="00B1063A"/>
    <w:rsid w:val="00B10712"/>
    <w:rsid w:val="00B10716"/>
    <w:rsid w:val="00B1076A"/>
    <w:rsid w:val="00B1085A"/>
    <w:rsid w:val="00B1088E"/>
    <w:rsid w:val="00B10A04"/>
    <w:rsid w:val="00B10A44"/>
    <w:rsid w:val="00B10B45"/>
    <w:rsid w:val="00B10B82"/>
    <w:rsid w:val="00B10CE4"/>
    <w:rsid w:val="00B10DC1"/>
    <w:rsid w:val="00B10E60"/>
    <w:rsid w:val="00B10ED7"/>
    <w:rsid w:val="00B10EE0"/>
    <w:rsid w:val="00B1112A"/>
    <w:rsid w:val="00B11154"/>
    <w:rsid w:val="00B1121B"/>
    <w:rsid w:val="00B11276"/>
    <w:rsid w:val="00B11290"/>
    <w:rsid w:val="00B112EE"/>
    <w:rsid w:val="00B1137A"/>
    <w:rsid w:val="00B113BD"/>
    <w:rsid w:val="00B11411"/>
    <w:rsid w:val="00B114CF"/>
    <w:rsid w:val="00B11538"/>
    <w:rsid w:val="00B117C3"/>
    <w:rsid w:val="00B11990"/>
    <w:rsid w:val="00B119B3"/>
    <w:rsid w:val="00B11A6C"/>
    <w:rsid w:val="00B11C87"/>
    <w:rsid w:val="00B11D06"/>
    <w:rsid w:val="00B11D21"/>
    <w:rsid w:val="00B11DBC"/>
    <w:rsid w:val="00B11ED7"/>
    <w:rsid w:val="00B11F07"/>
    <w:rsid w:val="00B12081"/>
    <w:rsid w:val="00B120EA"/>
    <w:rsid w:val="00B120F2"/>
    <w:rsid w:val="00B121B4"/>
    <w:rsid w:val="00B12269"/>
    <w:rsid w:val="00B1239E"/>
    <w:rsid w:val="00B12491"/>
    <w:rsid w:val="00B12506"/>
    <w:rsid w:val="00B12535"/>
    <w:rsid w:val="00B125E1"/>
    <w:rsid w:val="00B126C3"/>
    <w:rsid w:val="00B126F7"/>
    <w:rsid w:val="00B1286C"/>
    <w:rsid w:val="00B128CF"/>
    <w:rsid w:val="00B129B7"/>
    <w:rsid w:val="00B129BF"/>
    <w:rsid w:val="00B12AD4"/>
    <w:rsid w:val="00B12AE6"/>
    <w:rsid w:val="00B12C1A"/>
    <w:rsid w:val="00B12C3F"/>
    <w:rsid w:val="00B12D57"/>
    <w:rsid w:val="00B12DF0"/>
    <w:rsid w:val="00B12E41"/>
    <w:rsid w:val="00B130E2"/>
    <w:rsid w:val="00B131C9"/>
    <w:rsid w:val="00B133F1"/>
    <w:rsid w:val="00B13438"/>
    <w:rsid w:val="00B1343F"/>
    <w:rsid w:val="00B1349A"/>
    <w:rsid w:val="00B1352A"/>
    <w:rsid w:val="00B1360F"/>
    <w:rsid w:val="00B1369E"/>
    <w:rsid w:val="00B1376A"/>
    <w:rsid w:val="00B1388D"/>
    <w:rsid w:val="00B13B4F"/>
    <w:rsid w:val="00B13C4D"/>
    <w:rsid w:val="00B13C55"/>
    <w:rsid w:val="00B13C87"/>
    <w:rsid w:val="00B13D3E"/>
    <w:rsid w:val="00B13D9C"/>
    <w:rsid w:val="00B13ECF"/>
    <w:rsid w:val="00B13F18"/>
    <w:rsid w:val="00B13F97"/>
    <w:rsid w:val="00B14010"/>
    <w:rsid w:val="00B140DB"/>
    <w:rsid w:val="00B140E8"/>
    <w:rsid w:val="00B140FD"/>
    <w:rsid w:val="00B1414E"/>
    <w:rsid w:val="00B14270"/>
    <w:rsid w:val="00B14298"/>
    <w:rsid w:val="00B14518"/>
    <w:rsid w:val="00B14584"/>
    <w:rsid w:val="00B14899"/>
    <w:rsid w:val="00B14C38"/>
    <w:rsid w:val="00B14D9B"/>
    <w:rsid w:val="00B14DDE"/>
    <w:rsid w:val="00B14E10"/>
    <w:rsid w:val="00B14FD3"/>
    <w:rsid w:val="00B15083"/>
    <w:rsid w:val="00B150B0"/>
    <w:rsid w:val="00B150D1"/>
    <w:rsid w:val="00B15157"/>
    <w:rsid w:val="00B15176"/>
    <w:rsid w:val="00B151B7"/>
    <w:rsid w:val="00B151CA"/>
    <w:rsid w:val="00B1525F"/>
    <w:rsid w:val="00B15387"/>
    <w:rsid w:val="00B15446"/>
    <w:rsid w:val="00B15713"/>
    <w:rsid w:val="00B15B78"/>
    <w:rsid w:val="00B15BDF"/>
    <w:rsid w:val="00B15CB5"/>
    <w:rsid w:val="00B15CE2"/>
    <w:rsid w:val="00B15D53"/>
    <w:rsid w:val="00B15D9F"/>
    <w:rsid w:val="00B15DC2"/>
    <w:rsid w:val="00B15F5D"/>
    <w:rsid w:val="00B16024"/>
    <w:rsid w:val="00B161DF"/>
    <w:rsid w:val="00B162D0"/>
    <w:rsid w:val="00B16327"/>
    <w:rsid w:val="00B1632A"/>
    <w:rsid w:val="00B16367"/>
    <w:rsid w:val="00B164D3"/>
    <w:rsid w:val="00B164DB"/>
    <w:rsid w:val="00B16717"/>
    <w:rsid w:val="00B167F6"/>
    <w:rsid w:val="00B1695F"/>
    <w:rsid w:val="00B16994"/>
    <w:rsid w:val="00B16A53"/>
    <w:rsid w:val="00B16AEA"/>
    <w:rsid w:val="00B16B6C"/>
    <w:rsid w:val="00B16C17"/>
    <w:rsid w:val="00B16C3A"/>
    <w:rsid w:val="00B16C54"/>
    <w:rsid w:val="00B16D51"/>
    <w:rsid w:val="00B16DD8"/>
    <w:rsid w:val="00B16ECA"/>
    <w:rsid w:val="00B16EFE"/>
    <w:rsid w:val="00B16FFE"/>
    <w:rsid w:val="00B1701D"/>
    <w:rsid w:val="00B17023"/>
    <w:rsid w:val="00B170A8"/>
    <w:rsid w:val="00B170EE"/>
    <w:rsid w:val="00B17392"/>
    <w:rsid w:val="00B1747E"/>
    <w:rsid w:val="00B174AF"/>
    <w:rsid w:val="00B174B3"/>
    <w:rsid w:val="00B17575"/>
    <w:rsid w:val="00B175EF"/>
    <w:rsid w:val="00B1765D"/>
    <w:rsid w:val="00B1767C"/>
    <w:rsid w:val="00B176C3"/>
    <w:rsid w:val="00B17790"/>
    <w:rsid w:val="00B17819"/>
    <w:rsid w:val="00B17A90"/>
    <w:rsid w:val="00B17CD9"/>
    <w:rsid w:val="00B17E7C"/>
    <w:rsid w:val="00B20047"/>
    <w:rsid w:val="00B2005A"/>
    <w:rsid w:val="00B20093"/>
    <w:rsid w:val="00B20476"/>
    <w:rsid w:val="00B205A2"/>
    <w:rsid w:val="00B20670"/>
    <w:rsid w:val="00B2074A"/>
    <w:rsid w:val="00B207DF"/>
    <w:rsid w:val="00B207F6"/>
    <w:rsid w:val="00B208D4"/>
    <w:rsid w:val="00B20B04"/>
    <w:rsid w:val="00B20B2D"/>
    <w:rsid w:val="00B20BBE"/>
    <w:rsid w:val="00B20BF0"/>
    <w:rsid w:val="00B20D54"/>
    <w:rsid w:val="00B20DB4"/>
    <w:rsid w:val="00B20E03"/>
    <w:rsid w:val="00B20E6C"/>
    <w:rsid w:val="00B20F91"/>
    <w:rsid w:val="00B2108E"/>
    <w:rsid w:val="00B211D8"/>
    <w:rsid w:val="00B212AB"/>
    <w:rsid w:val="00B21445"/>
    <w:rsid w:val="00B21459"/>
    <w:rsid w:val="00B21524"/>
    <w:rsid w:val="00B216DE"/>
    <w:rsid w:val="00B216E0"/>
    <w:rsid w:val="00B217E7"/>
    <w:rsid w:val="00B2180D"/>
    <w:rsid w:val="00B21900"/>
    <w:rsid w:val="00B2192C"/>
    <w:rsid w:val="00B21A10"/>
    <w:rsid w:val="00B21A7D"/>
    <w:rsid w:val="00B21B63"/>
    <w:rsid w:val="00B21BD1"/>
    <w:rsid w:val="00B21C35"/>
    <w:rsid w:val="00B21CD8"/>
    <w:rsid w:val="00B21D96"/>
    <w:rsid w:val="00B21DEE"/>
    <w:rsid w:val="00B21ED5"/>
    <w:rsid w:val="00B21F3F"/>
    <w:rsid w:val="00B22074"/>
    <w:rsid w:val="00B221FC"/>
    <w:rsid w:val="00B22247"/>
    <w:rsid w:val="00B2227E"/>
    <w:rsid w:val="00B2236B"/>
    <w:rsid w:val="00B224B1"/>
    <w:rsid w:val="00B224CB"/>
    <w:rsid w:val="00B224D8"/>
    <w:rsid w:val="00B224E1"/>
    <w:rsid w:val="00B22505"/>
    <w:rsid w:val="00B22554"/>
    <w:rsid w:val="00B2257A"/>
    <w:rsid w:val="00B225BF"/>
    <w:rsid w:val="00B22729"/>
    <w:rsid w:val="00B22735"/>
    <w:rsid w:val="00B22814"/>
    <w:rsid w:val="00B22998"/>
    <w:rsid w:val="00B22B23"/>
    <w:rsid w:val="00B22B6B"/>
    <w:rsid w:val="00B22C17"/>
    <w:rsid w:val="00B22CB0"/>
    <w:rsid w:val="00B22CBE"/>
    <w:rsid w:val="00B22CED"/>
    <w:rsid w:val="00B22F2C"/>
    <w:rsid w:val="00B22FE6"/>
    <w:rsid w:val="00B23277"/>
    <w:rsid w:val="00B232C1"/>
    <w:rsid w:val="00B234C9"/>
    <w:rsid w:val="00B23500"/>
    <w:rsid w:val="00B23AE8"/>
    <w:rsid w:val="00B23AF6"/>
    <w:rsid w:val="00B23B90"/>
    <w:rsid w:val="00B23BEB"/>
    <w:rsid w:val="00B23CBC"/>
    <w:rsid w:val="00B23D17"/>
    <w:rsid w:val="00B23E1B"/>
    <w:rsid w:val="00B23E80"/>
    <w:rsid w:val="00B24086"/>
    <w:rsid w:val="00B240FF"/>
    <w:rsid w:val="00B2411B"/>
    <w:rsid w:val="00B241C3"/>
    <w:rsid w:val="00B24236"/>
    <w:rsid w:val="00B24381"/>
    <w:rsid w:val="00B2455C"/>
    <w:rsid w:val="00B24619"/>
    <w:rsid w:val="00B2468F"/>
    <w:rsid w:val="00B24831"/>
    <w:rsid w:val="00B248F8"/>
    <w:rsid w:val="00B24913"/>
    <w:rsid w:val="00B249D1"/>
    <w:rsid w:val="00B24A9F"/>
    <w:rsid w:val="00B24C07"/>
    <w:rsid w:val="00B24C33"/>
    <w:rsid w:val="00B24D00"/>
    <w:rsid w:val="00B24D05"/>
    <w:rsid w:val="00B24D4B"/>
    <w:rsid w:val="00B24D55"/>
    <w:rsid w:val="00B24D62"/>
    <w:rsid w:val="00B24F53"/>
    <w:rsid w:val="00B25040"/>
    <w:rsid w:val="00B25043"/>
    <w:rsid w:val="00B25062"/>
    <w:rsid w:val="00B25387"/>
    <w:rsid w:val="00B253A1"/>
    <w:rsid w:val="00B25437"/>
    <w:rsid w:val="00B256C5"/>
    <w:rsid w:val="00B257B6"/>
    <w:rsid w:val="00B25871"/>
    <w:rsid w:val="00B25982"/>
    <w:rsid w:val="00B259AA"/>
    <w:rsid w:val="00B25AAE"/>
    <w:rsid w:val="00B25AEE"/>
    <w:rsid w:val="00B25C01"/>
    <w:rsid w:val="00B25D27"/>
    <w:rsid w:val="00B25E88"/>
    <w:rsid w:val="00B25ED9"/>
    <w:rsid w:val="00B25F44"/>
    <w:rsid w:val="00B25FF6"/>
    <w:rsid w:val="00B26049"/>
    <w:rsid w:val="00B26282"/>
    <w:rsid w:val="00B262AB"/>
    <w:rsid w:val="00B263A6"/>
    <w:rsid w:val="00B264BB"/>
    <w:rsid w:val="00B26567"/>
    <w:rsid w:val="00B265C8"/>
    <w:rsid w:val="00B26953"/>
    <w:rsid w:val="00B2697E"/>
    <w:rsid w:val="00B269D5"/>
    <w:rsid w:val="00B26A16"/>
    <w:rsid w:val="00B26A93"/>
    <w:rsid w:val="00B26CC1"/>
    <w:rsid w:val="00B26F1F"/>
    <w:rsid w:val="00B26F66"/>
    <w:rsid w:val="00B26F7C"/>
    <w:rsid w:val="00B27095"/>
    <w:rsid w:val="00B27103"/>
    <w:rsid w:val="00B2734C"/>
    <w:rsid w:val="00B2742B"/>
    <w:rsid w:val="00B27604"/>
    <w:rsid w:val="00B27617"/>
    <w:rsid w:val="00B27671"/>
    <w:rsid w:val="00B27697"/>
    <w:rsid w:val="00B276C4"/>
    <w:rsid w:val="00B2778D"/>
    <w:rsid w:val="00B2779D"/>
    <w:rsid w:val="00B279BC"/>
    <w:rsid w:val="00B27D10"/>
    <w:rsid w:val="00B27D60"/>
    <w:rsid w:val="00B27D61"/>
    <w:rsid w:val="00B27D6F"/>
    <w:rsid w:val="00B27DDC"/>
    <w:rsid w:val="00B27E28"/>
    <w:rsid w:val="00B3001E"/>
    <w:rsid w:val="00B30087"/>
    <w:rsid w:val="00B30147"/>
    <w:rsid w:val="00B30195"/>
    <w:rsid w:val="00B302FA"/>
    <w:rsid w:val="00B3033C"/>
    <w:rsid w:val="00B303A2"/>
    <w:rsid w:val="00B30485"/>
    <w:rsid w:val="00B305A0"/>
    <w:rsid w:val="00B30655"/>
    <w:rsid w:val="00B30720"/>
    <w:rsid w:val="00B30778"/>
    <w:rsid w:val="00B307F7"/>
    <w:rsid w:val="00B30826"/>
    <w:rsid w:val="00B3090A"/>
    <w:rsid w:val="00B3090C"/>
    <w:rsid w:val="00B309BF"/>
    <w:rsid w:val="00B30B14"/>
    <w:rsid w:val="00B30B7C"/>
    <w:rsid w:val="00B30CBA"/>
    <w:rsid w:val="00B30D16"/>
    <w:rsid w:val="00B30E08"/>
    <w:rsid w:val="00B30E98"/>
    <w:rsid w:val="00B30EF9"/>
    <w:rsid w:val="00B30F49"/>
    <w:rsid w:val="00B30F93"/>
    <w:rsid w:val="00B311E6"/>
    <w:rsid w:val="00B31216"/>
    <w:rsid w:val="00B312A6"/>
    <w:rsid w:val="00B31360"/>
    <w:rsid w:val="00B31470"/>
    <w:rsid w:val="00B31535"/>
    <w:rsid w:val="00B3162B"/>
    <w:rsid w:val="00B318CD"/>
    <w:rsid w:val="00B318FC"/>
    <w:rsid w:val="00B319A2"/>
    <w:rsid w:val="00B31A35"/>
    <w:rsid w:val="00B31A38"/>
    <w:rsid w:val="00B31B64"/>
    <w:rsid w:val="00B31B66"/>
    <w:rsid w:val="00B31BF4"/>
    <w:rsid w:val="00B31C94"/>
    <w:rsid w:val="00B31CB6"/>
    <w:rsid w:val="00B31D8F"/>
    <w:rsid w:val="00B31DFF"/>
    <w:rsid w:val="00B31F20"/>
    <w:rsid w:val="00B31F3D"/>
    <w:rsid w:val="00B3212A"/>
    <w:rsid w:val="00B325F2"/>
    <w:rsid w:val="00B32662"/>
    <w:rsid w:val="00B3269E"/>
    <w:rsid w:val="00B32747"/>
    <w:rsid w:val="00B32773"/>
    <w:rsid w:val="00B32A68"/>
    <w:rsid w:val="00B32ABF"/>
    <w:rsid w:val="00B32AF4"/>
    <w:rsid w:val="00B32C06"/>
    <w:rsid w:val="00B32D10"/>
    <w:rsid w:val="00B32D56"/>
    <w:rsid w:val="00B32E0B"/>
    <w:rsid w:val="00B32E37"/>
    <w:rsid w:val="00B32E9A"/>
    <w:rsid w:val="00B32ED2"/>
    <w:rsid w:val="00B32FF2"/>
    <w:rsid w:val="00B3325C"/>
    <w:rsid w:val="00B332B7"/>
    <w:rsid w:val="00B333DF"/>
    <w:rsid w:val="00B33480"/>
    <w:rsid w:val="00B3351B"/>
    <w:rsid w:val="00B33522"/>
    <w:rsid w:val="00B3357D"/>
    <w:rsid w:val="00B3359C"/>
    <w:rsid w:val="00B336CD"/>
    <w:rsid w:val="00B3395B"/>
    <w:rsid w:val="00B33A0E"/>
    <w:rsid w:val="00B33A29"/>
    <w:rsid w:val="00B33B40"/>
    <w:rsid w:val="00B33B9D"/>
    <w:rsid w:val="00B33C17"/>
    <w:rsid w:val="00B33C59"/>
    <w:rsid w:val="00B33C63"/>
    <w:rsid w:val="00B33CB7"/>
    <w:rsid w:val="00B33D2F"/>
    <w:rsid w:val="00B33DB9"/>
    <w:rsid w:val="00B33E12"/>
    <w:rsid w:val="00B33E17"/>
    <w:rsid w:val="00B33E98"/>
    <w:rsid w:val="00B34048"/>
    <w:rsid w:val="00B340DE"/>
    <w:rsid w:val="00B3422C"/>
    <w:rsid w:val="00B3430C"/>
    <w:rsid w:val="00B343C9"/>
    <w:rsid w:val="00B3464A"/>
    <w:rsid w:val="00B346AD"/>
    <w:rsid w:val="00B3486D"/>
    <w:rsid w:val="00B348C4"/>
    <w:rsid w:val="00B349C6"/>
    <w:rsid w:val="00B34A5D"/>
    <w:rsid w:val="00B34B5C"/>
    <w:rsid w:val="00B34B66"/>
    <w:rsid w:val="00B34C42"/>
    <w:rsid w:val="00B34D1F"/>
    <w:rsid w:val="00B34DED"/>
    <w:rsid w:val="00B34E0A"/>
    <w:rsid w:val="00B34EE1"/>
    <w:rsid w:val="00B34F22"/>
    <w:rsid w:val="00B3525F"/>
    <w:rsid w:val="00B3529C"/>
    <w:rsid w:val="00B352FA"/>
    <w:rsid w:val="00B35369"/>
    <w:rsid w:val="00B35378"/>
    <w:rsid w:val="00B353FD"/>
    <w:rsid w:val="00B35423"/>
    <w:rsid w:val="00B35484"/>
    <w:rsid w:val="00B355C2"/>
    <w:rsid w:val="00B3561F"/>
    <w:rsid w:val="00B3563F"/>
    <w:rsid w:val="00B35655"/>
    <w:rsid w:val="00B35689"/>
    <w:rsid w:val="00B3575C"/>
    <w:rsid w:val="00B35762"/>
    <w:rsid w:val="00B357F6"/>
    <w:rsid w:val="00B358B6"/>
    <w:rsid w:val="00B35A50"/>
    <w:rsid w:val="00B35BA8"/>
    <w:rsid w:val="00B35BDB"/>
    <w:rsid w:val="00B35C67"/>
    <w:rsid w:val="00B35D37"/>
    <w:rsid w:val="00B35E6A"/>
    <w:rsid w:val="00B35E8F"/>
    <w:rsid w:val="00B35F16"/>
    <w:rsid w:val="00B35F2A"/>
    <w:rsid w:val="00B35F47"/>
    <w:rsid w:val="00B35FDE"/>
    <w:rsid w:val="00B36225"/>
    <w:rsid w:val="00B36486"/>
    <w:rsid w:val="00B364F5"/>
    <w:rsid w:val="00B36633"/>
    <w:rsid w:val="00B366D7"/>
    <w:rsid w:val="00B36739"/>
    <w:rsid w:val="00B3673D"/>
    <w:rsid w:val="00B368EF"/>
    <w:rsid w:val="00B36953"/>
    <w:rsid w:val="00B36B43"/>
    <w:rsid w:val="00B36B5C"/>
    <w:rsid w:val="00B36C18"/>
    <w:rsid w:val="00B36D0C"/>
    <w:rsid w:val="00B36D2D"/>
    <w:rsid w:val="00B36D31"/>
    <w:rsid w:val="00B36D52"/>
    <w:rsid w:val="00B36E2F"/>
    <w:rsid w:val="00B36E9B"/>
    <w:rsid w:val="00B36EBA"/>
    <w:rsid w:val="00B37096"/>
    <w:rsid w:val="00B370D7"/>
    <w:rsid w:val="00B3713C"/>
    <w:rsid w:val="00B37157"/>
    <w:rsid w:val="00B372B4"/>
    <w:rsid w:val="00B3758B"/>
    <w:rsid w:val="00B376CE"/>
    <w:rsid w:val="00B37794"/>
    <w:rsid w:val="00B37814"/>
    <w:rsid w:val="00B378C4"/>
    <w:rsid w:val="00B378E9"/>
    <w:rsid w:val="00B37A3B"/>
    <w:rsid w:val="00B37A53"/>
    <w:rsid w:val="00B37B3F"/>
    <w:rsid w:val="00B37CED"/>
    <w:rsid w:val="00B37E25"/>
    <w:rsid w:val="00B37E4C"/>
    <w:rsid w:val="00B37E4E"/>
    <w:rsid w:val="00B37F49"/>
    <w:rsid w:val="00B40070"/>
    <w:rsid w:val="00B401FE"/>
    <w:rsid w:val="00B4020D"/>
    <w:rsid w:val="00B402E9"/>
    <w:rsid w:val="00B40339"/>
    <w:rsid w:val="00B40385"/>
    <w:rsid w:val="00B40455"/>
    <w:rsid w:val="00B404AF"/>
    <w:rsid w:val="00B40540"/>
    <w:rsid w:val="00B405B7"/>
    <w:rsid w:val="00B4062D"/>
    <w:rsid w:val="00B407C9"/>
    <w:rsid w:val="00B40927"/>
    <w:rsid w:val="00B40C61"/>
    <w:rsid w:val="00B40CD9"/>
    <w:rsid w:val="00B40DD9"/>
    <w:rsid w:val="00B410F2"/>
    <w:rsid w:val="00B411C1"/>
    <w:rsid w:val="00B411D1"/>
    <w:rsid w:val="00B411ED"/>
    <w:rsid w:val="00B41246"/>
    <w:rsid w:val="00B415AD"/>
    <w:rsid w:val="00B41854"/>
    <w:rsid w:val="00B419B0"/>
    <w:rsid w:val="00B41A99"/>
    <w:rsid w:val="00B41AE9"/>
    <w:rsid w:val="00B41B10"/>
    <w:rsid w:val="00B41DA4"/>
    <w:rsid w:val="00B41DE5"/>
    <w:rsid w:val="00B41E30"/>
    <w:rsid w:val="00B41EF8"/>
    <w:rsid w:val="00B41F8E"/>
    <w:rsid w:val="00B41FEE"/>
    <w:rsid w:val="00B420E8"/>
    <w:rsid w:val="00B4222C"/>
    <w:rsid w:val="00B422E9"/>
    <w:rsid w:val="00B42510"/>
    <w:rsid w:val="00B4252E"/>
    <w:rsid w:val="00B426A1"/>
    <w:rsid w:val="00B426F4"/>
    <w:rsid w:val="00B42885"/>
    <w:rsid w:val="00B42896"/>
    <w:rsid w:val="00B42A2B"/>
    <w:rsid w:val="00B42C44"/>
    <w:rsid w:val="00B42D6F"/>
    <w:rsid w:val="00B42E37"/>
    <w:rsid w:val="00B42E83"/>
    <w:rsid w:val="00B42ECD"/>
    <w:rsid w:val="00B43044"/>
    <w:rsid w:val="00B430F2"/>
    <w:rsid w:val="00B43146"/>
    <w:rsid w:val="00B4319D"/>
    <w:rsid w:val="00B433C4"/>
    <w:rsid w:val="00B433DA"/>
    <w:rsid w:val="00B43545"/>
    <w:rsid w:val="00B43772"/>
    <w:rsid w:val="00B437B3"/>
    <w:rsid w:val="00B43801"/>
    <w:rsid w:val="00B4386B"/>
    <w:rsid w:val="00B438D8"/>
    <w:rsid w:val="00B4393B"/>
    <w:rsid w:val="00B43BE3"/>
    <w:rsid w:val="00B43BF3"/>
    <w:rsid w:val="00B43C5A"/>
    <w:rsid w:val="00B43D03"/>
    <w:rsid w:val="00B43DA9"/>
    <w:rsid w:val="00B43E6E"/>
    <w:rsid w:val="00B44032"/>
    <w:rsid w:val="00B44046"/>
    <w:rsid w:val="00B440A6"/>
    <w:rsid w:val="00B44121"/>
    <w:rsid w:val="00B441E0"/>
    <w:rsid w:val="00B4424D"/>
    <w:rsid w:val="00B44343"/>
    <w:rsid w:val="00B4461B"/>
    <w:rsid w:val="00B446FE"/>
    <w:rsid w:val="00B4481B"/>
    <w:rsid w:val="00B44939"/>
    <w:rsid w:val="00B44A2F"/>
    <w:rsid w:val="00B44A37"/>
    <w:rsid w:val="00B44B0A"/>
    <w:rsid w:val="00B44B59"/>
    <w:rsid w:val="00B44B8F"/>
    <w:rsid w:val="00B44BBC"/>
    <w:rsid w:val="00B44E1B"/>
    <w:rsid w:val="00B44E33"/>
    <w:rsid w:val="00B44EDA"/>
    <w:rsid w:val="00B44FA8"/>
    <w:rsid w:val="00B4522D"/>
    <w:rsid w:val="00B45260"/>
    <w:rsid w:val="00B45287"/>
    <w:rsid w:val="00B45377"/>
    <w:rsid w:val="00B454D6"/>
    <w:rsid w:val="00B45826"/>
    <w:rsid w:val="00B4587B"/>
    <w:rsid w:val="00B458B9"/>
    <w:rsid w:val="00B45900"/>
    <w:rsid w:val="00B4598A"/>
    <w:rsid w:val="00B45A43"/>
    <w:rsid w:val="00B45A71"/>
    <w:rsid w:val="00B45A78"/>
    <w:rsid w:val="00B45B50"/>
    <w:rsid w:val="00B45CEA"/>
    <w:rsid w:val="00B45D4A"/>
    <w:rsid w:val="00B45E12"/>
    <w:rsid w:val="00B4603D"/>
    <w:rsid w:val="00B460EA"/>
    <w:rsid w:val="00B46198"/>
    <w:rsid w:val="00B461DD"/>
    <w:rsid w:val="00B46236"/>
    <w:rsid w:val="00B46262"/>
    <w:rsid w:val="00B4626D"/>
    <w:rsid w:val="00B4641F"/>
    <w:rsid w:val="00B464C3"/>
    <w:rsid w:val="00B46502"/>
    <w:rsid w:val="00B4651C"/>
    <w:rsid w:val="00B46678"/>
    <w:rsid w:val="00B4667F"/>
    <w:rsid w:val="00B46694"/>
    <w:rsid w:val="00B466AC"/>
    <w:rsid w:val="00B466B9"/>
    <w:rsid w:val="00B466F4"/>
    <w:rsid w:val="00B467D5"/>
    <w:rsid w:val="00B467DA"/>
    <w:rsid w:val="00B46969"/>
    <w:rsid w:val="00B469D6"/>
    <w:rsid w:val="00B46A38"/>
    <w:rsid w:val="00B46B5F"/>
    <w:rsid w:val="00B46C22"/>
    <w:rsid w:val="00B46DD5"/>
    <w:rsid w:val="00B46FC5"/>
    <w:rsid w:val="00B46FDE"/>
    <w:rsid w:val="00B47337"/>
    <w:rsid w:val="00B47475"/>
    <w:rsid w:val="00B474D7"/>
    <w:rsid w:val="00B474EA"/>
    <w:rsid w:val="00B475C1"/>
    <w:rsid w:val="00B47621"/>
    <w:rsid w:val="00B4765C"/>
    <w:rsid w:val="00B4766A"/>
    <w:rsid w:val="00B47821"/>
    <w:rsid w:val="00B478DA"/>
    <w:rsid w:val="00B47960"/>
    <w:rsid w:val="00B47A1D"/>
    <w:rsid w:val="00B47A82"/>
    <w:rsid w:val="00B47AA7"/>
    <w:rsid w:val="00B47AC5"/>
    <w:rsid w:val="00B47AF5"/>
    <w:rsid w:val="00B47B73"/>
    <w:rsid w:val="00B47B7E"/>
    <w:rsid w:val="00B47BA2"/>
    <w:rsid w:val="00B47E46"/>
    <w:rsid w:val="00B47F1E"/>
    <w:rsid w:val="00B50079"/>
    <w:rsid w:val="00B5024C"/>
    <w:rsid w:val="00B50299"/>
    <w:rsid w:val="00B5031F"/>
    <w:rsid w:val="00B504C7"/>
    <w:rsid w:val="00B50556"/>
    <w:rsid w:val="00B505FE"/>
    <w:rsid w:val="00B507B9"/>
    <w:rsid w:val="00B507C7"/>
    <w:rsid w:val="00B507CD"/>
    <w:rsid w:val="00B5089B"/>
    <w:rsid w:val="00B50939"/>
    <w:rsid w:val="00B50BF2"/>
    <w:rsid w:val="00B50C45"/>
    <w:rsid w:val="00B50CC1"/>
    <w:rsid w:val="00B50E5A"/>
    <w:rsid w:val="00B50F43"/>
    <w:rsid w:val="00B50FBD"/>
    <w:rsid w:val="00B50FC1"/>
    <w:rsid w:val="00B51060"/>
    <w:rsid w:val="00B5136B"/>
    <w:rsid w:val="00B514BA"/>
    <w:rsid w:val="00B51573"/>
    <w:rsid w:val="00B5159B"/>
    <w:rsid w:val="00B515E7"/>
    <w:rsid w:val="00B51669"/>
    <w:rsid w:val="00B51764"/>
    <w:rsid w:val="00B517ED"/>
    <w:rsid w:val="00B5188E"/>
    <w:rsid w:val="00B518C2"/>
    <w:rsid w:val="00B518C3"/>
    <w:rsid w:val="00B519A1"/>
    <w:rsid w:val="00B519C3"/>
    <w:rsid w:val="00B519DC"/>
    <w:rsid w:val="00B51AA3"/>
    <w:rsid w:val="00B51AE6"/>
    <w:rsid w:val="00B51BC3"/>
    <w:rsid w:val="00B51CB4"/>
    <w:rsid w:val="00B51CD1"/>
    <w:rsid w:val="00B51E14"/>
    <w:rsid w:val="00B51EC0"/>
    <w:rsid w:val="00B51F18"/>
    <w:rsid w:val="00B51F2D"/>
    <w:rsid w:val="00B51F57"/>
    <w:rsid w:val="00B5203F"/>
    <w:rsid w:val="00B52043"/>
    <w:rsid w:val="00B52124"/>
    <w:rsid w:val="00B521AC"/>
    <w:rsid w:val="00B52232"/>
    <w:rsid w:val="00B522BA"/>
    <w:rsid w:val="00B52347"/>
    <w:rsid w:val="00B52417"/>
    <w:rsid w:val="00B525D6"/>
    <w:rsid w:val="00B526A5"/>
    <w:rsid w:val="00B527F0"/>
    <w:rsid w:val="00B52838"/>
    <w:rsid w:val="00B5294B"/>
    <w:rsid w:val="00B529CC"/>
    <w:rsid w:val="00B529FA"/>
    <w:rsid w:val="00B52A94"/>
    <w:rsid w:val="00B52AEA"/>
    <w:rsid w:val="00B52B62"/>
    <w:rsid w:val="00B52F14"/>
    <w:rsid w:val="00B52F80"/>
    <w:rsid w:val="00B53195"/>
    <w:rsid w:val="00B531C1"/>
    <w:rsid w:val="00B531FF"/>
    <w:rsid w:val="00B53273"/>
    <w:rsid w:val="00B53281"/>
    <w:rsid w:val="00B53334"/>
    <w:rsid w:val="00B5367B"/>
    <w:rsid w:val="00B5368E"/>
    <w:rsid w:val="00B536CE"/>
    <w:rsid w:val="00B53842"/>
    <w:rsid w:val="00B53ADD"/>
    <w:rsid w:val="00B53B7E"/>
    <w:rsid w:val="00B53BF0"/>
    <w:rsid w:val="00B53C0C"/>
    <w:rsid w:val="00B53C88"/>
    <w:rsid w:val="00B53CB2"/>
    <w:rsid w:val="00B53D62"/>
    <w:rsid w:val="00B540ED"/>
    <w:rsid w:val="00B540FF"/>
    <w:rsid w:val="00B54181"/>
    <w:rsid w:val="00B541B3"/>
    <w:rsid w:val="00B542BA"/>
    <w:rsid w:val="00B542C8"/>
    <w:rsid w:val="00B5446E"/>
    <w:rsid w:val="00B544D9"/>
    <w:rsid w:val="00B54583"/>
    <w:rsid w:val="00B546CA"/>
    <w:rsid w:val="00B54767"/>
    <w:rsid w:val="00B5479F"/>
    <w:rsid w:val="00B54898"/>
    <w:rsid w:val="00B548BC"/>
    <w:rsid w:val="00B54A26"/>
    <w:rsid w:val="00B54A67"/>
    <w:rsid w:val="00B54ABE"/>
    <w:rsid w:val="00B54B21"/>
    <w:rsid w:val="00B54C5F"/>
    <w:rsid w:val="00B54D01"/>
    <w:rsid w:val="00B54D2E"/>
    <w:rsid w:val="00B54D4D"/>
    <w:rsid w:val="00B54D84"/>
    <w:rsid w:val="00B54DBD"/>
    <w:rsid w:val="00B54E82"/>
    <w:rsid w:val="00B55089"/>
    <w:rsid w:val="00B551EB"/>
    <w:rsid w:val="00B55237"/>
    <w:rsid w:val="00B55481"/>
    <w:rsid w:val="00B554CB"/>
    <w:rsid w:val="00B5557B"/>
    <w:rsid w:val="00B555EC"/>
    <w:rsid w:val="00B55612"/>
    <w:rsid w:val="00B556CF"/>
    <w:rsid w:val="00B558D0"/>
    <w:rsid w:val="00B559BF"/>
    <w:rsid w:val="00B55AAC"/>
    <w:rsid w:val="00B55B20"/>
    <w:rsid w:val="00B55B2D"/>
    <w:rsid w:val="00B55B81"/>
    <w:rsid w:val="00B55C08"/>
    <w:rsid w:val="00B55CEA"/>
    <w:rsid w:val="00B55DAE"/>
    <w:rsid w:val="00B5605B"/>
    <w:rsid w:val="00B5608F"/>
    <w:rsid w:val="00B56101"/>
    <w:rsid w:val="00B562C1"/>
    <w:rsid w:val="00B563A6"/>
    <w:rsid w:val="00B564BF"/>
    <w:rsid w:val="00B5654F"/>
    <w:rsid w:val="00B56655"/>
    <w:rsid w:val="00B566C4"/>
    <w:rsid w:val="00B5687F"/>
    <w:rsid w:val="00B568E4"/>
    <w:rsid w:val="00B56A57"/>
    <w:rsid w:val="00B56A98"/>
    <w:rsid w:val="00B56AC5"/>
    <w:rsid w:val="00B56B5E"/>
    <w:rsid w:val="00B56B8C"/>
    <w:rsid w:val="00B56D6A"/>
    <w:rsid w:val="00B571BA"/>
    <w:rsid w:val="00B5738A"/>
    <w:rsid w:val="00B573D7"/>
    <w:rsid w:val="00B573ED"/>
    <w:rsid w:val="00B57413"/>
    <w:rsid w:val="00B57474"/>
    <w:rsid w:val="00B57479"/>
    <w:rsid w:val="00B57678"/>
    <w:rsid w:val="00B5798E"/>
    <w:rsid w:val="00B5798F"/>
    <w:rsid w:val="00B57A2F"/>
    <w:rsid w:val="00B57ABC"/>
    <w:rsid w:val="00B57B7D"/>
    <w:rsid w:val="00B57D06"/>
    <w:rsid w:val="00B57D52"/>
    <w:rsid w:val="00B57D93"/>
    <w:rsid w:val="00B57F3A"/>
    <w:rsid w:val="00B57FCA"/>
    <w:rsid w:val="00B57FD8"/>
    <w:rsid w:val="00B60543"/>
    <w:rsid w:val="00B605A4"/>
    <w:rsid w:val="00B60692"/>
    <w:rsid w:val="00B60801"/>
    <w:rsid w:val="00B6085C"/>
    <w:rsid w:val="00B60900"/>
    <w:rsid w:val="00B609D3"/>
    <w:rsid w:val="00B60B06"/>
    <w:rsid w:val="00B60B23"/>
    <w:rsid w:val="00B60BF9"/>
    <w:rsid w:val="00B60C04"/>
    <w:rsid w:val="00B60DEC"/>
    <w:rsid w:val="00B60FE9"/>
    <w:rsid w:val="00B6117B"/>
    <w:rsid w:val="00B61396"/>
    <w:rsid w:val="00B6140E"/>
    <w:rsid w:val="00B61511"/>
    <w:rsid w:val="00B617CD"/>
    <w:rsid w:val="00B61809"/>
    <w:rsid w:val="00B61836"/>
    <w:rsid w:val="00B6184C"/>
    <w:rsid w:val="00B61875"/>
    <w:rsid w:val="00B61953"/>
    <w:rsid w:val="00B61ABD"/>
    <w:rsid w:val="00B61C7F"/>
    <w:rsid w:val="00B61E27"/>
    <w:rsid w:val="00B61E72"/>
    <w:rsid w:val="00B61E80"/>
    <w:rsid w:val="00B61EE4"/>
    <w:rsid w:val="00B61EEA"/>
    <w:rsid w:val="00B61EF2"/>
    <w:rsid w:val="00B61F57"/>
    <w:rsid w:val="00B6215D"/>
    <w:rsid w:val="00B62255"/>
    <w:rsid w:val="00B6225E"/>
    <w:rsid w:val="00B6229B"/>
    <w:rsid w:val="00B62317"/>
    <w:rsid w:val="00B62320"/>
    <w:rsid w:val="00B623C5"/>
    <w:rsid w:val="00B6248F"/>
    <w:rsid w:val="00B625B6"/>
    <w:rsid w:val="00B6268E"/>
    <w:rsid w:val="00B629C2"/>
    <w:rsid w:val="00B62B45"/>
    <w:rsid w:val="00B62C6E"/>
    <w:rsid w:val="00B62C78"/>
    <w:rsid w:val="00B62D24"/>
    <w:rsid w:val="00B62D83"/>
    <w:rsid w:val="00B62E0C"/>
    <w:rsid w:val="00B62E6A"/>
    <w:rsid w:val="00B63126"/>
    <w:rsid w:val="00B63176"/>
    <w:rsid w:val="00B6319C"/>
    <w:rsid w:val="00B63304"/>
    <w:rsid w:val="00B6332F"/>
    <w:rsid w:val="00B63380"/>
    <w:rsid w:val="00B633DB"/>
    <w:rsid w:val="00B63406"/>
    <w:rsid w:val="00B6359A"/>
    <w:rsid w:val="00B635CE"/>
    <w:rsid w:val="00B6364B"/>
    <w:rsid w:val="00B6366E"/>
    <w:rsid w:val="00B636B4"/>
    <w:rsid w:val="00B637A0"/>
    <w:rsid w:val="00B637C7"/>
    <w:rsid w:val="00B63853"/>
    <w:rsid w:val="00B63910"/>
    <w:rsid w:val="00B63A56"/>
    <w:rsid w:val="00B63ADD"/>
    <w:rsid w:val="00B63D5C"/>
    <w:rsid w:val="00B63FF0"/>
    <w:rsid w:val="00B640B6"/>
    <w:rsid w:val="00B640BF"/>
    <w:rsid w:val="00B641D2"/>
    <w:rsid w:val="00B6421F"/>
    <w:rsid w:val="00B64272"/>
    <w:rsid w:val="00B6427A"/>
    <w:rsid w:val="00B64475"/>
    <w:rsid w:val="00B644AD"/>
    <w:rsid w:val="00B6469D"/>
    <w:rsid w:val="00B646EE"/>
    <w:rsid w:val="00B6485A"/>
    <w:rsid w:val="00B64868"/>
    <w:rsid w:val="00B648D7"/>
    <w:rsid w:val="00B64959"/>
    <w:rsid w:val="00B64968"/>
    <w:rsid w:val="00B64B49"/>
    <w:rsid w:val="00B64BCF"/>
    <w:rsid w:val="00B64BE9"/>
    <w:rsid w:val="00B64D29"/>
    <w:rsid w:val="00B64DB2"/>
    <w:rsid w:val="00B64DB5"/>
    <w:rsid w:val="00B6500D"/>
    <w:rsid w:val="00B650E1"/>
    <w:rsid w:val="00B650ED"/>
    <w:rsid w:val="00B65140"/>
    <w:rsid w:val="00B651B0"/>
    <w:rsid w:val="00B65262"/>
    <w:rsid w:val="00B652A0"/>
    <w:rsid w:val="00B6531D"/>
    <w:rsid w:val="00B654E0"/>
    <w:rsid w:val="00B654FB"/>
    <w:rsid w:val="00B65503"/>
    <w:rsid w:val="00B6554D"/>
    <w:rsid w:val="00B6556C"/>
    <w:rsid w:val="00B65573"/>
    <w:rsid w:val="00B65661"/>
    <w:rsid w:val="00B656F8"/>
    <w:rsid w:val="00B658E9"/>
    <w:rsid w:val="00B65BC4"/>
    <w:rsid w:val="00B65C74"/>
    <w:rsid w:val="00B65D47"/>
    <w:rsid w:val="00B65E95"/>
    <w:rsid w:val="00B66030"/>
    <w:rsid w:val="00B66044"/>
    <w:rsid w:val="00B66187"/>
    <w:rsid w:val="00B661CF"/>
    <w:rsid w:val="00B6625D"/>
    <w:rsid w:val="00B662BD"/>
    <w:rsid w:val="00B663DF"/>
    <w:rsid w:val="00B665AD"/>
    <w:rsid w:val="00B665D4"/>
    <w:rsid w:val="00B665DC"/>
    <w:rsid w:val="00B666C6"/>
    <w:rsid w:val="00B666ED"/>
    <w:rsid w:val="00B66794"/>
    <w:rsid w:val="00B667C4"/>
    <w:rsid w:val="00B66807"/>
    <w:rsid w:val="00B668C4"/>
    <w:rsid w:val="00B669B0"/>
    <w:rsid w:val="00B66A05"/>
    <w:rsid w:val="00B66ADB"/>
    <w:rsid w:val="00B66F45"/>
    <w:rsid w:val="00B670DD"/>
    <w:rsid w:val="00B6710F"/>
    <w:rsid w:val="00B672E7"/>
    <w:rsid w:val="00B672F3"/>
    <w:rsid w:val="00B67354"/>
    <w:rsid w:val="00B67396"/>
    <w:rsid w:val="00B673B1"/>
    <w:rsid w:val="00B673D0"/>
    <w:rsid w:val="00B673DA"/>
    <w:rsid w:val="00B673EE"/>
    <w:rsid w:val="00B67594"/>
    <w:rsid w:val="00B6761C"/>
    <w:rsid w:val="00B677F5"/>
    <w:rsid w:val="00B67841"/>
    <w:rsid w:val="00B678F8"/>
    <w:rsid w:val="00B67976"/>
    <w:rsid w:val="00B6797C"/>
    <w:rsid w:val="00B67AAB"/>
    <w:rsid w:val="00B67B1B"/>
    <w:rsid w:val="00B67BA6"/>
    <w:rsid w:val="00B67BAA"/>
    <w:rsid w:val="00B67C0F"/>
    <w:rsid w:val="00B67CB3"/>
    <w:rsid w:val="00B67CCD"/>
    <w:rsid w:val="00B67D16"/>
    <w:rsid w:val="00B67D67"/>
    <w:rsid w:val="00B67DBB"/>
    <w:rsid w:val="00B67DFC"/>
    <w:rsid w:val="00B67E6D"/>
    <w:rsid w:val="00B67E90"/>
    <w:rsid w:val="00B67EF0"/>
    <w:rsid w:val="00B67F3B"/>
    <w:rsid w:val="00B67F4F"/>
    <w:rsid w:val="00B7019C"/>
    <w:rsid w:val="00B702E6"/>
    <w:rsid w:val="00B703BE"/>
    <w:rsid w:val="00B70400"/>
    <w:rsid w:val="00B7042E"/>
    <w:rsid w:val="00B70432"/>
    <w:rsid w:val="00B70483"/>
    <w:rsid w:val="00B706FA"/>
    <w:rsid w:val="00B70783"/>
    <w:rsid w:val="00B70960"/>
    <w:rsid w:val="00B70B85"/>
    <w:rsid w:val="00B70BD0"/>
    <w:rsid w:val="00B70BF5"/>
    <w:rsid w:val="00B70C8D"/>
    <w:rsid w:val="00B70C8E"/>
    <w:rsid w:val="00B70D28"/>
    <w:rsid w:val="00B70E06"/>
    <w:rsid w:val="00B70F36"/>
    <w:rsid w:val="00B70F90"/>
    <w:rsid w:val="00B70FE8"/>
    <w:rsid w:val="00B711D5"/>
    <w:rsid w:val="00B71460"/>
    <w:rsid w:val="00B714C8"/>
    <w:rsid w:val="00B71606"/>
    <w:rsid w:val="00B716C2"/>
    <w:rsid w:val="00B716EF"/>
    <w:rsid w:val="00B7173A"/>
    <w:rsid w:val="00B7183E"/>
    <w:rsid w:val="00B7189C"/>
    <w:rsid w:val="00B71BE8"/>
    <w:rsid w:val="00B71C7B"/>
    <w:rsid w:val="00B71CE4"/>
    <w:rsid w:val="00B71EBB"/>
    <w:rsid w:val="00B71FA8"/>
    <w:rsid w:val="00B71FB1"/>
    <w:rsid w:val="00B720F8"/>
    <w:rsid w:val="00B72112"/>
    <w:rsid w:val="00B7211E"/>
    <w:rsid w:val="00B721D0"/>
    <w:rsid w:val="00B72258"/>
    <w:rsid w:val="00B72357"/>
    <w:rsid w:val="00B72461"/>
    <w:rsid w:val="00B724F4"/>
    <w:rsid w:val="00B7258B"/>
    <w:rsid w:val="00B728C5"/>
    <w:rsid w:val="00B728D9"/>
    <w:rsid w:val="00B72991"/>
    <w:rsid w:val="00B72A35"/>
    <w:rsid w:val="00B72A68"/>
    <w:rsid w:val="00B72B2A"/>
    <w:rsid w:val="00B72B43"/>
    <w:rsid w:val="00B72B78"/>
    <w:rsid w:val="00B72C51"/>
    <w:rsid w:val="00B72D3A"/>
    <w:rsid w:val="00B72E49"/>
    <w:rsid w:val="00B72F73"/>
    <w:rsid w:val="00B73051"/>
    <w:rsid w:val="00B73208"/>
    <w:rsid w:val="00B733CE"/>
    <w:rsid w:val="00B7366E"/>
    <w:rsid w:val="00B7377F"/>
    <w:rsid w:val="00B737F1"/>
    <w:rsid w:val="00B73804"/>
    <w:rsid w:val="00B73818"/>
    <w:rsid w:val="00B73929"/>
    <w:rsid w:val="00B73993"/>
    <w:rsid w:val="00B739B7"/>
    <w:rsid w:val="00B739C0"/>
    <w:rsid w:val="00B73A16"/>
    <w:rsid w:val="00B73A2C"/>
    <w:rsid w:val="00B73CB1"/>
    <w:rsid w:val="00B73CEE"/>
    <w:rsid w:val="00B73D45"/>
    <w:rsid w:val="00B73E59"/>
    <w:rsid w:val="00B73EFA"/>
    <w:rsid w:val="00B73F5A"/>
    <w:rsid w:val="00B74026"/>
    <w:rsid w:val="00B74063"/>
    <w:rsid w:val="00B7413D"/>
    <w:rsid w:val="00B7424B"/>
    <w:rsid w:val="00B74377"/>
    <w:rsid w:val="00B74433"/>
    <w:rsid w:val="00B744B5"/>
    <w:rsid w:val="00B74564"/>
    <w:rsid w:val="00B74722"/>
    <w:rsid w:val="00B74741"/>
    <w:rsid w:val="00B74789"/>
    <w:rsid w:val="00B749C1"/>
    <w:rsid w:val="00B74C3B"/>
    <w:rsid w:val="00B74D15"/>
    <w:rsid w:val="00B74D66"/>
    <w:rsid w:val="00B74F0D"/>
    <w:rsid w:val="00B74F68"/>
    <w:rsid w:val="00B74F69"/>
    <w:rsid w:val="00B74F94"/>
    <w:rsid w:val="00B74FA4"/>
    <w:rsid w:val="00B75004"/>
    <w:rsid w:val="00B75031"/>
    <w:rsid w:val="00B75144"/>
    <w:rsid w:val="00B751A9"/>
    <w:rsid w:val="00B75229"/>
    <w:rsid w:val="00B75370"/>
    <w:rsid w:val="00B754AF"/>
    <w:rsid w:val="00B754CD"/>
    <w:rsid w:val="00B755ED"/>
    <w:rsid w:val="00B7565D"/>
    <w:rsid w:val="00B7581E"/>
    <w:rsid w:val="00B7584F"/>
    <w:rsid w:val="00B758A7"/>
    <w:rsid w:val="00B75983"/>
    <w:rsid w:val="00B759B0"/>
    <w:rsid w:val="00B759B1"/>
    <w:rsid w:val="00B75C04"/>
    <w:rsid w:val="00B75C17"/>
    <w:rsid w:val="00B75E62"/>
    <w:rsid w:val="00B761EE"/>
    <w:rsid w:val="00B76204"/>
    <w:rsid w:val="00B76253"/>
    <w:rsid w:val="00B762FD"/>
    <w:rsid w:val="00B7633A"/>
    <w:rsid w:val="00B763C9"/>
    <w:rsid w:val="00B7641C"/>
    <w:rsid w:val="00B764D8"/>
    <w:rsid w:val="00B7663F"/>
    <w:rsid w:val="00B766A2"/>
    <w:rsid w:val="00B766F2"/>
    <w:rsid w:val="00B767D8"/>
    <w:rsid w:val="00B768A6"/>
    <w:rsid w:val="00B7699D"/>
    <w:rsid w:val="00B76A65"/>
    <w:rsid w:val="00B76AAC"/>
    <w:rsid w:val="00B76AB3"/>
    <w:rsid w:val="00B76AF5"/>
    <w:rsid w:val="00B76B4B"/>
    <w:rsid w:val="00B76BB1"/>
    <w:rsid w:val="00B76BE0"/>
    <w:rsid w:val="00B76BED"/>
    <w:rsid w:val="00B76C4C"/>
    <w:rsid w:val="00B76C57"/>
    <w:rsid w:val="00B76D11"/>
    <w:rsid w:val="00B76D1E"/>
    <w:rsid w:val="00B76D41"/>
    <w:rsid w:val="00B76D46"/>
    <w:rsid w:val="00B76E4D"/>
    <w:rsid w:val="00B76E85"/>
    <w:rsid w:val="00B7715F"/>
    <w:rsid w:val="00B77162"/>
    <w:rsid w:val="00B77170"/>
    <w:rsid w:val="00B77315"/>
    <w:rsid w:val="00B77368"/>
    <w:rsid w:val="00B77439"/>
    <w:rsid w:val="00B77473"/>
    <w:rsid w:val="00B774B0"/>
    <w:rsid w:val="00B775D6"/>
    <w:rsid w:val="00B77611"/>
    <w:rsid w:val="00B77686"/>
    <w:rsid w:val="00B776E0"/>
    <w:rsid w:val="00B776E4"/>
    <w:rsid w:val="00B77716"/>
    <w:rsid w:val="00B777F7"/>
    <w:rsid w:val="00B77917"/>
    <w:rsid w:val="00B77987"/>
    <w:rsid w:val="00B77A1C"/>
    <w:rsid w:val="00B77A20"/>
    <w:rsid w:val="00B77BB4"/>
    <w:rsid w:val="00B77BBD"/>
    <w:rsid w:val="00B77C0E"/>
    <w:rsid w:val="00B77CAD"/>
    <w:rsid w:val="00B77CBB"/>
    <w:rsid w:val="00B77D3A"/>
    <w:rsid w:val="00B77DBE"/>
    <w:rsid w:val="00B77EA9"/>
    <w:rsid w:val="00B77F41"/>
    <w:rsid w:val="00B80000"/>
    <w:rsid w:val="00B80025"/>
    <w:rsid w:val="00B8008E"/>
    <w:rsid w:val="00B800C5"/>
    <w:rsid w:val="00B800EC"/>
    <w:rsid w:val="00B80108"/>
    <w:rsid w:val="00B8014D"/>
    <w:rsid w:val="00B80167"/>
    <w:rsid w:val="00B80180"/>
    <w:rsid w:val="00B80284"/>
    <w:rsid w:val="00B80368"/>
    <w:rsid w:val="00B80430"/>
    <w:rsid w:val="00B80451"/>
    <w:rsid w:val="00B805E0"/>
    <w:rsid w:val="00B805F5"/>
    <w:rsid w:val="00B8060B"/>
    <w:rsid w:val="00B8069D"/>
    <w:rsid w:val="00B809F5"/>
    <w:rsid w:val="00B80A3F"/>
    <w:rsid w:val="00B80ABF"/>
    <w:rsid w:val="00B80BE7"/>
    <w:rsid w:val="00B80BED"/>
    <w:rsid w:val="00B80C52"/>
    <w:rsid w:val="00B80CF2"/>
    <w:rsid w:val="00B81449"/>
    <w:rsid w:val="00B8146D"/>
    <w:rsid w:val="00B8173B"/>
    <w:rsid w:val="00B817D8"/>
    <w:rsid w:val="00B81856"/>
    <w:rsid w:val="00B818DD"/>
    <w:rsid w:val="00B819FC"/>
    <w:rsid w:val="00B81BCC"/>
    <w:rsid w:val="00B81BCF"/>
    <w:rsid w:val="00B81D13"/>
    <w:rsid w:val="00B81D90"/>
    <w:rsid w:val="00B81DC3"/>
    <w:rsid w:val="00B81EF6"/>
    <w:rsid w:val="00B8212A"/>
    <w:rsid w:val="00B821D3"/>
    <w:rsid w:val="00B8225A"/>
    <w:rsid w:val="00B826A4"/>
    <w:rsid w:val="00B82AD7"/>
    <w:rsid w:val="00B82B66"/>
    <w:rsid w:val="00B82BA3"/>
    <w:rsid w:val="00B82C79"/>
    <w:rsid w:val="00B82D00"/>
    <w:rsid w:val="00B82DBA"/>
    <w:rsid w:val="00B82F11"/>
    <w:rsid w:val="00B83080"/>
    <w:rsid w:val="00B83421"/>
    <w:rsid w:val="00B83585"/>
    <w:rsid w:val="00B835B2"/>
    <w:rsid w:val="00B83656"/>
    <w:rsid w:val="00B83796"/>
    <w:rsid w:val="00B837E1"/>
    <w:rsid w:val="00B839A5"/>
    <w:rsid w:val="00B839B1"/>
    <w:rsid w:val="00B83A46"/>
    <w:rsid w:val="00B83AB1"/>
    <w:rsid w:val="00B83C5C"/>
    <w:rsid w:val="00B83C7F"/>
    <w:rsid w:val="00B83C82"/>
    <w:rsid w:val="00B83D22"/>
    <w:rsid w:val="00B83D95"/>
    <w:rsid w:val="00B83E7F"/>
    <w:rsid w:val="00B83E80"/>
    <w:rsid w:val="00B83EB8"/>
    <w:rsid w:val="00B83EF6"/>
    <w:rsid w:val="00B84022"/>
    <w:rsid w:val="00B84065"/>
    <w:rsid w:val="00B84099"/>
    <w:rsid w:val="00B840E7"/>
    <w:rsid w:val="00B84170"/>
    <w:rsid w:val="00B842A6"/>
    <w:rsid w:val="00B842FE"/>
    <w:rsid w:val="00B843C1"/>
    <w:rsid w:val="00B845C8"/>
    <w:rsid w:val="00B84620"/>
    <w:rsid w:val="00B84655"/>
    <w:rsid w:val="00B84683"/>
    <w:rsid w:val="00B846A0"/>
    <w:rsid w:val="00B84770"/>
    <w:rsid w:val="00B84A2B"/>
    <w:rsid w:val="00B84AA6"/>
    <w:rsid w:val="00B84BA1"/>
    <w:rsid w:val="00B84C06"/>
    <w:rsid w:val="00B84C8E"/>
    <w:rsid w:val="00B84E94"/>
    <w:rsid w:val="00B84F44"/>
    <w:rsid w:val="00B84F51"/>
    <w:rsid w:val="00B854A9"/>
    <w:rsid w:val="00B85541"/>
    <w:rsid w:val="00B85651"/>
    <w:rsid w:val="00B857B1"/>
    <w:rsid w:val="00B858A4"/>
    <w:rsid w:val="00B85996"/>
    <w:rsid w:val="00B85A14"/>
    <w:rsid w:val="00B85B03"/>
    <w:rsid w:val="00B85BF3"/>
    <w:rsid w:val="00B85E22"/>
    <w:rsid w:val="00B85E91"/>
    <w:rsid w:val="00B85EC2"/>
    <w:rsid w:val="00B85ED8"/>
    <w:rsid w:val="00B85F3D"/>
    <w:rsid w:val="00B861A5"/>
    <w:rsid w:val="00B863EB"/>
    <w:rsid w:val="00B86519"/>
    <w:rsid w:val="00B86633"/>
    <w:rsid w:val="00B86647"/>
    <w:rsid w:val="00B86744"/>
    <w:rsid w:val="00B8675A"/>
    <w:rsid w:val="00B8675B"/>
    <w:rsid w:val="00B86874"/>
    <w:rsid w:val="00B868AD"/>
    <w:rsid w:val="00B86A27"/>
    <w:rsid w:val="00B86BD6"/>
    <w:rsid w:val="00B86E0E"/>
    <w:rsid w:val="00B86E85"/>
    <w:rsid w:val="00B87015"/>
    <w:rsid w:val="00B87185"/>
    <w:rsid w:val="00B871F7"/>
    <w:rsid w:val="00B8724E"/>
    <w:rsid w:val="00B87674"/>
    <w:rsid w:val="00B876A4"/>
    <w:rsid w:val="00B87753"/>
    <w:rsid w:val="00B878E1"/>
    <w:rsid w:val="00B8793A"/>
    <w:rsid w:val="00B87967"/>
    <w:rsid w:val="00B87A0A"/>
    <w:rsid w:val="00B87A32"/>
    <w:rsid w:val="00B87A35"/>
    <w:rsid w:val="00B87AEC"/>
    <w:rsid w:val="00B87D20"/>
    <w:rsid w:val="00B87D99"/>
    <w:rsid w:val="00B87EA7"/>
    <w:rsid w:val="00B87EF8"/>
    <w:rsid w:val="00B87F08"/>
    <w:rsid w:val="00B87F1C"/>
    <w:rsid w:val="00B87F5C"/>
    <w:rsid w:val="00B87FD1"/>
    <w:rsid w:val="00B900A3"/>
    <w:rsid w:val="00B9010C"/>
    <w:rsid w:val="00B901E3"/>
    <w:rsid w:val="00B90385"/>
    <w:rsid w:val="00B908D6"/>
    <w:rsid w:val="00B909A5"/>
    <w:rsid w:val="00B90AA4"/>
    <w:rsid w:val="00B90AA6"/>
    <w:rsid w:val="00B90B0D"/>
    <w:rsid w:val="00B90B6F"/>
    <w:rsid w:val="00B90BEE"/>
    <w:rsid w:val="00B90C8F"/>
    <w:rsid w:val="00B90D89"/>
    <w:rsid w:val="00B90DB8"/>
    <w:rsid w:val="00B90F1C"/>
    <w:rsid w:val="00B90F20"/>
    <w:rsid w:val="00B90F21"/>
    <w:rsid w:val="00B91252"/>
    <w:rsid w:val="00B91265"/>
    <w:rsid w:val="00B912CF"/>
    <w:rsid w:val="00B9139B"/>
    <w:rsid w:val="00B914D4"/>
    <w:rsid w:val="00B91809"/>
    <w:rsid w:val="00B9180A"/>
    <w:rsid w:val="00B91946"/>
    <w:rsid w:val="00B91954"/>
    <w:rsid w:val="00B919B0"/>
    <w:rsid w:val="00B91A81"/>
    <w:rsid w:val="00B91AED"/>
    <w:rsid w:val="00B91BA4"/>
    <w:rsid w:val="00B91D28"/>
    <w:rsid w:val="00B91E01"/>
    <w:rsid w:val="00B91EB7"/>
    <w:rsid w:val="00B91F3C"/>
    <w:rsid w:val="00B91FA9"/>
    <w:rsid w:val="00B92010"/>
    <w:rsid w:val="00B920AF"/>
    <w:rsid w:val="00B9228A"/>
    <w:rsid w:val="00B922BE"/>
    <w:rsid w:val="00B92315"/>
    <w:rsid w:val="00B923F2"/>
    <w:rsid w:val="00B9247B"/>
    <w:rsid w:val="00B924FC"/>
    <w:rsid w:val="00B92573"/>
    <w:rsid w:val="00B92590"/>
    <w:rsid w:val="00B925B8"/>
    <w:rsid w:val="00B925C2"/>
    <w:rsid w:val="00B927AD"/>
    <w:rsid w:val="00B92815"/>
    <w:rsid w:val="00B92864"/>
    <w:rsid w:val="00B9286B"/>
    <w:rsid w:val="00B92A3D"/>
    <w:rsid w:val="00B92A47"/>
    <w:rsid w:val="00B92BB6"/>
    <w:rsid w:val="00B92BE9"/>
    <w:rsid w:val="00B92EE4"/>
    <w:rsid w:val="00B92F26"/>
    <w:rsid w:val="00B92F4C"/>
    <w:rsid w:val="00B93101"/>
    <w:rsid w:val="00B9311F"/>
    <w:rsid w:val="00B93156"/>
    <w:rsid w:val="00B93188"/>
    <w:rsid w:val="00B932CE"/>
    <w:rsid w:val="00B93449"/>
    <w:rsid w:val="00B934CC"/>
    <w:rsid w:val="00B935A8"/>
    <w:rsid w:val="00B935D5"/>
    <w:rsid w:val="00B93620"/>
    <w:rsid w:val="00B93622"/>
    <w:rsid w:val="00B9363A"/>
    <w:rsid w:val="00B936E2"/>
    <w:rsid w:val="00B93795"/>
    <w:rsid w:val="00B937BF"/>
    <w:rsid w:val="00B9384A"/>
    <w:rsid w:val="00B9393F"/>
    <w:rsid w:val="00B939B7"/>
    <w:rsid w:val="00B939FC"/>
    <w:rsid w:val="00B93B0E"/>
    <w:rsid w:val="00B93BB1"/>
    <w:rsid w:val="00B93D20"/>
    <w:rsid w:val="00B93D67"/>
    <w:rsid w:val="00B93D8A"/>
    <w:rsid w:val="00B93DBB"/>
    <w:rsid w:val="00B94004"/>
    <w:rsid w:val="00B94023"/>
    <w:rsid w:val="00B9410D"/>
    <w:rsid w:val="00B94238"/>
    <w:rsid w:val="00B9428E"/>
    <w:rsid w:val="00B9435C"/>
    <w:rsid w:val="00B944C7"/>
    <w:rsid w:val="00B9475B"/>
    <w:rsid w:val="00B9475C"/>
    <w:rsid w:val="00B94818"/>
    <w:rsid w:val="00B94861"/>
    <w:rsid w:val="00B9496B"/>
    <w:rsid w:val="00B94A61"/>
    <w:rsid w:val="00B94B26"/>
    <w:rsid w:val="00B94B29"/>
    <w:rsid w:val="00B94DF7"/>
    <w:rsid w:val="00B950C9"/>
    <w:rsid w:val="00B95123"/>
    <w:rsid w:val="00B95150"/>
    <w:rsid w:val="00B9515A"/>
    <w:rsid w:val="00B9525A"/>
    <w:rsid w:val="00B9525B"/>
    <w:rsid w:val="00B952A0"/>
    <w:rsid w:val="00B95350"/>
    <w:rsid w:val="00B95351"/>
    <w:rsid w:val="00B953A3"/>
    <w:rsid w:val="00B9542D"/>
    <w:rsid w:val="00B9544D"/>
    <w:rsid w:val="00B954E8"/>
    <w:rsid w:val="00B955C0"/>
    <w:rsid w:val="00B955FF"/>
    <w:rsid w:val="00B95660"/>
    <w:rsid w:val="00B9566B"/>
    <w:rsid w:val="00B95715"/>
    <w:rsid w:val="00B95AD3"/>
    <w:rsid w:val="00B95B84"/>
    <w:rsid w:val="00B95CFF"/>
    <w:rsid w:val="00B95DB3"/>
    <w:rsid w:val="00B96043"/>
    <w:rsid w:val="00B962CB"/>
    <w:rsid w:val="00B962FD"/>
    <w:rsid w:val="00B963FF"/>
    <w:rsid w:val="00B96457"/>
    <w:rsid w:val="00B9647B"/>
    <w:rsid w:val="00B964A9"/>
    <w:rsid w:val="00B964AB"/>
    <w:rsid w:val="00B964AF"/>
    <w:rsid w:val="00B964DB"/>
    <w:rsid w:val="00B96525"/>
    <w:rsid w:val="00B96543"/>
    <w:rsid w:val="00B966CF"/>
    <w:rsid w:val="00B9675F"/>
    <w:rsid w:val="00B96805"/>
    <w:rsid w:val="00B968B6"/>
    <w:rsid w:val="00B96983"/>
    <w:rsid w:val="00B96A37"/>
    <w:rsid w:val="00B96AA9"/>
    <w:rsid w:val="00B96AD6"/>
    <w:rsid w:val="00B96B0B"/>
    <w:rsid w:val="00B96C0F"/>
    <w:rsid w:val="00B96C3B"/>
    <w:rsid w:val="00B96E19"/>
    <w:rsid w:val="00B9703E"/>
    <w:rsid w:val="00B970D3"/>
    <w:rsid w:val="00B971F7"/>
    <w:rsid w:val="00B97308"/>
    <w:rsid w:val="00B97328"/>
    <w:rsid w:val="00B97393"/>
    <w:rsid w:val="00B9751E"/>
    <w:rsid w:val="00B977CF"/>
    <w:rsid w:val="00B97884"/>
    <w:rsid w:val="00B978D7"/>
    <w:rsid w:val="00B978E0"/>
    <w:rsid w:val="00B97911"/>
    <w:rsid w:val="00B97AAA"/>
    <w:rsid w:val="00B97B46"/>
    <w:rsid w:val="00B97BA2"/>
    <w:rsid w:val="00B97BF3"/>
    <w:rsid w:val="00B97CB2"/>
    <w:rsid w:val="00B97D31"/>
    <w:rsid w:val="00B97E1E"/>
    <w:rsid w:val="00BA028C"/>
    <w:rsid w:val="00BA0403"/>
    <w:rsid w:val="00BA0425"/>
    <w:rsid w:val="00BA0431"/>
    <w:rsid w:val="00BA0495"/>
    <w:rsid w:val="00BA07D3"/>
    <w:rsid w:val="00BA083F"/>
    <w:rsid w:val="00BA0AB7"/>
    <w:rsid w:val="00BA0B6C"/>
    <w:rsid w:val="00BA0CAA"/>
    <w:rsid w:val="00BA0CD1"/>
    <w:rsid w:val="00BA0DD6"/>
    <w:rsid w:val="00BA0E24"/>
    <w:rsid w:val="00BA0FA2"/>
    <w:rsid w:val="00BA10E4"/>
    <w:rsid w:val="00BA1137"/>
    <w:rsid w:val="00BA114C"/>
    <w:rsid w:val="00BA11E5"/>
    <w:rsid w:val="00BA12A9"/>
    <w:rsid w:val="00BA130B"/>
    <w:rsid w:val="00BA13C6"/>
    <w:rsid w:val="00BA13D0"/>
    <w:rsid w:val="00BA13DD"/>
    <w:rsid w:val="00BA141F"/>
    <w:rsid w:val="00BA149A"/>
    <w:rsid w:val="00BA159E"/>
    <w:rsid w:val="00BA1625"/>
    <w:rsid w:val="00BA16E5"/>
    <w:rsid w:val="00BA1710"/>
    <w:rsid w:val="00BA180F"/>
    <w:rsid w:val="00BA1AFD"/>
    <w:rsid w:val="00BA1C37"/>
    <w:rsid w:val="00BA1C8F"/>
    <w:rsid w:val="00BA1D3B"/>
    <w:rsid w:val="00BA1E2E"/>
    <w:rsid w:val="00BA1F16"/>
    <w:rsid w:val="00BA2036"/>
    <w:rsid w:val="00BA23FB"/>
    <w:rsid w:val="00BA2605"/>
    <w:rsid w:val="00BA28A4"/>
    <w:rsid w:val="00BA2927"/>
    <w:rsid w:val="00BA2C6C"/>
    <w:rsid w:val="00BA2CE5"/>
    <w:rsid w:val="00BA2E6C"/>
    <w:rsid w:val="00BA2E73"/>
    <w:rsid w:val="00BA2ED9"/>
    <w:rsid w:val="00BA3127"/>
    <w:rsid w:val="00BA321C"/>
    <w:rsid w:val="00BA3433"/>
    <w:rsid w:val="00BA3469"/>
    <w:rsid w:val="00BA3619"/>
    <w:rsid w:val="00BA3699"/>
    <w:rsid w:val="00BA3753"/>
    <w:rsid w:val="00BA380E"/>
    <w:rsid w:val="00BA381E"/>
    <w:rsid w:val="00BA385B"/>
    <w:rsid w:val="00BA38A4"/>
    <w:rsid w:val="00BA38C2"/>
    <w:rsid w:val="00BA3B21"/>
    <w:rsid w:val="00BA3BD8"/>
    <w:rsid w:val="00BA3CA1"/>
    <w:rsid w:val="00BA3D3F"/>
    <w:rsid w:val="00BA3E2F"/>
    <w:rsid w:val="00BA3F78"/>
    <w:rsid w:val="00BA3F9F"/>
    <w:rsid w:val="00BA3FF5"/>
    <w:rsid w:val="00BA4042"/>
    <w:rsid w:val="00BA40A8"/>
    <w:rsid w:val="00BA40D7"/>
    <w:rsid w:val="00BA43A8"/>
    <w:rsid w:val="00BA443F"/>
    <w:rsid w:val="00BA446B"/>
    <w:rsid w:val="00BA4495"/>
    <w:rsid w:val="00BA4600"/>
    <w:rsid w:val="00BA46A7"/>
    <w:rsid w:val="00BA46D4"/>
    <w:rsid w:val="00BA48A6"/>
    <w:rsid w:val="00BA491A"/>
    <w:rsid w:val="00BA4948"/>
    <w:rsid w:val="00BA494F"/>
    <w:rsid w:val="00BA4A12"/>
    <w:rsid w:val="00BA4AE6"/>
    <w:rsid w:val="00BA4B94"/>
    <w:rsid w:val="00BA4C73"/>
    <w:rsid w:val="00BA4CC1"/>
    <w:rsid w:val="00BA4DAA"/>
    <w:rsid w:val="00BA4DE9"/>
    <w:rsid w:val="00BA4E9B"/>
    <w:rsid w:val="00BA4EDC"/>
    <w:rsid w:val="00BA4FB1"/>
    <w:rsid w:val="00BA5001"/>
    <w:rsid w:val="00BA5069"/>
    <w:rsid w:val="00BA5129"/>
    <w:rsid w:val="00BA51C7"/>
    <w:rsid w:val="00BA5262"/>
    <w:rsid w:val="00BA5382"/>
    <w:rsid w:val="00BA539D"/>
    <w:rsid w:val="00BA53FC"/>
    <w:rsid w:val="00BA54A5"/>
    <w:rsid w:val="00BA54D3"/>
    <w:rsid w:val="00BA59AF"/>
    <w:rsid w:val="00BA5A5A"/>
    <w:rsid w:val="00BA5B47"/>
    <w:rsid w:val="00BA5D53"/>
    <w:rsid w:val="00BA5F71"/>
    <w:rsid w:val="00BA6055"/>
    <w:rsid w:val="00BA60B5"/>
    <w:rsid w:val="00BA60F9"/>
    <w:rsid w:val="00BA627A"/>
    <w:rsid w:val="00BA62A1"/>
    <w:rsid w:val="00BA632D"/>
    <w:rsid w:val="00BA63FC"/>
    <w:rsid w:val="00BA6571"/>
    <w:rsid w:val="00BA661C"/>
    <w:rsid w:val="00BA6679"/>
    <w:rsid w:val="00BA67C0"/>
    <w:rsid w:val="00BA6844"/>
    <w:rsid w:val="00BA6873"/>
    <w:rsid w:val="00BA6908"/>
    <w:rsid w:val="00BA6B06"/>
    <w:rsid w:val="00BA6B1C"/>
    <w:rsid w:val="00BA6B47"/>
    <w:rsid w:val="00BA6B4F"/>
    <w:rsid w:val="00BA6C5B"/>
    <w:rsid w:val="00BA6D37"/>
    <w:rsid w:val="00BA6D50"/>
    <w:rsid w:val="00BA705C"/>
    <w:rsid w:val="00BA72F7"/>
    <w:rsid w:val="00BA731D"/>
    <w:rsid w:val="00BA73F0"/>
    <w:rsid w:val="00BA750A"/>
    <w:rsid w:val="00BA7512"/>
    <w:rsid w:val="00BA7535"/>
    <w:rsid w:val="00BA75D8"/>
    <w:rsid w:val="00BA7754"/>
    <w:rsid w:val="00BA77B5"/>
    <w:rsid w:val="00BA78B3"/>
    <w:rsid w:val="00BA78DE"/>
    <w:rsid w:val="00BA798E"/>
    <w:rsid w:val="00BA79FB"/>
    <w:rsid w:val="00BA7AD4"/>
    <w:rsid w:val="00BA7AE3"/>
    <w:rsid w:val="00BA7BA2"/>
    <w:rsid w:val="00BA7C3F"/>
    <w:rsid w:val="00BA7C63"/>
    <w:rsid w:val="00BA7D33"/>
    <w:rsid w:val="00BA7D94"/>
    <w:rsid w:val="00BA7E32"/>
    <w:rsid w:val="00BA7E3D"/>
    <w:rsid w:val="00BA7E55"/>
    <w:rsid w:val="00BB049E"/>
    <w:rsid w:val="00BB0515"/>
    <w:rsid w:val="00BB0545"/>
    <w:rsid w:val="00BB05AD"/>
    <w:rsid w:val="00BB0686"/>
    <w:rsid w:val="00BB077A"/>
    <w:rsid w:val="00BB078A"/>
    <w:rsid w:val="00BB07B7"/>
    <w:rsid w:val="00BB07BE"/>
    <w:rsid w:val="00BB089B"/>
    <w:rsid w:val="00BB08D4"/>
    <w:rsid w:val="00BB09A3"/>
    <w:rsid w:val="00BB0A10"/>
    <w:rsid w:val="00BB0A40"/>
    <w:rsid w:val="00BB0BDB"/>
    <w:rsid w:val="00BB0C8D"/>
    <w:rsid w:val="00BB0D1F"/>
    <w:rsid w:val="00BB0D7A"/>
    <w:rsid w:val="00BB0DEA"/>
    <w:rsid w:val="00BB0F2A"/>
    <w:rsid w:val="00BB10CB"/>
    <w:rsid w:val="00BB123A"/>
    <w:rsid w:val="00BB13A1"/>
    <w:rsid w:val="00BB17F0"/>
    <w:rsid w:val="00BB1875"/>
    <w:rsid w:val="00BB18EC"/>
    <w:rsid w:val="00BB1914"/>
    <w:rsid w:val="00BB1AD8"/>
    <w:rsid w:val="00BB1B98"/>
    <w:rsid w:val="00BB1BB4"/>
    <w:rsid w:val="00BB1BDC"/>
    <w:rsid w:val="00BB1C01"/>
    <w:rsid w:val="00BB1C62"/>
    <w:rsid w:val="00BB1CB1"/>
    <w:rsid w:val="00BB1D1C"/>
    <w:rsid w:val="00BB1F8A"/>
    <w:rsid w:val="00BB201A"/>
    <w:rsid w:val="00BB213D"/>
    <w:rsid w:val="00BB226C"/>
    <w:rsid w:val="00BB2323"/>
    <w:rsid w:val="00BB23F7"/>
    <w:rsid w:val="00BB2428"/>
    <w:rsid w:val="00BB2504"/>
    <w:rsid w:val="00BB2526"/>
    <w:rsid w:val="00BB2754"/>
    <w:rsid w:val="00BB27A2"/>
    <w:rsid w:val="00BB2810"/>
    <w:rsid w:val="00BB2812"/>
    <w:rsid w:val="00BB284F"/>
    <w:rsid w:val="00BB28E1"/>
    <w:rsid w:val="00BB292A"/>
    <w:rsid w:val="00BB2CAD"/>
    <w:rsid w:val="00BB2DDC"/>
    <w:rsid w:val="00BB2DEC"/>
    <w:rsid w:val="00BB2EDA"/>
    <w:rsid w:val="00BB2F66"/>
    <w:rsid w:val="00BB2FB4"/>
    <w:rsid w:val="00BB2FEF"/>
    <w:rsid w:val="00BB30BB"/>
    <w:rsid w:val="00BB3454"/>
    <w:rsid w:val="00BB34C0"/>
    <w:rsid w:val="00BB34F3"/>
    <w:rsid w:val="00BB3508"/>
    <w:rsid w:val="00BB351A"/>
    <w:rsid w:val="00BB359F"/>
    <w:rsid w:val="00BB35B3"/>
    <w:rsid w:val="00BB3600"/>
    <w:rsid w:val="00BB360E"/>
    <w:rsid w:val="00BB3653"/>
    <w:rsid w:val="00BB36B7"/>
    <w:rsid w:val="00BB3736"/>
    <w:rsid w:val="00BB374F"/>
    <w:rsid w:val="00BB37B5"/>
    <w:rsid w:val="00BB3807"/>
    <w:rsid w:val="00BB388C"/>
    <w:rsid w:val="00BB38AA"/>
    <w:rsid w:val="00BB3955"/>
    <w:rsid w:val="00BB39D2"/>
    <w:rsid w:val="00BB3C05"/>
    <w:rsid w:val="00BB3C40"/>
    <w:rsid w:val="00BB3C4A"/>
    <w:rsid w:val="00BB3C8C"/>
    <w:rsid w:val="00BB3CC0"/>
    <w:rsid w:val="00BB3EB3"/>
    <w:rsid w:val="00BB3F75"/>
    <w:rsid w:val="00BB3FB9"/>
    <w:rsid w:val="00BB3FEE"/>
    <w:rsid w:val="00BB4042"/>
    <w:rsid w:val="00BB42E9"/>
    <w:rsid w:val="00BB43A5"/>
    <w:rsid w:val="00BB450D"/>
    <w:rsid w:val="00BB45D9"/>
    <w:rsid w:val="00BB45FB"/>
    <w:rsid w:val="00BB463D"/>
    <w:rsid w:val="00BB46D9"/>
    <w:rsid w:val="00BB4A7A"/>
    <w:rsid w:val="00BB4ABA"/>
    <w:rsid w:val="00BB4B05"/>
    <w:rsid w:val="00BB4B0F"/>
    <w:rsid w:val="00BB4B96"/>
    <w:rsid w:val="00BB4EAD"/>
    <w:rsid w:val="00BB4F8B"/>
    <w:rsid w:val="00BB4FAC"/>
    <w:rsid w:val="00BB52D5"/>
    <w:rsid w:val="00BB5319"/>
    <w:rsid w:val="00BB53CE"/>
    <w:rsid w:val="00BB53D7"/>
    <w:rsid w:val="00BB53E5"/>
    <w:rsid w:val="00BB540E"/>
    <w:rsid w:val="00BB542D"/>
    <w:rsid w:val="00BB5510"/>
    <w:rsid w:val="00BB5576"/>
    <w:rsid w:val="00BB5694"/>
    <w:rsid w:val="00BB56B2"/>
    <w:rsid w:val="00BB56B6"/>
    <w:rsid w:val="00BB56FB"/>
    <w:rsid w:val="00BB578C"/>
    <w:rsid w:val="00BB57D2"/>
    <w:rsid w:val="00BB5958"/>
    <w:rsid w:val="00BB59A4"/>
    <w:rsid w:val="00BB5A07"/>
    <w:rsid w:val="00BB5B31"/>
    <w:rsid w:val="00BB5B8F"/>
    <w:rsid w:val="00BB5BC6"/>
    <w:rsid w:val="00BB5BE4"/>
    <w:rsid w:val="00BB5C7A"/>
    <w:rsid w:val="00BB5E37"/>
    <w:rsid w:val="00BB5EED"/>
    <w:rsid w:val="00BB6000"/>
    <w:rsid w:val="00BB60F1"/>
    <w:rsid w:val="00BB6127"/>
    <w:rsid w:val="00BB61E0"/>
    <w:rsid w:val="00BB646A"/>
    <w:rsid w:val="00BB6482"/>
    <w:rsid w:val="00BB66D9"/>
    <w:rsid w:val="00BB6721"/>
    <w:rsid w:val="00BB6756"/>
    <w:rsid w:val="00BB67CE"/>
    <w:rsid w:val="00BB6AC6"/>
    <w:rsid w:val="00BB6B11"/>
    <w:rsid w:val="00BB6BDF"/>
    <w:rsid w:val="00BB6C56"/>
    <w:rsid w:val="00BB6CA8"/>
    <w:rsid w:val="00BB6CB3"/>
    <w:rsid w:val="00BB6F52"/>
    <w:rsid w:val="00BB7034"/>
    <w:rsid w:val="00BB7243"/>
    <w:rsid w:val="00BB74CC"/>
    <w:rsid w:val="00BB7820"/>
    <w:rsid w:val="00BB78A7"/>
    <w:rsid w:val="00BB7B4A"/>
    <w:rsid w:val="00BB7BAA"/>
    <w:rsid w:val="00BB7DB0"/>
    <w:rsid w:val="00BB7FA6"/>
    <w:rsid w:val="00BC0032"/>
    <w:rsid w:val="00BC0047"/>
    <w:rsid w:val="00BC007F"/>
    <w:rsid w:val="00BC01F8"/>
    <w:rsid w:val="00BC0216"/>
    <w:rsid w:val="00BC04CF"/>
    <w:rsid w:val="00BC050C"/>
    <w:rsid w:val="00BC0638"/>
    <w:rsid w:val="00BC06A2"/>
    <w:rsid w:val="00BC0767"/>
    <w:rsid w:val="00BC0840"/>
    <w:rsid w:val="00BC08C0"/>
    <w:rsid w:val="00BC0918"/>
    <w:rsid w:val="00BC0934"/>
    <w:rsid w:val="00BC094D"/>
    <w:rsid w:val="00BC0A4D"/>
    <w:rsid w:val="00BC0AF4"/>
    <w:rsid w:val="00BC0BE0"/>
    <w:rsid w:val="00BC0D77"/>
    <w:rsid w:val="00BC0D86"/>
    <w:rsid w:val="00BC0E7F"/>
    <w:rsid w:val="00BC0EC2"/>
    <w:rsid w:val="00BC100C"/>
    <w:rsid w:val="00BC1018"/>
    <w:rsid w:val="00BC1023"/>
    <w:rsid w:val="00BC1077"/>
    <w:rsid w:val="00BC10AA"/>
    <w:rsid w:val="00BC10CC"/>
    <w:rsid w:val="00BC1242"/>
    <w:rsid w:val="00BC156C"/>
    <w:rsid w:val="00BC16AA"/>
    <w:rsid w:val="00BC16ED"/>
    <w:rsid w:val="00BC170E"/>
    <w:rsid w:val="00BC172A"/>
    <w:rsid w:val="00BC1734"/>
    <w:rsid w:val="00BC1795"/>
    <w:rsid w:val="00BC1839"/>
    <w:rsid w:val="00BC1913"/>
    <w:rsid w:val="00BC19B3"/>
    <w:rsid w:val="00BC1A1A"/>
    <w:rsid w:val="00BC1A2B"/>
    <w:rsid w:val="00BC1A5B"/>
    <w:rsid w:val="00BC1BB4"/>
    <w:rsid w:val="00BC1D8C"/>
    <w:rsid w:val="00BC1D8E"/>
    <w:rsid w:val="00BC1DBF"/>
    <w:rsid w:val="00BC1EEE"/>
    <w:rsid w:val="00BC1F11"/>
    <w:rsid w:val="00BC1F42"/>
    <w:rsid w:val="00BC1FBC"/>
    <w:rsid w:val="00BC1FE7"/>
    <w:rsid w:val="00BC1FF3"/>
    <w:rsid w:val="00BC1FFA"/>
    <w:rsid w:val="00BC2074"/>
    <w:rsid w:val="00BC2134"/>
    <w:rsid w:val="00BC21CD"/>
    <w:rsid w:val="00BC23A4"/>
    <w:rsid w:val="00BC23B8"/>
    <w:rsid w:val="00BC246C"/>
    <w:rsid w:val="00BC2487"/>
    <w:rsid w:val="00BC2489"/>
    <w:rsid w:val="00BC2589"/>
    <w:rsid w:val="00BC266F"/>
    <w:rsid w:val="00BC2728"/>
    <w:rsid w:val="00BC2766"/>
    <w:rsid w:val="00BC279D"/>
    <w:rsid w:val="00BC27AF"/>
    <w:rsid w:val="00BC27BB"/>
    <w:rsid w:val="00BC2834"/>
    <w:rsid w:val="00BC28B6"/>
    <w:rsid w:val="00BC29F4"/>
    <w:rsid w:val="00BC2A7D"/>
    <w:rsid w:val="00BC2BA5"/>
    <w:rsid w:val="00BC2C0E"/>
    <w:rsid w:val="00BC2CAF"/>
    <w:rsid w:val="00BC2CF8"/>
    <w:rsid w:val="00BC2D02"/>
    <w:rsid w:val="00BC2E06"/>
    <w:rsid w:val="00BC2F14"/>
    <w:rsid w:val="00BC2FEE"/>
    <w:rsid w:val="00BC2FEF"/>
    <w:rsid w:val="00BC316E"/>
    <w:rsid w:val="00BC325C"/>
    <w:rsid w:val="00BC351D"/>
    <w:rsid w:val="00BC35CB"/>
    <w:rsid w:val="00BC3A50"/>
    <w:rsid w:val="00BC3A56"/>
    <w:rsid w:val="00BC3B9A"/>
    <w:rsid w:val="00BC3D80"/>
    <w:rsid w:val="00BC3E3D"/>
    <w:rsid w:val="00BC3E4C"/>
    <w:rsid w:val="00BC3E93"/>
    <w:rsid w:val="00BC3F33"/>
    <w:rsid w:val="00BC4047"/>
    <w:rsid w:val="00BC404E"/>
    <w:rsid w:val="00BC4054"/>
    <w:rsid w:val="00BC41FB"/>
    <w:rsid w:val="00BC437B"/>
    <w:rsid w:val="00BC4450"/>
    <w:rsid w:val="00BC44D0"/>
    <w:rsid w:val="00BC44E8"/>
    <w:rsid w:val="00BC4506"/>
    <w:rsid w:val="00BC46A4"/>
    <w:rsid w:val="00BC46A6"/>
    <w:rsid w:val="00BC4787"/>
    <w:rsid w:val="00BC479F"/>
    <w:rsid w:val="00BC4871"/>
    <w:rsid w:val="00BC48C3"/>
    <w:rsid w:val="00BC48E5"/>
    <w:rsid w:val="00BC493F"/>
    <w:rsid w:val="00BC4A23"/>
    <w:rsid w:val="00BC4A84"/>
    <w:rsid w:val="00BC4B94"/>
    <w:rsid w:val="00BC4C7C"/>
    <w:rsid w:val="00BC4C8B"/>
    <w:rsid w:val="00BC4E83"/>
    <w:rsid w:val="00BC4EAF"/>
    <w:rsid w:val="00BC4F2E"/>
    <w:rsid w:val="00BC4F8D"/>
    <w:rsid w:val="00BC4F93"/>
    <w:rsid w:val="00BC4FD0"/>
    <w:rsid w:val="00BC4FFC"/>
    <w:rsid w:val="00BC51C1"/>
    <w:rsid w:val="00BC52A3"/>
    <w:rsid w:val="00BC538E"/>
    <w:rsid w:val="00BC53BC"/>
    <w:rsid w:val="00BC548D"/>
    <w:rsid w:val="00BC54ED"/>
    <w:rsid w:val="00BC555D"/>
    <w:rsid w:val="00BC5591"/>
    <w:rsid w:val="00BC560C"/>
    <w:rsid w:val="00BC5632"/>
    <w:rsid w:val="00BC567A"/>
    <w:rsid w:val="00BC56EA"/>
    <w:rsid w:val="00BC5749"/>
    <w:rsid w:val="00BC596E"/>
    <w:rsid w:val="00BC5A4C"/>
    <w:rsid w:val="00BC5DD3"/>
    <w:rsid w:val="00BC5E92"/>
    <w:rsid w:val="00BC5F39"/>
    <w:rsid w:val="00BC5F8A"/>
    <w:rsid w:val="00BC6350"/>
    <w:rsid w:val="00BC63BE"/>
    <w:rsid w:val="00BC640D"/>
    <w:rsid w:val="00BC641F"/>
    <w:rsid w:val="00BC64B5"/>
    <w:rsid w:val="00BC6708"/>
    <w:rsid w:val="00BC6813"/>
    <w:rsid w:val="00BC6A5D"/>
    <w:rsid w:val="00BC6CA7"/>
    <w:rsid w:val="00BC6D2F"/>
    <w:rsid w:val="00BC6D4A"/>
    <w:rsid w:val="00BC6FC2"/>
    <w:rsid w:val="00BC72CF"/>
    <w:rsid w:val="00BC735A"/>
    <w:rsid w:val="00BC737E"/>
    <w:rsid w:val="00BC7406"/>
    <w:rsid w:val="00BC74E0"/>
    <w:rsid w:val="00BC75BF"/>
    <w:rsid w:val="00BC77A3"/>
    <w:rsid w:val="00BC785B"/>
    <w:rsid w:val="00BC7887"/>
    <w:rsid w:val="00BC7943"/>
    <w:rsid w:val="00BC7AD0"/>
    <w:rsid w:val="00BC7B68"/>
    <w:rsid w:val="00BC7EA5"/>
    <w:rsid w:val="00BC7F83"/>
    <w:rsid w:val="00BC7FAA"/>
    <w:rsid w:val="00BC7FAB"/>
    <w:rsid w:val="00BD0105"/>
    <w:rsid w:val="00BD0151"/>
    <w:rsid w:val="00BD0154"/>
    <w:rsid w:val="00BD0197"/>
    <w:rsid w:val="00BD024B"/>
    <w:rsid w:val="00BD0318"/>
    <w:rsid w:val="00BD03A0"/>
    <w:rsid w:val="00BD041E"/>
    <w:rsid w:val="00BD0689"/>
    <w:rsid w:val="00BD0952"/>
    <w:rsid w:val="00BD09E8"/>
    <w:rsid w:val="00BD0AA7"/>
    <w:rsid w:val="00BD0AE7"/>
    <w:rsid w:val="00BD0B92"/>
    <w:rsid w:val="00BD0BDA"/>
    <w:rsid w:val="00BD0C88"/>
    <w:rsid w:val="00BD0CA7"/>
    <w:rsid w:val="00BD0D89"/>
    <w:rsid w:val="00BD0DB5"/>
    <w:rsid w:val="00BD0DB9"/>
    <w:rsid w:val="00BD0E88"/>
    <w:rsid w:val="00BD0E9A"/>
    <w:rsid w:val="00BD0F7D"/>
    <w:rsid w:val="00BD1007"/>
    <w:rsid w:val="00BD1102"/>
    <w:rsid w:val="00BD118E"/>
    <w:rsid w:val="00BD12CD"/>
    <w:rsid w:val="00BD1394"/>
    <w:rsid w:val="00BD14EE"/>
    <w:rsid w:val="00BD1579"/>
    <w:rsid w:val="00BD1824"/>
    <w:rsid w:val="00BD1B77"/>
    <w:rsid w:val="00BD1B9D"/>
    <w:rsid w:val="00BD1C2D"/>
    <w:rsid w:val="00BD1D37"/>
    <w:rsid w:val="00BD1E06"/>
    <w:rsid w:val="00BD1FB4"/>
    <w:rsid w:val="00BD20BE"/>
    <w:rsid w:val="00BD2169"/>
    <w:rsid w:val="00BD21D3"/>
    <w:rsid w:val="00BD23B1"/>
    <w:rsid w:val="00BD24EF"/>
    <w:rsid w:val="00BD25D3"/>
    <w:rsid w:val="00BD260D"/>
    <w:rsid w:val="00BD26F8"/>
    <w:rsid w:val="00BD2707"/>
    <w:rsid w:val="00BD2759"/>
    <w:rsid w:val="00BD286F"/>
    <w:rsid w:val="00BD2918"/>
    <w:rsid w:val="00BD2A6A"/>
    <w:rsid w:val="00BD2A95"/>
    <w:rsid w:val="00BD2AE4"/>
    <w:rsid w:val="00BD2BAA"/>
    <w:rsid w:val="00BD2BDF"/>
    <w:rsid w:val="00BD2BF5"/>
    <w:rsid w:val="00BD2D16"/>
    <w:rsid w:val="00BD2D5A"/>
    <w:rsid w:val="00BD2E62"/>
    <w:rsid w:val="00BD2FF5"/>
    <w:rsid w:val="00BD3170"/>
    <w:rsid w:val="00BD319D"/>
    <w:rsid w:val="00BD33CD"/>
    <w:rsid w:val="00BD3496"/>
    <w:rsid w:val="00BD34C8"/>
    <w:rsid w:val="00BD37D3"/>
    <w:rsid w:val="00BD3817"/>
    <w:rsid w:val="00BD3819"/>
    <w:rsid w:val="00BD391C"/>
    <w:rsid w:val="00BD39AA"/>
    <w:rsid w:val="00BD3A45"/>
    <w:rsid w:val="00BD3A56"/>
    <w:rsid w:val="00BD3B31"/>
    <w:rsid w:val="00BD3B7F"/>
    <w:rsid w:val="00BD3D33"/>
    <w:rsid w:val="00BD3DE0"/>
    <w:rsid w:val="00BD417F"/>
    <w:rsid w:val="00BD41A6"/>
    <w:rsid w:val="00BD41F6"/>
    <w:rsid w:val="00BD4243"/>
    <w:rsid w:val="00BD42C4"/>
    <w:rsid w:val="00BD4516"/>
    <w:rsid w:val="00BD4684"/>
    <w:rsid w:val="00BD494D"/>
    <w:rsid w:val="00BD4B2A"/>
    <w:rsid w:val="00BD4C0B"/>
    <w:rsid w:val="00BD4C82"/>
    <w:rsid w:val="00BD4CE6"/>
    <w:rsid w:val="00BD4DAE"/>
    <w:rsid w:val="00BD4DE3"/>
    <w:rsid w:val="00BD4F1C"/>
    <w:rsid w:val="00BD4FC4"/>
    <w:rsid w:val="00BD503A"/>
    <w:rsid w:val="00BD5079"/>
    <w:rsid w:val="00BD518F"/>
    <w:rsid w:val="00BD5385"/>
    <w:rsid w:val="00BD5461"/>
    <w:rsid w:val="00BD54D2"/>
    <w:rsid w:val="00BD5586"/>
    <w:rsid w:val="00BD566D"/>
    <w:rsid w:val="00BD56F3"/>
    <w:rsid w:val="00BD578A"/>
    <w:rsid w:val="00BD591E"/>
    <w:rsid w:val="00BD598C"/>
    <w:rsid w:val="00BD59F1"/>
    <w:rsid w:val="00BD5A6E"/>
    <w:rsid w:val="00BD5B08"/>
    <w:rsid w:val="00BD5D90"/>
    <w:rsid w:val="00BD5DCF"/>
    <w:rsid w:val="00BD5E67"/>
    <w:rsid w:val="00BD5F0F"/>
    <w:rsid w:val="00BD5F75"/>
    <w:rsid w:val="00BD613B"/>
    <w:rsid w:val="00BD6166"/>
    <w:rsid w:val="00BD6251"/>
    <w:rsid w:val="00BD6285"/>
    <w:rsid w:val="00BD631A"/>
    <w:rsid w:val="00BD637D"/>
    <w:rsid w:val="00BD63B4"/>
    <w:rsid w:val="00BD6471"/>
    <w:rsid w:val="00BD64B0"/>
    <w:rsid w:val="00BD65FD"/>
    <w:rsid w:val="00BD6670"/>
    <w:rsid w:val="00BD66AD"/>
    <w:rsid w:val="00BD6764"/>
    <w:rsid w:val="00BD6943"/>
    <w:rsid w:val="00BD6A88"/>
    <w:rsid w:val="00BD6B95"/>
    <w:rsid w:val="00BD6BA2"/>
    <w:rsid w:val="00BD6C31"/>
    <w:rsid w:val="00BD6C9C"/>
    <w:rsid w:val="00BD6F16"/>
    <w:rsid w:val="00BD6F75"/>
    <w:rsid w:val="00BD6F9E"/>
    <w:rsid w:val="00BD70BE"/>
    <w:rsid w:val="00BD70D8"/>
    <w:rsid w:val="00BD71EB"/>
    <w:rsid w:val="00BD71EC"/>
    <w:rsid w:val="00BD728C"/>
    <w:rsid w:val="00BD7322"/>
    <w:rsid w:val="00BD7356"/>
    <w:rsid w:val="00BD738C"/>
    <w:rsid w:val="00BD7436"/>
    <w:rsid w:val="00BD746E"/>
    <w:rsid w:val="00BD7699"/>
    <w:rsid w:val="00BD774E"/>
    <w:rsid w:val="00BD7953"/>
    <w:rsid w:val="00BD7964"/>
    <w:rsid w:val="00BD7A06"/>
    <w:rsid w:val="00BD7A78"/>
    <w:rsid w:val="00BD7B10"/>
    <w:rsid w:val="00BD7B60"/>
    <w:rsid w:val="00BD7BB8"/>
    <w:rsid w:val="00BD7BD7"/>
    <w:rsid w:val="00BD7CD3"/>
    <w:rsid w:val="00BD7DC6"/>
    <w:rsid w:val="00BE0050"/>
    <w:rsid w:val="00BE01CF"/>
    <w:rsid w:val="00BE0380"/>
    <w:rsid w:val="00BE03DB"/>
    <w:rsid w:val="00BE0416"/>
    <w:rsid w:val="00BE0421"/>
    <w:rsid w:val="00BE04B2"/>
    <w:rsid w:val="00BE077D"/>
    <w:rsid w:val="00BE0793"/>
    <w:rsid w:val="00BE07B8"/>
    <w:rsid w:val="00BE0921"/>
    <w:rsid w:val="00BE0984"/>
    <w:rsid w:val="00BE099F"/>
    <w:rsid w:val="00BE09E5"/>
    <w:rsid w:val="00BE0BB6"/>
    <w:rsid w:val="00BE0BDB"/>
    <w:rsid w:val="00BE0D04"/>
    <w:rsid w:val="00BE0E1B"/>
    <w:rsid w:val="00BE0E46"/>
    <w:rsid w:val="00BE0E6A"/>
    <w:rsid w:val="00BE0F11"/>
    <w:rsid w:val="00BE0FE4"/>
    <w:rsid w:val="00BE1026"/>
    <w:rsid w:val="00BE10AD"/>
    <w:rsid w:val="00BE1180"/>
    <w:rsid w:val="00BE11BC"/>
    <w:rsid w:val="00BE1335"/>
    <w:rsid w:val="00BE13CF"/>
    <w:rsid w:val="00BE142F"/>
    <w:rsid w:val="00BE1565"/>
    <w:rsid w:val="00BE1644"/>
    <w:rsid w:val="00BE16CD"/>
    <w:rsid w:val="00BE170B"/>
    <w:rsid w:val="00BE171A"/>
    <w:rsid w:val="00BE1795"/>
    <w:rsid w:val="00BE17AC"/>
    <w:rsid w:val="00BE185A"/>
    <w:rsid w:val="00BE19D9"/>
    <w:rsid w:val="00BE1A20"/>
    <w:rsid w:val="00BE1B66"/>
    <w:rsid w:val="00BE1C3D"/>
    <w:rsid w:val="00BE1D6F"/>
    <w:rsid w:val="00BE1E38"/>
    <w:rsid w:val="00BE1F28"/>
    <w:rsid w:val="00BE1F6D"/>
    <w:rsid w:val="00BE1FB1"/>
    <w:rsid w:val="00BE2220"/>
    <w:rsid w:val="00BE2366"/>
    <w:rsid w:val="00BE24D9"/>
    <w:rsid w:val="00BE251E"/>
    <w:rsid w:val="00BE25FB"/>
    <w:rsid w:val="00BE28D3"/>
    <w:rsid w:val="00BE28EB"/>
    <w:rsid w:val="00BE2994"/>
    <w:rsid w:val="00BE29B0"/>
    <w:rsid w:val="00BE2A73"/>
    <w:rsid w:val="00BE2B59"/>
    <w:rsid w:val="00BE2BB1"/>
    <w:rsid w:val="00BE2BD2"/>
    <w:rsid w:val="00BE2C8D"/>
    <w:rsid w:val="00BE2DE9"/>
    <w:rsid w:val="00BE3038"/>
    <w:rsid w:val="00BE3247"/>
    <w:rsid w:val="00BE326A"/>
    <w:rsid w:val="00BE3345"/>
    <w:rsid w:val="00BE33B7"/>
    <w:rsid w:val="00BE345A"/>
    <w:rsid w:val="00BE34A8"/>
    <w:rsid w:val="00BE36C9"/>
    <w:rsid w:val="00BE37EC"/>
    <w:rsid w:val="00BE3876"/>
    <w:rsid w:val="00BE38CF"/>
    <w:rsid w:val="00BE3915"/>
    <w:rsid w:val="00BE3961"/>
    <w:rsid w:val="00BE3BA2"/>
    <w:rsid w:val="00BE3BD6"/>
    <w:rsid w:val="00BE3CFB"/>
    <w:rsid w:val="00BE3DA9"/>
    <w:rsid w:val="00BE3E65"/>
    <w:rsid w:val="00BE3F35"/>
    <w:rsid w:val="00BE3F57"/>
    <w:rsid w:val="00BE3FBD"/>
    <w:rsid w:val="00BE4169"/>
    <w:rsid w:val="00BE428A"/>
    <w:rsid w:val="00BE42D2"/>
    <w:rsid w:val="00BE42F3"/>
    <w:rsid w:val="00BE442C"/>
    <w:rsid w:val="00BE4466"/>
    <w:rsid w:val="00BE4484"/>
    <w:rsid w:val="00BE4610"/>
    <w:rsid w:val="00BE473C"/>
    <w:rsid w:val="00BE47DA"/>
    <w:rsid w:val="00BE48A1"/>
    <w:rsid w:val="00BE48D2"/>
    <w:rsid w:val="00BE493E"/>
    <w:rsid w:val="00BE4974"/>
    <w:rsid w:val="00BE4A29"/>
    <w:rsid w:val="00BE4AA1"/>
    <w:rsid w:val="00BE4C30"/>
    <w:rsid w:val="00BE4DE2"/>
    <w:rsid w:val="00BE4EBF"/>
    <w:rsid w:val="00BE501F"/>
    <w:rsid w:val="00BE5028"/>
    <w:rsid w:val="00BE5035"/>
    <w:rsid w:val="00BE504B"/>
    <w:rsid w:val="00BE5246"/>
    <w:rsid w:val="00BE530C"/>
    <w:rsid w:val="00BE55EE"/>
    <w:rsid w:val="00BE5689"/>
    <w:rsid w:val="00BE577A"/>
    <w:rsid w:val="00BE5921"/>
    <w:rsid w:val="00BE5A72"/>
    <w:rsid w:val="00BE5A9E"/>
    <w:rsid w:val="00BE5B3E"/>
    <w:rsid w:val="00BE5BD7"/>
    <w:rsid w:val="00BE5C92"/>
    <w:rsid w:val="00BE5CED"/>
    <w:rsid w:val="00BE5D25"/>
    <w:rsid w:val="00BE5D49"/>
    <w:rsid w:val="00BE5D6D"/>
    <w:rsid w:val="00BE5D8A"/>
    <w:rsid w:val="00BE5F1B"/>
    <w:rsid w:val="00BE5F51"/>
    <w:rsid w:val="00BE5FA0"/>
    <w:rsid w:val="00BE5FF3"/>
    <w:rsid w:val="00BE6045"/>
    <w:rsid w:val="00BE6051"/>
    <w:rsid w:val="00BE61D0"/>
    <w:rsid w:val="00BE6234"/>
    <w:rsid w:val="00BE63D9"/>
    <w:rsid w:val="00BE6408"/>
    <w:rsid w:val="00BE6483"/>
    <w:rsid w:val="00BE654E"/>
    <w:rsid w:val="00BE659D"/>
    <w:rsid w:val="00BE65E4"/>
    <w:rsid w:val="00BE6690"/>
    <w:rsid w:val="00BE66BF"/>
    <w:rsid w:val="00BE66E5"/>
    <w:rsid w:val="00BE671B"/>
    <w:rsid w:val="00BE6733"/>
    <w:rsid w:val="00BE685B"/>
    <w:rsid w:val="00BE6954"/>
    <w:rsid w:val="00BE6A63"/>
    <w:rsid w:val="00BE6A82"/>
    <w:rsid w:val="00BE6C7D"/>
    <w:rsid w:val="00BE6C95"/>
    <w:rsid w:val="00BE6D84"/>
    <w:rsid w:val="00BE6EF4"/>
    <w:rsid w:val="00BE70A9"/>
    <w:rsid w:val="00BE70DF"/>
    <w:rsid w:val="00BE713A"/>
    <w:rsid w:val="00BE715E"/>
    <w:rsid w:val="00BE72E7"/>
    <w:rsid w:val="00BE7494"/>
    <w:rsid w:val="00BE7634"/>
    <w:rsid w:val="00BE7639"/>
    <w:rsid w:val="00BE778B"/>
    <w:rsid w:val="00BE77B1"/>
    <w:rsid w:val="00BE782F"/>
    <w:rsid w:val="00BE7852"/>
    <w:rsid w:val="00BE78E5"/>
    <w:rsid w:val="00BE7A95"/>
    <w:rsid w:val="00BE7BAD"/>
    <w:rsid w:val="00BE7BB7"/>
    <w:rsid w:val="00BE7C7C"/>
    <w:rsid w:val="00BE7D03"/>
    <w:rsid w:val="00BE7E37"/>
    <w:rsid w:val="00BE7E57"/>
    <w:rsid w:val="00BE7F3D"/>
    <w:rsid w:val="00BF0127"/>
    <w:rsid w:val="00BF0159"/>
    <w:rsid w:val="00BF0174"/>
    <w:rsid w:val="00BF018D"/>
    <w:rsid w:val="00BF01F3"/>
    <w:rsid w:val="00BF021D"/>
    <w:rsid w:val="00BF059D"/>
    <w:rsid w:val="00BF08B8"/>
    <w:rsid w:val="00BF0A5B"/>
    <w:rsid w:val="00BF0A98"/>
    <w:rsid w:val="00BF0ACF"/>
    <w:rsid w:val="00BF0B56"/>
    <w:rsid w:val="00BF0B7C"/>
    <w:rsid w:val="00BF0C80"/>
    <w:rsid w:val="00BF0C8F"/>
    <w:rsid w:val="00BF0DCB"/>
    <w:rsid w:val="00BF0EDD"/>
    <w:rsid w:val="00BF0FB5"/>
    <w:rsid w:val="00BF105B"/>
    <w:rsid w:val="00BF11EA"/>
    <w:rsid w:val="00BF13A2"/>
    <w:rsid w:val="00BF1539"/>
    <w:rsid w:val="00BF1646"/>
    <w:rsid w:val="00BF1678"/>
    <w:rsid w:val="00BF16B7"/>
    <w:rsid w:val="00BF16C0"/>
    <w:rsid w:val="00BF16E7"/>
    <w:rsid w:val="00BF185E"/>
    <w:rsid w:val="00BF18AD"/>
    <w:rsid w:val="00BF19D7"/>
    <w:rsid w:val="00BF1A22"/>
    <w:rsid w:val="00BF1B50"/>
    <w:rsid w:val="00BF1C4A"/>
    <w:rsid w:val="00BF1D15"/>
    <w:rsid w:val="00BF1D6E"/>
    <w:rsid w:val="00BF1E0C"/>
    <w:rsid w:val="00BF1E7B"/>
    <w:rsid w:val="00BF1EAA"/>
    <w:rsid w:val="00BF1EE0"/>
    <w:rsid w:val="00BF1F9D"/>
    <w:rsid w:val="00BF20C0"/>
    <w:rsid w:val="00BF2178"/>
    <w:rsid w:val="00BF21E1"/>
    <w:rsid w:val="00BF2247"/>
    <w:rsid w:val="00BF2312"/>
    <w:rsid w:val="00BF247B"/>
    <w:rsid w:val="00BF24A3"/>
    <w:rsid w:val="00BF255F"/>
    <w:rsid w:val="00BF25A9"/>
    <w:rsid w:val="00BF25F9"/>
    <w:rsid w:val="00BF2604"/>
    <w:rsid w:val="00BF2690"/>
    <w:rsid w:val="00BF2757"/>
    <w:rsid w:val="00BF2760"/>
    <w:rsid w:val="00BF278B"/>
    <w:rsid w:val="00BF2A75"/>
    <w:rsid w:val="00BF2C4F"/>
    <w:rsid w:val="00BF2FC2"/>
    <w:rsid w:val="00BF2FC8"/>
    <w:rsid w:val="00BF3048"/>
    <w:rsid w:val="00BF3054"/>
    <w:rsid w:val="00BF30FC"/>
    <w:rsid w:val="00BF3165"/>
    <w:rsid w:val="00BF321F"/>
    <w:rsid w:val="00BF323B"/>
    <w:rsid w:val="00BF3260"/>
    <w:rsid w:val="00BF3463"/>
    <w:rsid w:val="00BF3520"/>
    <w:rsid w:val="00BF3776"/>
    <w:rsid w:val="00BF3799"/>
    <w:rsid w:val="00BF37D1"/>
    <w:rsid w:val="00BF3811"/>
    <w:rsid w:val="00BF38A2"/>
    <w:rsid w:val="00BF39CF"/>
    <w:rsid w:val="00BF3A56"/>
    <w:rsid w:val="00BF3ADA"/>
    <w:rsid w:val="00BF3B47"/>
    <w:rsid w:val="00BF3B80"/>
    <w:rsid w:val="00BF3BEB"/>
    <w:rsid w:val="00BF3C22"/>
    <w:rsid w:val="00BF3CDF"/>
    <w:rsid w:val="00BF3E28"/>
    <w:rsid w:val="00BF3E5E"/>
    <w:rsid w:val="00BF3E99"/>
    <w:rsid w:val="00BF3ED1"/>
    <w:rsid w:val="00BF3F85"/>
    <w:rsid w:val="00BF4121"/>
    <w:rsid w:val="00BF41C7"/>
    <w:rsid w:val="00BF4216"/>
    <w:rsid w:val="00BF4228"/>
    <w:rsid w:val="00BF42B0"/>
    <w:rsid w:val="00BF4362"/>
    <w:rsid w:val="00BF4377"/>
    <w:rsid w:val="00BF43D1"/>
    <w:rsid w:val="00BF44E3"/>
    <w:rsid w:val="00BF455C"/>
    <w:rsid w:val="00BF45BE"/>
    <w:rsid w:val="00BF461F"/>
    <w:rsid w:val="00BF46C4"/>
    <w:rsid w:val="00BF4723"/>
    <w:rsid w:val="00BF4725"/>
    <w:rsid w:val="00BF47E6"/>
    <w:rsid w:val="00BF4A12"/>
    <w:rsid w:val="00BF4B50"/>
    <w:rsid w:val="00BF4D49"/>
    <w:rsid w:val="00BF4D64"/>
    <w:rsid w:val="00BF4DB6"/>
    <w:rsid w:val="00BF4DEE"/>
    <w:rsid w:val="00BF4FD6"/>
    <w:rsid w:val="00BF5037"/>
    <w:rsid w:val="00BF5116"/>
    <w:rsid w:val="00BF51F3"/>
    <w:rsid w:val="00BF5225"/>
    <w:rsid w:val="00BF5414"/>
    <w:rsid w:val="00BF5455"/>
    <w:rsid w:val="00BF54B5"/>
    <w:rsid w:val="00BF5502"/>
    <w:rsid w:val="00BF5504"/>
    <w:rsid w:val="00BF551A"/>
    <w:rsid w:val="00BF56CB"/>
    <w:rsid w:val="00BF57C3"/>
    <w:rsid w:val="00BF57C7"/>
    <w:rsid w:val="00BF57E5"/>
    <w:rsid w:val="00BF57FA"/>
    <w:rsid w:val="00BF580A"/>
    <w:rsid w:val="00BF58D1"/>
    <w:rsid w:val="00BF5923"/>
    <w:rsid w:val="00BF5993"/>
    <w:rsid w:val="00BF5A4E"/>
    <w:rsid w:val="00BF5A89"/>
    <w:rsid w:val="00BF5CC8"/>
    <w:rsid w:val="00BF5D98"/>
    <w:rsid w:val="00BF5F0E"/>
    <w:rsid w:val="00BF5F3E"/>
    <w:rsid w:val="00BF5FB7"/>
    <w:rsid w:val="00BF639E"/>
    <w:rsid w:val="00BF66C9"/>
    <w:rsid w:val="00BF67EE"/>
    <w:rsid w:val="00BF6935"/>
    <w:rsid w:val="00BF6992"/>
    <w:rsid w:val="00BF69C7"/>
    <w:rsid w:val="00BF69F7"/>
    <w:rsid w:val="00BF6B06"/>
    <w:rsid w:val="00BF6C8E"/>
    <w:rsid w:val="00BF6CF5"/>
    <w:rsid w:val="00BF6D50"/>
    <w:rsid w:val="00BF6E12"/>
    <w:rsid w:val="00BF6E47"/>
    <w:rsid w:val="00BF6EDF"/>
    <w:rsid w:val="00BF6F3E"/>
    <w:rsid w:val="00BF6F8B"/>
    <w:rsid w:val="00BF705A"/>
    <w:rsid w:val="00BF70B4"/>
    <w:rsid w:val="00BF70F8"/>
    <w:rsid w:val="00BF7141"/>
    <w:rsid w:val="00BF7225"/>
    <w:rsid w:val="00BF732C"/>
    <w:rsid w:val="00BF74B5"/>
    <w:rsid w:val="00BF75A5"/>
    <w:rsid w:val="00BF7637"/>
    <w:rsid w:val="00BF7887"/>
    <w:rsid w:val="00BF78B5"/>
    <w:rsid w:val="00BF7903"/>
    <w:rsid w:val="00BF7947"/>
    <w:rsid w:val="00BF7997"/>
    <w:rsid w:val="00BF7BE1"/>
    <w:rsid w:val="00BF7BF2"/>
    <w:rsid w:val="00BF7D20"/>
    <w:rsid w:val="00BF7D2F"/>
    <w:rsid w:val="00BF7F02"/>
    <w:rsid w:val="00BF7FF7"/>
    <w:rsid w:val="00C0028A"/>
    <w:rsid w:val="00C0038D"/>
    <w:rsid w:val="00C00451"/>
    <w:rsid w:val="00C004B2"/>
    <w:rsid w:val="00C004C4"/>
    <w:rsid w:val="00C006F2"/>
    <w:rsid w:val="00C007A5"/>
    <w:rsid w:val="00C00968"/>
    <w:rsid w:val="00C00A67"/>
    <w:rsid w:val="00C00A9B"/>
    <w:rsid w:val="00C00B5A"/>
    <w:rsid w:val="00C00CD0"/>
    <w:rsid w:val="00C00D89"/>
    <w:rsid w:val="00C00E31"/>
    <w:rsid w:val="00C00E75"/>
    <w:rsid w:val="00C00EB8"/>
    <w:rsid w:val="00C00FD8"/>
    <w:rsid w:val="00C0117D"/>
    <w:rsid w:val="00C011E8"/>
    <w:rsid w:val="00C012FF"/>
    <w:rsid w:val="00C013AC"/>
    <w:rsid w:val="00C013B3"/>
    <w:rsid w:val="00C0142B"/>
    <w:rsid w:val="00C01471"/>
    <w:rsid w:val="00C014B9"/>
    <w:rsid w:val="00C014D5"/>
    <w:rsid w:val="00C015A1"/>
    <w:rsid w:val="00C01632"/>
    <w:rsid w:val="00C019A6"/>
    <w:rsid w:val="00C019FA"/>
    <w:rsid w:val="00C01A3C"/>
    <w:rsid w:val="00C01ADB"/>
    <w:rsid w:val="00C01C20"/>
    <w:rsid w:val="00C01C36"/>
    <w:rsid w:val="00C01C7F"/>
    <w:rsid w:val="00C01E56"/>
    <w:rsid w:val="00C01E57"/>
    <w:rsid w:val="00C01E6C"/>
    <w:rsid w:val="00C01EEA"/>
    <w:rsid w:val="00C01F39"/>
    <w:rsid w:val="00C0200D"/>
    <w:rsid w:val="00C0217E"/>
    <w:rsid w:val="00C021BA"/>
    <w:rsid w:val="00C023E5"/>
    <w:rsid w:val="00C02464"/>
    <w:rsid w:val="00C025D3"/>
    <w:rsid w:val="00C025EA"/>
    <w:rsid w:val="00C0274C"/>
    <w:rsid w:val="00C0284F"/>
    <w:rsid w:val="00C02865"/>
    <w:rsid w:val="00C028BD"/>
    <w:rsid w:val="00C02A85"/>
    <w:rsid w:val="00C02B77"/>
    <w:rsid w:val="00C02C39"/>
    <w:rsid w:val="00C02C6A"/>
    <w:rsid w:val="00C02D4B"/>
    <w:rsid w:val="00C02D77"/>
    <w:rsid w:val="00C02E2D"/>
    <w:rsid w:val="00C03031"/>
    <w:rsid w:val="00C03040"/>
    <w:rsid w:val="00C030B3"/>
    <w:rsid w:val="00C030B4"/>
    <w:rsid w:val="00C030D3"/>
    <w:rsid w:val="00C03324"/>
    <w:rsid w:val="00C03383"/>
    <w:rsid w:val="00C03451"/>
    <w:rsid w:val="00C03591"/>
    <w:rsid w:val="00C036E9"/>
    <w:rsid w:val="00C03976"/>
    <w:rsid w:val="00C03B67"/>
    <w:rsid w:val="00C03CAF"/>
    <w:rsid w:val="00C03D0A"/>
    <w:rsid w:val="00C03E96"/>
    <w:rsid w:val="00C03F77"/>
    <w:rsid w:val="00C03FA3"/>
    <w:rsid w:val="00C040B7"/>
    <w:rsid w:val="00C0413A"/>
    <w:rsid w:val="00C04173"/>
    <w:rsid w:val="00C04199"/>
    <w:rsid w:val="00C0424B"/>
    <w:rsid w:val="00C04319"/>
    <w:rsid w:val="00C0431C"/>
    <w:rsid w:val="00C04367"/>
    <w:rsid w:val="00C0437A"/>
    <w:rsid w:val="00C0441D"/>
    <w:rsid w:val="00C04519"/>
    <w:rsid w:val="00C045B4"/>
    <w:rsid w:val="00C045E1"/>
    <w:rsid w:val="00C047F6"/>
    <w:rsid w:val="00C04874"/>
    <w:rsid w:val="00C0487A"/>
    <w:rsid w:val="00C048A7"/>
    <w:rsid w:val="00C04985"/>
    <w:rsid w:val="00C04A79"/>
    <w:rsid w:val="00C04D1B"/>
    <w:rsid w:val="00C04DCF"/>
    <w:rsid w:val="00C04E56"/>
    <w:rsid w:val="00C04FD7"/>
    <w:rsid w:val="00C05082"/>
    <w:rsid w:val="00C056A0"/>
    <w:rsid w:val="00C056FD"/>
    <w:rsid w:val="00C057D5"/>
    <w:rsid w:val="00C057FE"/>
    <w:rsid w:val="00C05966"/>
    <w:rsid w:val="00C05B4A"/>
    <w:rsid w:val="00C05BF2"/>
    <w:rsid w:val="00C05CBC"/>
    <w:rsid w:val="00C05CD6"/>
    <w:rsid w:val="00C05CDA"/>
    <w:rsid w:val="00C05D1A"/>
    <w:rsid w:val="00C05DED"/>
    <w:rsid w:val="00C05EB7"/>
    <w:rsid w:val="00C05F1C"/>
    <w:rsid w:val="00C06080"/>
    <w:rsid w:val="00C06108"/>
    <w:rsid w:val="00C06177"/>
    <w:rsid w:val="00C06365"/>
    <w:rsid w:val="00C063C6"/>
    <w:rsid w:val="00C06428"/>
    <w:rsid w:val="00C064F9"/>
    <w:rsid w:val="00C065BB"/>
    <w:rsid w:val="00C066A7"/>
    <w:rsid w:val="00C066F8"/>
    <w:rsid w:val="00C06797"/>
    <w:rsid w:val="00C0679F"/>
    <w:rsid w:val="00C06807"/>
    <w:rsid w:val="00C06AA6"/>
    <w:rsid w:val="00C06AF2"/>
    <w:rsid w:val="00C06AF9"/>
    <w:rsid w:val="00C06BF2"/>
    <w:rsid w:val="00C06E10"/>
    <w:rsid w:val="00C06E50"/>
    <w:rsid w:val="00C06EAC"/>
    <w:rsid w:val="00C06EF2"/>
    <w:rsid w:val="00C06FC5"/>
    <w:rsid w:val="00C06FD0"/>
    <w:rsid w:val="00C06FED"/>
    <w:rsid w:val="00C071DD"/>
    <w:rsid w:val="00C071F7"/>
    <w:rsid w:val="00C073E7"/>
    <w:rsid w:val="00C074DB"/>
    <w:rsid w:val="00C0751B"/>
    <w:rsid w:val="00C07534"/>
    <w:rsid w:val="00C07556"/>
    <w:rsid w:val="00C0757D"/>
    <w:rsid w:val="00C075D8"/>
    <w:rsid w:val="00C075EA"/>
    <w:rsid w:val="00C07604"/>
    <w:rsid w:val="00C07659"/>
    <w:rsid w:val="00C07902"/>
    <w:rsid w:val="00C07B43"/>
    <w:rsid w:val="00C07B9F"/>
    <w:rsid w:val="00C07BA2"/>
    <w:rsid w:val="00C07D58"/>
    <w:rsid w:val="00C07DFD"/>
    <w:rsid w:val="00C07E3D"/>
    <w:rsid w:val="00C1004A"/>
    <w:rsid w:val="00C10087"/>
    <w:rsid w:val="00C1015E"/>
    <w:rsid w:val="00C101B7"/>
    <w:rsid w:val="00C10348"/>
    <w:rsid w:val="00C1039D"/>
    <w:rsid w:val="00C103B6"/>
    <w:rsid w:val="00C103BB"/>
    <w:rsid w:val="00C103E3"/>
    <w:rsid w:val="00C10599"/>
    <w:rsid w:val="00C1063B"/>
    <w:rsid w:val="00C1071F"/>
    <w:rsid w:val="00C10AC5"/>
    <w:rsid w:val="00C10C61"/>
    <w:rsid w:val="00C10D81"/>
    <w:rsid w:val="00C10DA8"/>
    <w:rsid w:val="00C10E1B"/>
    <w:rsid w:val="00C11121"/>
    <w:rsid w:val="00C11223"/>
    <w:rsid w:val="00C113F0"/>
    <w:rsid w:val="00C11449"/>
    <w:rsid w:val="00C11626"/>
    <w:rsid w:val="00C11789"/>
    <w:rsid w:val="00C1178A"/>
    <w:rsid w:val="00C117AB"/>
    <w:rsid w:val="00C11820"/>
    <w:rsid w:val="00C11971"/>
    <w:rsid w:val="00C11992"/>
    <w:rsid w:val="00C11A3F"/>
    <w:rsid w:val="00C11AB5"/>
    <w:rsid w:val="00C11B4B"/>
    <w:rsid w:val="00C11BD8"/>
    <w:rsid w:val="00C11CDA"/>
    <w:rsid w:val="00C11D55"/>
    <w:rsid w:val="00C11DD9"/>
    <w:rsid w:val="00C11EB0"/>
    <w:rsid w:val="00C12489"/>
    <w:rsid w:val="00C124FE"/>
    <w:rsid w:val="00C12650"/>
    <w:rsid w:val="00C1266E"/>
    <w:rsid w:val="00C126AC"/>
    <w:rsid w:val="00C126CB"/>
    <w:rsid w:val="00C12797"/>
    <w:rsid w:val="00C12839"/>
    <w:rsid w:val="00C129A8"/>
    <w:rsid w:val="00C129C7"/>
    <w:rsid w:val="00C12A59"/>
    <w:rsid w:val="00C12A6E"/>
    <w:rsid w:val="00C12A6F"/>
    <w:rsid w:val="00C12B70"/>
    <w:rsid w:val="00C12BFB"/>
    <w:rsid w:val="00C12C26"/>
    <w:rsid w:val="00C12C77"/>
    <w:rsid w:val="00C12D93"/>
    <w:rsid w:val="00C12DAF"/>
    <w:rsid w:val="00C12DFD"/>
    <w:rsid w:val="00C12E21"/>
    <w:rsid w:val="00C12FD0"/>
    <w:rsid w:val="00C12FED"/>
    <w:rsid w:val="00C13193"/>
    <w:rsid w:val="00C131E3"/>
    <w:rsid w:val="00C1327F"/>
    <w:rsid w:val="00C132EF"/>
    <w:rsid w:val="00C134EF"/>
    <w:rsid w:val="00C134F2"/>
    <w:rsid w:val="00C135D2"/>
    <w:rsid w:val="00C136D1"/>
    <w:rsid w:val="00C137F5"/>
    <w:rsid w:val="00C139D7"/>
    <w:rsid w:val="00C13BA0"/>
    <w:rsid w:val="00C13CBE"/>
    <w:rsid w:val="00C13D29"/>
    <w:rsid w:val="00C13DEA"/>
    <w:rsid w:val="00C14008"/>
    <w:rsid w:val="00C1429A"/>
    <w:rsid w:val="00C143C6"/>
    <w:rsid w:val="00C14492"/>
    <w:rsid w:val="00C14550"/>
    <w:rsid w:val="00C145D2"/>
    <w:rsid w:val="00C146A9"/>
    <w:rsid w:val="00C14801"/>
    <w:rsid w:val="00C14803"/>
    <w:rsid w:val="00C1485A"/>
    <w:rsid w:val="00C14897"/>
    <w:rsid w:val="00C149DA"/>
    <w:rsid w:val="00C14AE2"/>
    <w:rsid w:val="00C14B4A"/>
    <w:rsid w:val="00C14D1F"/>
    <w:rsid w:val="00C14DC2"/>
    <w:rsid w:val="00C14EB1"/>
    <w:rsid w:val="00C14EDF"/>
    <w:rsid w:val="00C14F65"/>
    <w:rsid w:val="00C14FBE"/>
    <w:rsid w:val="00C15082"/>
    <w:rsid w:val="00C15229"/>
    <w:rsid w:val="00C152FE"/>
    <w:rsid w:val="00C1547E"/>
    <w:rsid w:val="00C154C8"/>
    <w:rsid w:val="00C15535"/>
    <w:rsid w:val="00C155CE"/>
    <w:rsid w:val="00C156B9"/>
    <w:rsid w:val="00C158DA"/>
    <w:rsid w:val="00C1591D"/>
    <w:rsid w:val="00C15931"/>
    <w:rsid w:val="00C15A16"/>
    <w:rsid w:val="00C15A4C"/>
    <w:rsid w:val="00C15A86"/>
    <w:rsid w:val="00C15A8D"/>
    <w:rsid w:val="00C15ADC"/>
    <w:rsid w:val="00C15B5F"/>
    <w:rsid w:val="00C15D4D"/>
    <w:rsid w:val="00C15D86"/>
    <w:rsid w:val="00C15DBD"/>
    <w:rsid w:val="00C15FBB"/>
    <w:rsid w:val="00C15FFE"/>
    <w:rsid w:val="00C16060"/>
    <w:rsid w:val="00C160D5"/>
    <w:rsid w:val="00C161EB"/>
    <w:rsid w:val="00C16350"/>
    <w:rsid w:val="00C163BB"/>
    <w:rsid w:val="00C163D9"/>
    <w:rsid w:val="00C163F9"/>
    <w:rsid w:val="00C16431"/>
    <w:rsid w:val="00C16448"/>
    <w:rsid w:val="00C165A5"/>
    <w:rsid w:val="00C166BC"/>
    <w:rsid w:val="00C166D7"/>
    <w:rsid w:val="00C166DC"/>
    <w:rsid w:val="00C16709"/>
    <w:rsid w:val="00C16770"/>
    <w:rsid w:val="00C167EC"/>
    <w:rsid w:val="00C16BE0"/>
    <w:rsid w:val="00C16C16"/>
    <w:rsid w:val="00C16D26"/>
    <w:rsid w:val="00C16D82"/>
    <w:rsid w:val="00C16E16"/>
    <w:rsid w:val="00C16E17"/>
    <w:rsid w:val="00C16F34"/>
    <w:rsid w:val="00C1704B"/>
    <w:rsid w:val="00C1705E"/>
    <w:rsid w:val="00C17122"/>
    <w:rsid w:val="00C17168"/>
    <w:rsid w:val="00C17178"/>
    <w:rsid w:val="00C17238"/>
    <w:rsid w:val="00C17263"/>
    <w:rsid w:val="00C172C3"/>
    <w:rsid w:val="00C172EB"/>
    <w:rsid w:val="00C172F3"/>
    <w:rsid w:val="00C173F1"/>
    <w:rsid w:val="00C17401"/>
    <w:rsid w:val="00C17532"/>
    <w:rsid w:val="00C1754F"/>
    <w:rsid w:val="00C175C9"/>
    <w:rsid w:val="00C17615"/>
    <w:rsid w:val="00C1768D"/>
    <w:rsid w:val="00C177F3"/>
    <w:rsid w:val="00C1788E"/>
    <w:rsid w:val="00C17896"/>
    <w:rsid w:val="00C17D53"/>
    <w:rsid w:val="00C17D65"/>
    <w:rsid w:val="00C17E7F"/>
    <w:rsid w:val="00C2014C"/>
    <w:rsid w:val="00C20262"/>
    <w:rsid w:val="00C2034A"/>
    <w:rsid w:val="00C2046A"/>
    <w:rsid w:val="00C2051A"/>
    <w:rsid w:val="00C205F4"/>
    <w:rsid w:val="00C206B2"/>
    <w:rsid w:val="00C2072A"/>
    <w:rsid w:val="00C20750"/>
    <w:rsid w:val="00C2083D"/>
    <w:rsid w:val="00C2097B"/>
    <w:rsid w:val="00C20993"/>
    <w:rsid w:val="00C209E6"/>
    <w:rsid w:val="00C20A0B"/>
    <w:rsid w:val="00C20B8E"/>
    <w:rsid w:val="00C20C25"/>
    <w:rsid w:val="00C20CA3"/>
    <w:rsid w:val="00C20CDF"/>
    <w:rsid w:val="00C20DEE"/>
    <w:rsid w:val="00C20F26"/>
    <w:rsid w:val="00C20F39"/>
    <w:rsid w:val="00C20FE0"/>
    <w:rsid w:val="00C2111D"/>
    <w:rsid w:val="00C21134"/>
    <w:rsid w:val="00C211A9"/>
    <w:rsid w:val="00C21307"/>
    <w:rsid w:val="00C213A5"/>
    <w:rsid w:val="00C213B4"/>
    <w:rsid w:val="00C21586"/>
    <w:rsid w:val="00C2165D"/>
    <w:rsid w:val="00C21730"/>
    <w:rsid w:val="00C21783"/>
    <w:rsid w:val="00C217F0"/>
    <w:rsid w:val="00C217F4"/>
    <w:rsid w:val="00C21815"/>
    <w:rsid w:val="00C2187A"/>
    <w:rsid w:val="00C219A5"/>
    <w:rsid w:val="00C21BA7"/>
    <w:rsid w:val="00C21BFD"/>
    <w:rsid w:val="00C21C11"/>
    <w:rsid w:val="00C21CC7"/>
    <w:rsid w:val="00C21CD6"/>
    <w:rsid w:val="00C21CDF"/>
    <w:rsid w:val="00C21D2A"/>
    <w:rsid w:val="00C21D65"/>
    <w:rsid w:val="00C21E50"/>
    <w:rsid w:val="00C21EC3"/>
    <w:rsid w:val="00C21ED1"/>
    <w:rsid w:val="00C21F14"/>
    <w:rsid w:val="00C21FAB"/>
    <w:rsid w:val="00C21FDB"/>
    <w:rsid w:val="00C22069"/>
    <w:rsid w:val="00C2211D"/>
    <w:rsid w:val="00C22183"/>
    <w:rsid w:val="00C222AB"/>
    <w:rsid w:val="00C2234E"/>
    <w:rsid w:val="00C22424"/>
    <w:rsid w:val="00C22551"/>
    <w:rsid w:val="00C226E5"/>
    <w:rsid w:val="00C22755"/>
    <w:rsid w:val="00C227BE"/>
    <w:rsid w:val="00C22998"/>
    <w:rsid w:val="00C22B81"/>
    <w:rsid w:val="00C22B85"/>
    <w:rsid w:val="00C22E95"/>
    <w:rsid w:val="00C22E9E"/>
    <w:rsid w:val="00C22EF0"/>
    <w:rsid w:val="00C22FBE"/>
    <w:rsid w:val="00C23137"/>
    <w:rsid w:val="00C232A6"/>
    <w:rsid w:val="00C232CD"/>
    <w:rsid w:val="00C2337E"/>
    <w:rsid w:val="00C233D5"/>
    <w:rsid w:val="00C234A9"/>
    <w:rsid w:val="00C2358A"/>
    <w:rsid w:val="00C23644"/>
    <w:rsid w:val="00C236DD"/>
    <w:rsid w:val="00C238E9"/>
    <w:rsid w:val="00C2392D"/>
    <w:rsid w:val="00C23990"/>
    <w:rsid w:val="00C23A52"/>
    <w:rsid w:val="00C23BD3"/>
    <w:rsid w:val="00C23D64"/>
    <w:rsid w:val="00C24060"/>
    <w:rsid w:val="00C24276"/>
    <w:rsid w:val="00C24286"/>
    <w:rsid w:val="00C24445"/>
    <w:rsid w:val="00C244A2"/>
    <w:rsid w:val="00C24527"/>
    <w:rsid w:val="00C24598"/>
    <w:rsid w:val="00C245D0"/>
    <w:rsid w:val="00C24639"/>
    <w:rsid w:val="00C24659"/>
    <w:rsid w:val="00C247BA"/>
    <w:rsid w:val="00C2498A"/>
    <w:rsid w:val="00C249A3"/>
    <w:rsid w:val="00C249BF"/>
    <w:rsid w:val="00C249C6"/>
    <w:rsid w:val="00C249FF"/>
    <w:rsid w:val="00C24B4F"/>
    <w:rsid w:val="00C24B58"/>
    <w:rsid w:val="00C24C6A"/>
    <w:rsid w:val="00C24D35"/>
    <w:rsid w:val="00C24D76"/>
    <w:rsid w:val="00C24F0D"/>
    <w:rsid w:val="00C24F35"/>
    <w:rsid w:val="00C24FBE"/>
    <w:rsid w:val="00C25096"/>
    <w:rsid w:val="00C25150"/>
    <w:rsid w:val="00C25160"/>
    <w:rsid w:val="00C2519D"/>
    <w:rsid w:val="00C251DD"/>
    <w:rsid w:val="00C25298"/>
    <w:rsid w:val="00C2545F"/>
    <w:rsid w:val="00C255D5"/>
    <w:rsid w:val="00C2563D"/>
    <w:rsid w:val="00C25930"/>
    <w:rsid w:val="00C25A70"/>
    <w:rsid w:val="00C25A99"/>
    <w:rsid w:val="00C25B14"/>
    <w:rsid w:val="00C25B6D"/>
    <w:rsid w:val="00C25BC6"/>
    <w:rsid w:val="00C25CFA"/>
    <w:rsid w:val="00C25D90"/>
    <w:rsid w:val="00C25E30"/>
    <w:rsid w:val="00C25EC1"/>
    <w:rsid w:val="00C2619E"/>
    <w:rsid w:val="00C262C5"/>
    <w:rsid w:val="00C26467"/>
    <w:rsid w:val="00C264F9"/>
    <w:rsid w:val="00C267AE"/>
    <w:rsid w:val="00C26BBA"/>
    <w:rsid w:val="00C26C5F"/>
    <w:rsid w:val="00C26FF3"/>
    <w:rsid w:val="00C27356"/>
    <w:rsid w:val="00C27424"/>
    <w:rsid w:val="00C276C0"/>
    <w:rsid w:val="00C2778F"/>
    <w:rsid w:val="00C27833"/>
    <w:rsid w:val="00C278B0"/>
    <w:rsid w:val="00C27900"/>
    <w:rsid w:val="00C2790B"/>
    <w:rsid w:val="00C27936"/>
    <w:rsid w:val="00C27A13"/>
    <w:rsid w:val="00C27B55"/>
    <w:rsid w:val="00C27D08"/>
    <w:rsid w:val="00C27D42"/>
    <w:rsid w:val="00C27D45"/>
    <w:rsid w:val="00C27DE9"/>
    <w:rsid w:val="00C27E66"/>
    <w:rsid w:val="00C27E9E"/>
    <w:rsid w:val="00C27FB3"/>
    <w:rsid w:val="00C3004B"/>
    <w:rsid w:val="00C3012F"/>
    <w:rsid w:val="00C3014E"/>
    <w:rsid w:val="00C3017C"/>
    <w:rsid w:val="00C302FE"/>
    <w:rsid w:val="00C30305"/>
    <w:rsid w:val="00C3037A"/>
    <w:rsid w:val="00C303F9"/>
    <w:rsid w:val="00C30589"/>
    <w:rsid w:val="00C305E4"/>
    <w:rsid w:val="00C305E8"/>
    <w:rsid w:val="00C305F4"/>
    <w:rsid w:val="00C30657"/>
    <w:rsid w:val="00C30699"/>
    <w:rsid w:val="00C3078D"/>
    <w:rsid w:val="00C307BE"/>
    <w:rsid w:val="00C30868"/>
    <w:rsid w:val="00C308C7"/>
    <w:rsid w:val="00C30974"/>
    <w:rsid w:val="00C30A0D"/>
    <w:rsid w:val="00C30D02"/>
    <w:rsid w:val="00C30D54"/>
    <w:rsid w:val="00C30E3D"/>
    <w:rsid w:val="00C3113C"/>
    <w:rsid w:val="00C312D7"/>
    <w:rsid w:val="00C312EC"/>
    <w:rsid w:val="00C314BD"/>
    <w:rsid w:val="00C314CA"/>
    <w:rsid w:val="00C3179C"/>
    <w:rsid w:val="00C31973"/>
    <w:rsid w:val="00C31998"/>
    <w:rsid w:val="00C31A20"/>
    <w:rsid w:val="00C31ABE"/>
    <w:rsid w:val="00C31AF6"/>
    <w:rsid w:val="00C31B39"/>
    <w:rsid w:val="00C31B4C"/>
    <w:rsid w:val="00C31BDA"/>
    <w:rsid w:val="00C31C17"/>
    <w:rsid w:val="00C32010"/>
    <w:rsid w:val="00C32016"/>
    <w:rsid w:val="00C32067"/>
    <w:rsid w:val="00C32532"/>
    <w:rsid w:val="00C325CE"/>
    <w:rsid w:val="00C325E3"/>
    <w:rsid w:val="00C32998"/>
    <w:rsid w:val="00C329C4"/>
    <w:rsid w:val="00C329F7"/>
    <w:rsid w:val="00C32AAB"/>
    <w:rsid w:val="00C32BB6"/>
    <w:rsid w:val="00C32CC1"/>
    <w:rsid w:val="00C33159"/>
    <w:rsid w:val="00C3338D"/>
    <w:rsid w:val="00C333FD"/>
    <w:rsid w:val="00C335F6"/>
    <w:rsid w:val="00C33668"/>
    <w:rsid w:val="00C336E7"/>
    <w:rsid w:val="00C3373D"/>
    <w:rsid w:val="00C33947"/>
    <w:rsid w:val="00C339ED"/>
    <w:rsid w:val="00C33A88"/>
    <w:rsid w:val="00C33B45"/>
    <w:rsid w:val="00C33D70"/>
    <w:rsid w:val="00C33DF3"/>
    <w:rsid w:val="00C33F88"/>
    <w:rsid w:val="00C33F8F"/>
    <w:rsid w:val="00C34131"/>
    <w:rsid w:val="00C34236"/>
    <w:rsid w:val="00C342B2"/>
    <w:rsid w:val="00C342C2"/>
    <w:rsid w:val="00C34302"/>
    <w:rsid w:val="00C34350"/>
    <w:rsid w:val="00C34405"/>
    <w:rsid w:val="00C3440A"/>
    <w:rsid w:val="00C3448C"/>
    <w:rsid w:val="00C344A0"/>
    <w:rsid w:val="00C344F9"/>
    <w:rsid w:val="00C34642"/>
    <w:rsid w:val="00C3464F"/>
    <w:rsid w:val="00C3489E"/>
    <w:rsid w:val="00C34A24"/>
    <w:rsid w:val="00C34A6C"/>
    <w:rsid w:val="00C34A6F"/>
    <w:rsid w:val="00C34B04"/>
    <w:rsid w:val="00C34B61"/>
    <w:rsid w:val="00C34C43"/>
    <w:rsid w:val="00C34D52"/>
    <w:rsid w:val="00C350C4"/>
    <w:rsid w:val="00C355B1"/>
    <w:rsid w:val="00C35635"/>
    <w:rsid w:val="00C3566B"/>
    <w:rsid w:val="00C356F3"/>
    <w:rsid w:val="00C358E5"/>
    <w:rsid w:val="00C35932"/>
    <w:rsid w:val="00C3598A"/>
    <w:rsid w:val="00C35A1A"/>
    <w:rsid w:val="00C35A65"/>
    <w:rsid w:val="00C35A69"/>
    <w:rsid w:val="00C35E2B"/>
    <w:rsid w:val="00C35E66"/>
    <w:rsid w:val="00C35EFE"/>
    <w:rsid w:val="00C35F73"/>
    <w:rsid w:val="00C36051"/>
    <w:rsid w:val="00C36095"/>
    <w:rsid w:val="00C3612A"/>
    <w:rsid w:val="00C3614F"/>
    <w:rsid w:val="00C3616B"/>
    <w:rsid w:val="00C36210"/>
    <w:rsid w:val="00C36227"/>
    <w:rsid w:val="00C36228"/>
    <w:rsid w:val="00C363B1"/>
    <w:rsid w:val="00C364AC"/>
    <w:rsid w:val="00C3650B"/>
    <w:rsid w:val="00C365B2"/>
    <w:rsid w:val="00C366D1"/>
    <w:rsid w:val="00C36725"/>
    <w:rsid w:val="00C36954"/>
    <w:rsid w:val="00C36B90"/>
    <w:rsid w:val="00C36D85"/>
    <w:rsid w:val="00C36D95"/>
    <w:rsid w:val="00C36E31"/>
    <w:rsid w:val="00C36E84"/>
    <w:rsid w:val="00C36E96"/>
    <w:rsid w:val="00C36F0B"/>
    <w:rsid w:val="00C36F41"/>
    <w:rsid w:val="00C37051"/>
    <w:rsid w:val="00C371DB"/>
    <w:rsid w:val="00C372DD"/>
    <w:rsid w:val="00C37350"/>
    <w:rsid w:val="00C3735B"/>
    <w:rsid w:val="00C37365"/>
    <w:rsid w:val="00C37393"/>
    <w:rsid w:val="00C37407"/>
    <w:rsid w:val="00C3749D"/>
    <w:rsid w:val="00C375EC"/>
    <w:rsid w:val="00C3760D"/>
    <w:rsid w:val="00C37758"/>
    <w:rsid w:val="00C37860"/>
    <w:rsid w:val="00C378D5"/>
    <w:rsid w:val="00C37961"/>
    <w:rsid w:val="00C37972"/>
    <w:rsid w:val="00C37BCE"/>
    <w:rsid w:val="00C37BF3"/>
    <w:rsid w:val="00C37C19"/>
    <w:rsid w:val="00C37D6F"/>
    <w:rsid w:val="00C37DAD"/>
    <w:rsid w:val="00C37E48"/>
    <w:rsid w:val="00C4008C"/>
    <w:rsid w:val="00C40140"/>
    <w:rsid w:val="00C40220"/>
    <w:rsid w:val="00C407FC"/>
    <w:rsid w:val="00C40855"/>
    <w:rsid w:val="00C408A4"/>
    <w:rsid w:val="00C40968"/>
    <w:rsid w:val="00C4099B"/>
    <w:rsid w:val="00C40A0F"/>
    <w:rsid w:val="00C40A11"/>
    <w:rsid w:val="00C40A23"/>
    <w:rsid w:val="00C40A83"/>
    <w:rsid w:val="00C40B18"/>
    <w:rsid w:val="00C40B42"/>
    <w:rsid w:val="00C40C1A"/>
    <w:rsid w:val="00C40C71"/>
    <w:rsid w:val="00C40C9D"/>
    <w:rsid w:val="00C40CD7"/>
    <w:rsid w:val="00C40D25"/>
    <w:rsid w:val="00C40E3D"/>
    <w:rsid w:val="00C40E4A"/>
    <w:rsid w:val="00C40F02"/>
    <w:rsid w:val="00C40F09"/>
    <w:rsid w:val="00C40F0B"/>
    <w:rsid w:val="00C40FA3"/>
    <w:rsid w:val="00C4102C"/>
    <w:rsid w:val="00C410B0"/>
    <w:rsid w:val="00C411E6"/>
    <w:rsid w:val="00C41239"/>
    <w:rsid w:val="00C41389"/>
    <w:rsid w:val="00C414B9"/>
    <w:rsid w:val="00C418E9"/>
    <w:rsid w:val="00C41A9E"/>
    <w:rsid w:val="00C41ABF"/>
    <w:rsid w:val="00C41B44"/>
    <w:rsid w:val="00C41BEB"/>
    <w:rsid w:val="00C41CA2"/>
    <w:rsid w:val="00C41D3D"/>
    <w:rsid w:val="00C41D98"/>
    <w:rsid w:val="00C41DAE"/>
    <w:rsid w:val="00C41FB6"/>
    <w:rsid w:val="00C42087"/>
    <w:rsid w:val="00C420DB"/>
    <w:rsid w:val="00C420E4"/>
    <w:rsid w:val="00C421D6"/>
    <w:rsid w:val="00C4222C"/>
    <w:rsid w:val="00C4229D"/>
    <w:rsid w:val="00C4230E"/>
    <w:rsid w:val="00C423F0"/>
    <w:rsid w:val="00C42720"/>
    <w:rsid w:val="00C42827"/>
    <w:rsid w:val="00C42942"/>
    <w:rsid w:val="00C429A4"/>
    <w:rsid w:val="00C42A15"/>
    <w:rsid w:val="00C42B7B"/>
    <w:rsid w:val="00C42B7C"/>
    <w:rsid w:val="00C42BA6"/>
    <w:rsid w:val="00C42C38"/>
    <w:rsid w:val="00C42C6D"/>
    <w:rsid w:val="00C42D3C"/>
    <w:rsid w:val="00C42DAE"/>
    <w:rsid w:val="00C42E5A"/>
    <w:rsid w:val="00C42F7B"/>
    <w:rsid w:val="00C42FA7"/>
    <w:rsid w:val="00C4307A"/>
    <w:rsid w:val="00C433F6"/>
    <w:rsid w:val="00C433FF"/>
    <w:rsid w:val="00C4341A"/>
    <w:rsid w:val="00C434A4"/>
    <w:rsid w:val="00C434E4"/>
    <w:rsid w:val="00C43841"/>
    <w:rsid w:val="00C43A3D"/>
    <w:rsid w:val="00C43B1B"/>
    <w:rsid w:val="00C43C13"/>
    <w:rsid w:val="00C43CAF"/>
    <w:rsid w:val="00C43E69"/>
    <w:rsid w:val="00C43F4B"/>
    <w:rsid w:val="00C4404B"/>
    <w:rsid w:val="00C4407A"/>
    <w:rsid w:val="00C4411D"/>
    <w:rsid w:val="00C441F8"/>
    <w:rsid w:val="00C4421A"/>
    <w:rsid w:val="00C44388"/>
    <w:rsid w:val="00C44491"/>
    <w:rsid w:val="00C445C0"/>
    <w:rsid w:val="00C445CF"/>
    <w:rsid w:val="00C446A3"/>
    <w:rsid w:val="00C446D9"/>
    <w:rsid w:val="00C44714"/>
    <w:rsid w:val="00C447F7"/>
    <w:rsid w:val="00C4486F"/>
    <w:rsid w:val="00C44950"/>
    <w:rsid w:val="00C44A0F"/>
    <w:rsid w:val="00C44AAA"/>
    <w:rsid w:val="00C44BF6"/>
    <w:rsid w:val="00C44D66"/>
    <w:rsid w:val="00C44EE6"/>
    <w:rsid w:val="00C44F1E"/>
    <w:rsid w:val="00C44F86"/>
    <w:rsid w:val="00C4516A"/>
    <w:rsid w:val="00C4521F"/>
    <w:rsid w:val="00C4527C"/>
    <w:rsid w:val="00C45353"/>
    <w:rsid w:val="00C45361"/>
    <w:rsid w:val="00C453ED"/>
    <w:rsid w:val="00C45415"/>
    <w:rsid w:val="00C45436"/>
    <w:rsid w:val="00C454DA"/>
    <w:rsid w:val="00C45550"/>
    <w:rsid w:val="00C455E3"/>
    <w:rsid w:val="00C45679"/>
    <w:rsid w:val="00C456BD"/>
    <w:rsid w:val="00C4583D"/>
    <w:rsid w:val="00C45857"/>
    <w:rsid w:val="00C45992"/>
    <w:rsid w:val="00C45AA9"/>
    <w:rsid w:val="00C45B9F"/>
    <w:rsid w:val="00C45BA3"/>
    <w:rsid w:val="00C45BEF"/>
    <w:rsid w:val="00C45C01"/>
    <w:rsid w:val="00C45CC8"/>
    <w:rsid w:val="00C45D01"/>
    <w:rsid w:val="00C45E71"/>
    <w:rsid w:val="00C45EB5"/>
    <w:rsid w:val="00C45F86"/>
    <w:rsid w:val="00C45FC0"/>
    <w:rsid w:val="00C45FD1"/>
    <w:rsid w:val="00C45FEB"/>
    <w:rsid w:val="00C45FFD"/>
    <w:rsid w:val="00C46053"/>
    <w:rsid w:val="00C46071"/>
    <w:rsid w:val="00C46100"/>
    <w:rsid w:val="00C46103"/>
    <w:rsid w:val="00C46108"/>
    <w:rsid w:val="00C4628B"/>
    <w:rsid w:val="00C463A6"/>
    <w:rsid w:val="00C464EC"/>
    <w:rsid w:val="00C4659E"/>
    <w:rsid w:val="00C46636"/>
    <w:rsid w:val="00C46682"/>
    <w:rsid w:val="00C466E7"/>
    <w:rsid w:val="00C4672D"/>
    <w:rsid w:val="00C4672F"/>
    <w:rsid w:val="00C4693D"/>
    <w:rsid w:val="00C469AD"/>
    <w:rsid w:val="00C469E4"/>
    <w:rsid w:val="00C46B57"/>
    <w:rsid w:val="00C46BCC"/>
    <w:rsid w:val="00C46BDF"/>
    <w:rsid w:val="00C46EBE"/>
    <w:rsid w:val="00C46F0D"/>
    <w:rsid w:val="00C46F88"/>
    <w:rsid w:val="00C47042"/>
    <w:rsid w:val="00C47277"/>
    <w:rsid w:val="00C472C0"/>
    <w:rsid w:val="00C473AA"/>
    <w:rsid w:val="00C47414"/>
    <w:rsid w:val="00C47484"/>
    <w:rsid w:val="00C474B2"/>
    <w:rsid w:val="00C47550"/>
    <w:rsid w:val="00C475C8"/>
    <w:rsid w:val="00C47702"/>
    <w:rsid w:val="00C477E6"/>
    <w:rsid w:val="00C478ED"/>
    <w:rsid w:val="00C478EF"/>
    <w:rsid w:val="00C4790C"/>
    <w:rsid w:val="00C479FD"/>
    <w:rsid w:val="00C47B8D"/>
    <w:rsid w:val="00C47D4A"/>
    <w:rsid w:val="00C47F40"/>
    <w:rsid w:val="00C50031"/>
    <w:rsid w:val="00C5007A"/>
    <w:rsid w:val="00C5016B"/>
    <w:rsid w:val="00C502C9"/>
    <w:rsid w:val="00C50447"/>
    <w:rsid w:val="00C504C3"/>
    <w:rsid w:val="00C50646"/>
    <w:rsid w:val="00C50823"/>
    <w:rsid w:val="00C50966"/>
    <w:rsid w:val="00C50970"/>
    <w:rsid w:val="00C50A26"/>
    <w:rsid w:val="00C50A55"/>
    <w:rsid w:val="00C50A79"/>
    <w:rsid w:val="00C50B3F"/>
    <w:rsid w:val="00C50C2D"/>
    <w:rsid w:val="00C50C4B"/>
    <w:rsid w:val="00C50EB4"/>
    <w:rsid w:val="00C51021"/>
    <w:rsid w:val="00C51081"/>
    <w:rsid w:val="00C5117D"/>
    <w:rsid w:val="00C51187"/>
    <w:rsid w:val="00C511C4"/>
    <w:rsid w:val="00C51228"/>
    <w:rsid w:val="00C5124F"/>
    <w:rsid w:val="00C51491"/>
    <w:rsid w:val="00C51550"/>
    <w:rsid w:val="00C51630"/>
    <w:rsid w:val="00C51693"/>
    <w:rsid w:val="00C51730"/>
    <w:rsid w:val="00C51818"/>
    <w:rsid w:val="00C51835"/>
    <w:rsid w:val="00C51A29"/>
    <w:rsid w:val="00C51B6F"/>
    <w:rsid w:val="00C51C94"/>
    <w:rsid w:val="00C51C95"/>
    <w:rsid w:val="00C51D5F"/>
    <w:rsid w:val="00C51F25"/>
    <w:rsid w:val="00C5210F"/>
    <w:rsid w:val="00C52160"/>
    <w:rsid w:val="00C52384"/>
    <w:rsid w:val="00C523B8"/>
    <w:rsid w:val="00C523F5"/>
    <w:rsid w:val="00C52515"/>
    <w:rsid w:val="00C52604"/>
    <w:rsid w:val="00C527B1"/>
    <w:rsid w:val="00C5285D"/>
    <w:rsid w:val="00C52A0D"/>
    <w:rsid w:val="00C52A6F"/>
    <w:rsid w:val="00C52A8F"/>
    <w:rsid w:val="00C52AB5"/>
    <w:rsid w:val="00C52B6C"/>
    <w:rsid w:val="00C52BDA"/>
    <w:rsid w:val="00C52D63"/>
    <w:rsid w:val="00C52D84"/>
    <w:rsid w:val="00C52EC0"/>
    <w:rsid w:val="00C53157"/>
    <w:rsid w:val="00C532A3"/>
    <w:rsid w:val="00C53343"/>
    <w:rsid w:val="00C5339E"/>
    <w:rsid w:val="00C533C8"/>
    <w:rsid w:val="00C533DA"/>
    <w:rsid w:val="00C534F5"/>
    <w:rsid w:val="00C53531"/>
    <w:rsid w:val="00C5353A"/>
    <w:rsid w:val="00C5379C"/>
    <w:rsid w:val="00C538A1"/>
    <w:rsid w:val="00C538BE"/>
    <w:rsid w:val="00C5391F"/>
    <w:rsid w:val="00C53A57"/>
    <w:rsid w:val="00C53A77"/>
    <w:rsid w:val="00C53ACC"/>
    <w:rsid w:val="00C53B19"/>
    <w:rsid w:val="00C53B54"/>
    <w:rsid w:val="00C53C90"/>
    <w:rsid w:val="00C53EB3"/>
    <w:rsid w:val="00C53F24"/>
    <w:rsid w:val="00C53F71"/>
    <w:rsid w:val="00C540E1"/>
    <w:rsid w:val="00C54132"/>
    <w:rsid w:val="00C5416A"/>
    <w:rsid w:val="00C54195"/>
    <w:rsid w:val="00C541B1"/>
    <w:rsid w:val="00C5428E"/>
    <w:rsid w:val="00C54309"/>
    <w:rsid w:val="00C544E5"/>
    <w:rsid w:val="00C54643"/>
    <w:rsid w:val="00C547C1"/>
    <w:rsid w:val="00C54817"/>
    <w:rsid w:val="00C54825"/>
    <w:rsid w:val="00C548FE"/>
    <w:rsid w:val="00C54926"/>
    <w:rsid w:val="00C54AD4"/>
    <w:rsid w:val="00C54B5B"/>
    <w:rsid w:val="00C54B5C"/>
    <w:rsid w:val="00C54DA0"/>
    <w:rsid w:val="00C54DC8"/>
    <w:rsid w:val="00C54E8D"/>
    <w:rsid w:val="00C54ED0"/>
    <w:rsid w:val="00C54EEF"/>
    <w:rsid w:val="00C54FA2"/>
    <w:rsid w:val="00C550F8"/>
    <w:rsid w:val="00C5510C"/>
    <w:rsid w:val="00C5514B"/>
    <w:rsid w:val="00C55155"/>
    <w:rsid w:val="00C5518E"/>
    <w:rsid w:val="00C551DE"/>
    <w:rsid w:val="00C55257"/>
    <w:rsid w:val="00C55270"/>
    <w:rsid w:val="00C553AE"/>
    <w:rsid w:val="00C553E0"/>
    <w:rsid w:val="00C553E9"/>
    <w:rsid w:val="00C553F7"/>
    <w:rsid w:val="00C5549D"/>
    <w:rsid w:val="00C55520"/>
    <w:rsid w:val="00C5561C"/>
    <w:rsid w:val="00C5564B"/>
    <w:rsid w:val="00C55772"/>
    <w:rsid w:val="00C55774"/>
    <w:rsid w:val="00C557D3"/>
    <w:rsid w:val="00C558FE"/>
    <w:rsid w:val="00C5599D"/>
    <w:rsid w:val="00C55C09"/>
    <w:rsid w:val="00C55C25"/>
    <w:rsid w:val="00C55C86"/>
    <w:rsid w:val="00C55C8A"/>
    <w:rsid w:val="00C55D7E"/>
    <w:rsid w:val="00C55F3D"/>
    <w:rsid w:val="00C5608C"/>
    <w:rsid w:val="00C56109"/>
    <w:rsid w:val="00C561DC"/>
    <w:rsid w:val="00C5620D"/>
    <w:rsid w:val="00C563B5"/>
    <w:rsid w:val="00C563D3"/>
    <w:rsid w:val="00C56448"/>
    <w:rsid w:val="00C566B1"/>
    <w:rsid w:val="00C569C4"/>
    <w:rsid w:val="00C56A76"/>
    <w:rsid w:val="00C56BE5"/>
    <w:rsid w:val="00C56BEF"/>
    <w:rsid w:val="00C56CA3"/>
    <w:rsid w:val="00C56D5D"/>
    <w:rsid w:val="00C56DD5"/>
    <w:rsid w:val="00C56E1A"/>
    <w:rsid w:val="00C56E53"/>
    <w:rsid w:val="00C56F23"/>
    <w:rsid w:val="00C56F3D"/>
    <w:rsid w:val="00C56F40"/>
    <w:rsid w:val="00C57088"/>
    <w:rsid w:val="00C570DC"/>
    <w:rsid w:val="00C57111"/>
    <w:rsid w:val="00C5717C"/>
    <w:rsid w:val="00C57398"/>
    <w:rsid w:val="00C573A1"/>
    <w:rsid w:val="00C57456"/>
    <w:rsid w:val="00C574DC"/>
    <w:rsid w:val="00C576B6"/>
    <w:rsid w:val="00C57737"/>
    <w:rsid w:val="00C57821"/>
    <w:rsid w:val="00C5782D"/>
    <w:rsid w:val="00C579EB"/>
    <w:rsid w:val="00C57A46"/>
    <w:rsid w:val="00C57CE1"/>
    <w:rsid w:val="00C57CF9"/>
    <w:rsid w:val="00C57F07"/>
    <w:rsid w:val="00C57F3E"/>
    <w:rsid w:val="00C57F46"/>
    <w:rsid w:val="00C57FB8"/>
    <w:rsid w:val="00C6025B"/>
    <w:rsid w:val="00C602C1"/>
    <w:rsid w:val="00C6031E"/>
    <w:rsid w:val="00C60342"/>
    <w:rsid w:val="00C603C5"/>
    <w:rsid w:val="00C604A6"/>
    <w:rsid w:val="00C6055A"/>
    <w:rsid w:val="00C60563"/>
    <w:rsid w:val="00C60827"/>
    <w:rsid w:val="00C60833"/>
    <w:rsid w:val="00C609D7"/>
    <w:rsid w:val="00C60A18"/>
    <w:rsid w:val="00C60B4E"/>
    <w:rsid w:val="00C60BE9"/>
    <w:rsid w:val="00C60BEC"/>
    <w:rsid w:val="00C60C8E"/>
    <w:rsid w:val="00C60F4A"/>
    <w:rsid w:val="00C610BC"/>
    <w:rsid w:val="00C61110"/>
    <w:rsid w:val="00C61125"/>
    <w:rsid w:val="00C6117C"/>
    <w:rsid w:val="00C61227"/>
    <w:rsid w:val="00C61234"/>
    <w:rsid w:val="00C612C8"/>
    <w:rsid w:val="00C61304"/>
    <w:rsid w:val="00C61311"/>
    <w:rsid w:val="00C613D2"/>
    <w:rsid w:val="00C61540"/>
    <w:rsid w:val="00C615F9"/>
    <w:rsid w:val="00C61703"/>
    <w:rsid w:val="00C61763"/>
    <w:rsid w:val="00C61843"/>
    <w:rsid w:val="00C6184C"/>
    <w:rsid w:val="00C61A1E"/>
    <w:rsid w:val="00C61AC1"/>
    <w:rsid w:val="00C61AC6"/>
    <w:rsid w:val="00C61AE6"/>
    <w:rsid w:val="00C61B7D"/>
    <w:rsid w:val="00C61BFF"/>
    <w:rsid w:val="00C61C67"/>
    <w:rsid w:val="00C61C74"/>
    <w:rsid w:val="00C61C88"/>
    <w:rsid w:val="00C61F0B"/>
    <w:rsid w:val="00C62015"/>
    <w:rsid w:val="00C620C2"/>
    <w:rsid w:val="00C62260"/>
    <w:rsid w:val="00C6228D"/>
    <w:rsid w:val="00C622D2"/>
    <w:rsid w:val="00C622ED"/>
    <w:rsid w:val="00C623A2"/>
    <w:rsid w:val="00C62445"/>
    <w:rsid w:val="00C62656"/>
    <w:rsid w:val="00C62764"/>
    <w:rsid w:val="00C62769"/>
    <w:rsid w:val="00C628B5"/>
    <w:rsid w:val="00C628C0"/>
    <w:rsid w:val="00C6297D"/>
    <w:rsid w:val="00C62B2F"/>
    <w:rsid w:val="00C62B5D"/>
    <w:rsid w:val="00C62B70"/>
    <w:rsid w:val="00C62CA7"/>
    <w:rsid w:val="00C62CF6"/>
    <w:rsid w:val="00C62D51"/>
    <w:rsid w:val="00C62DA5"/>
    <w:rsid w:val="00C62EFE"/>
    <w:rsid w:val="00C62F80"/>
    <w:rsid w:val="00C62F9F"/>
    <w:rsid w:val="00C630D4"/>
    <w:rsid w:val="00C6312A"/>
    <w:rsid w:val="00C63176"/>
    <w:rsid w:val="00C631D3"/>
    <w:rsid w:val="00C63250"/>
    <w:rsid w:val="00C632CF"/>
    <w:rsid w:val="00C6330F"/>
    <w:rsid w:val="00C6335A"/>
    <w:rsid w:val="00C63366"/>
    <w:rsid w:val="00C6339C"/>
    <w:rsid w:val="00C63537"/>
    <w:rsid w:val="00C6365B"/>
    <w:rsid w:val="00C6371F"/>
    <w:rsid w:val="00C638B5"/>
    <w:rsid w:val="00C638E5"/>
    <w:rsid w:val="00C6395D"/>
    <w:rsid w:val="00C63998"/>
    <w:rsid w:val="00C63AB1"/>
    <w:rsid w:val="00C63DDD"/>
    <w:rsid w:val="00C6410B"/>
    <w:rsid w:val="00C64297"/>
    <w:rsid w:val="00C642FE"/>
    <w:rsid w:val="00C6436E"/>
    <w:rsid w:val="00C6445C"/>
    <w:rsid w:val="00C644EB"/>
    <w:rsid w:val="00C6455C"/>
    <w:rsid w:val="00C645D6"/>
    <w:rsid w:val="00C645FF"/>
    <w:rsid w:val="00C64728"/>
    <w:rsid w:val="00C647D8"/>
    <w:rsid w:val="00C6485B"/>
    <w:rsid w:val="00C64875"/>
    <w:rsid w:val="00C648FA"/>
    <w:rsid w:val="00C64984"/>
    <w:rsid w:val="00C649CE"/>
    <w:rsid w:val="00C64A8B"/>
    <w:rsid w:val="00C64B56"/>
    <w:rsid w:val="00C64B9C"/>
    <w:rsid w:val="00C64C66"/>
    <w:rsid w:val="00C64CCD"/>
    <w:rsid w:val="00C64D72"/>
    <w:rsid w:val="00C64D82"/>
    <w:rsid w:val="00C64E8A"/>
    <w:rsid w:val="00C64F3D"/>
    <w:rsid w:val="00C64F8E"/>
    <w:rsid w:val="00C64FB3"/>
    <w:rsid w:val="00C65163"/>
    <w:rsid w:val="00C6528F"/>
    <w:rsid w:val="00C652B3"/>
    <w:rsid w:val="00C653D2"/>
    <w:rsid w:val="00C65417"/>
    <w:rsid w:val="00C6563D"/>
    <w:rsid w:val="00C658BA"/>
    <w:rsid w:val="00C659D7"/>
    <w:rsid w:val="00C65A45"/>
    <w:rsid w:val="00C65A65"/>
    <w:rsid w:val="00C65B84"/>
    <w:rsid w:val="00C65BC3"/>
    <w:rsid w:val="00C65D18"/>
    <w:rsid w:val="00C65D1F"/>
    <w:rsid w:val="00C65D92"/>
    <w:rsid w:val="00C65F37"/>
    <w:rsid w:val="00C65FA8"/>
    <w:rsid w:val="00C65FCA"/>
    <w:rsid w:val="00C660B9"/>
    <w:rsid w:val="00C6619B"/>
    <w:rsid w:val="00C661F4"/>
    <w:rsid w:val="00C6625A"/>
    <w:rsid w:val="00C66296"/>
    <w:rsid w:val="00C66569"/>
    <w:rsid w:val="00C665FF"/>
    <w:rsid w:val="00C6660F"/>
    <w:rsid w:val="00C666D9"/>
    <w:rsid w:val="00C66770"/>
    <w:rsid w:val="00C66835"/>
    <w:rsid w:val="00C6683B"/>
    <w:rsid w:val="00C66959"/>
    <w:rsid w:val="00C66A0E"/>
    <w:rsid w:val="00C66A21"/>
    <w:rsid w:val="00C66B29"/>
    <w:rsid w:val="00C66C16"/>
    <w:rsid w:val="00C66CD6"/>
    <w:rsid w:val="00C66DF8"/>
    <w:rsid w:val="00C66E32"/>
    <w:rsid w:val="00C66F3F"/>
    <w:rsid w:val="00C67046"/>
    <w:rsid w:val="00C673A4"/>
    <w:rsid w:val="00C673B3"/>
    <w:rsid w:val="00C6742F"/>
    <w:rsid w:val="00C67445"/>
    <w:rsid w:val="00C6748E"/>
    <w:rsid w:val="00C67530"/>
    <w:rsid w:val="00C67593"/>
    <w:rsid w:val="00C6789E"/>
    <w:rsid w:val="00C679B7"/>
    <w:rsid w:val="00C679E1"/>
    <w:rsid w:val="00C67A90"/>
    <w:rsid w:val="00C67B1F"/>
    <w:rsid w:val="00C67C28"/>
    <w:rsid w:val="00C67E7F"/>
    <w:rsid w:val="00C67F42"/>
    <w:rsid w:val="00C67F73"/>
    <w:rsid w:val="00C67FB2"/>
    <w:rsid w:val="00C67FE9"/>
    <w:rsid w:val="00C70143"/>
    <w:rsid w:val="00C7023C"/>
    <w:rsid w:val="00C702B6"/>
    <w:rsid w:val="00C702C7"/>
    <w:rsid w:val="00C703C4"/>
    <w:rsid w:val="00C70507"/>
    <w:rsid w:val="00C70543"/>
    <w:rsid w:val="00C705E2"/>
    <w:rsid w:val="00C70634"/>
    <w:rsid w:val="00C70689"/>
    <w:rsid w:val="00C706E2"/>
    <w:rsid w:val="00C70869"/>
    <w:rsid w:val="00C708B9"/>
    <w:rsid w:val="00C70927"/>
    <w:rsid w:val="00C70A97"/>
    <w:rsid w:val="00C70BDE"/>
    <w:rsid w:val="00C70C01"/>
    <w:rsid w:val="00C70C7A"/>
    <w:rsid w:val="00C70D58"/>
    <w:rsid w:val="00C70F8C"/>
    <w:rsid w:val="00C7125D"/>
    <w:rsid w:val="00C71313"/>
    <w:rsid w:val="00C71318"/>
    <w:rsid w:val="00C71323"/>
    <w:rsid w:val="00C71383"/>
    <w:rsid w:val="00C71414"/>
    <w:rsid w:val="00C7143A"/>
    <w:rsid w:val="00C71494"/>
    <w:rsid w:val="00C714AA"/>
    <w:rsid w:val="00C7150F"/>
    <w:rsid w:val="00C7152D"/>
    <w:rsid w:val="00C71553"/>
    <w:rsid w:val="00C71605"/>
    <w:rsid w:val="00C717FE"/>
    <w:rsid w:val="00C71925"/>
    <w:rsid w:val="00C71D50"/>
    <w:rsid w:val="00C71F87"/>
    <w:rsid w:val="00C7207A"/>
    <w:rsid w:val="00C720C3"/>
    <w:rsid w:val="00C723D7"/>
    <w:rsid w:val="00C724C5"/>
    <w:rsid w:val="00C72761"/>
    <w:rsid w:val="00C727A1"/>
    <w:rsid w:val="00C727B7"/>
    <w:rsid w:val="00C728B3"/>
    <w:rsid w:val="00C728F4"/>
    <w:rsid w:val="00C729F8"/>
    <w:rsid w:val="00C72A12"/>
    <w:rsid w:val="00C72CDE"/>
    <w:rsid w:val="00C72D92"/>
    <w:rsid w:val="00C7301C"/>
    <w:rsid w:val="00C73303"/>
    <w:rsid w:val="00C7339B"/>
    <w:rsid w:val="00C7346A"/>
    <w:rsid w:val="00C7349F"/>
    <w:rsid w:val="00C734F2"/>
    <w:rsid w:val="00C73769"/>
    <w:rsid w:val="00C7380E"/>
    <w:rsid w:val="00C73B23"/>
    <w:rsid w:val="00C73F08"/>
    <w:rsid w:val="00C741CE"/>
    <w:rsid w:val="00C741EE"/>
    <w:rsid w:val="00C7429C"/>
    <w:rsid w:val="00C742D4"/>
    <w:rsid w:val="00C742DD"/>
    <w:rsid w:val="00C7443B"/>
    <w:rsid w:val="00C745B0"/>
    <w:rsid w:val="00C74731"/>
    <w:rsid w:val="00C74870"/>
    <w:rsid w:val="00C74ACC"/>
    <w:rsid w:val="00C74BB0"/>
    <w:rsid w:val="00C74BF8"/>
    <w:rsid w:val="00C74C81"/>
    <w:rsid w:val="00C74E06"/>
    <w:rsid w:val="00C751DE"/>
    <w:rsid w:val="00C7525A"/>
    <w:rsid w:val="00C753D7"/>
    <w:rsid w:val="00C75417"/>
    <w:rsid w:val="00C756D1"/>
    <w:rsid w:val="00C75753"/>
    <w:rsid w:val="00C7586E"/>
    <w:rsid w:val="00C758B7"/>
    <w:rsid w:val="00C7597B"/>
    <w:rsid w:val="00C75B63"/>
    <w:rsid w:val="00C75BE2"/>
    <w:rsid w:val="00C75CFB"/>
    <w:rsid w:val="00C75D2F"/>
    <w:rsid w:val="00C75D55"/>
    <w:rsid w:val="00C75D8C"/>
    <w:rsid w:val="00C75F3B"/>
    <w:rsid w:val="00C76093"/>
    <w:rsid w:val="00C76288"/>
    <w:rsid w:val="00C762EB"/>
    <w:rsid w:val="00C76368"/>
    <w:rsid w:val="00C763DE"/>
    <w:rsid w:val="00C76450"/>
    <w:rsid w:val="00C76528"/>
    <w:rsid w:val="00C76719"/>
    <w:rsid w:val="00C76770"/>
    <w:rsid w:val="00C7685A"/>
    <w:rsid w:val="00C76AAF"/>
    <w:rsid w:val="00C76ACB"/>
    <w:rsid w:val="00C76B4B"/>
    <w:rsid w:val="00C76B7F"/>
    <w:rsid w:val="00C76BA9"/>
    <w:rsid w:val="00C76CB6"/>
    <w:rsid w:val="00C76CBB"/>
    <w:rsid w:val="00C76D91"/>
    <w:rsid w:val="00C76DD2"/>
    <w:rsid w:val="00C76DED"/>
    <w:rsid w:val="00C76E28"/>
    <w:rsid w:val="00C76EA7"/>
    <w:rsid w:val="00C76F96"/>
    <w:rsid w:val="00C76FA7"/>
    <w:rsid w:val="00C77030"/>
    <w:rsid w:val="00C770E0"/>
    <w:rsid w:val="00C772DC"/>
    <w:rsid w:val="00C7775A"/>
    <w:rsid w:val="00C777F2"/>
    <w:rsid w:val="00C7780E"/>
    <w:rsid w:val="00C77847"/>
    <w:rsid w:val="00C7789B"/>
    <w:rsid w:val="00C7797A"/>
    <w:rsid w:val="00C779FE"/>
    <w:rsid w:val="00C77A8D"/>
    <w:rsid w:val="00C77C30"/>
    <w:rsid w:val="00C77DAF"/>
    <w:rsid w:val="00C77E91"/>
    <w:rsid w:val="00C77F03"/>
    <w:rsid w:val="00C80190"/>
    <w:rsid w:val="00C801DA"/>
    <w:rsid w:val="00C8022D"/>
    <w:rsid w:val="00C803AE"/>
    <w:rsid w:val="00C804C0"/>
    <w:rsid w:val="00C80598"/>
    <w:rsid w:val="00C805D3"/>
    <w:rsid w:val="00C8060C"/>
    <w:rsid w:val="00C8060E"/>
    <w:rsid w:val="00C80632"/>
    <w:rsid w:val="00C806A4"/>
    <w:rsid w:val="00C80778"/>
    <w:rsid w:val="00C80884"/>
    <w:rsid w:val="00C80B04"/>
    <w:rsid w:val="00C80BEC"/>
    <w:rsid w:val="00C80C3F"/>
    <w:rsid w:val="00C80D6F"/>
    <w:rsid w:val="00C80FAB"/>
    <w:rsid w:val="00C8112C"/>
    <w:rsid w:val="00C81178"/>
    <w:rsid w:val="00C813DD"/>
    <w:rsid w:val="00C81498"/>
    <w:rsid w:val="00C81551"/>
    <w:rsid w:val="00C815CC"/>
    <w:rsid w:val="00C816D1"/>
    <w:rsid w:val="00C81787"/>
    <w:rsid w:val="00C819D0"/>
    <w:rsid w:val="00C81AC9"/>
    <w:rsid w:val="00C81B0A"/>
    <w:rsid w:val="00C81B0C"/>
    <w:rsid w:val="00C81B64"/>
    <w:rsid w:val="00C81BCE"/>
    <w:rsid w:val="00C81BEB"/>
    <w:rsid w:val="00C81C19"/>
    <w:rsid w:val="00C81C86"/>
    <w:rsid w:val="00C81D35"/>
    <w:rsid w:val="00C81DF2"/>
    <w:rsid w:val="00C81E94"/>
    <w:rsid w:val="00C81ECB"/>
    <w:rsid w:val="00C81F84"/>
    <w:rsid w:val="00C81FB7"/>
    <w:rsid w:val="00C81FC4"/>
    <w:rsid w:val="00C82039"/>
    <w:rsid w:val="00C82170"/>
    <w:rsid w:val="00C821B4"/>
    <w:rsid w:val="00C822F0"/>
    <w:rsid w:val="00C82388"/>
    <w:rsid w:val="00C82447"/>
    <w:rsid w:val="00C824B1"/>
    <w:rsid w:val="00C82564"/>
    <w:rsid w:val="00C825FB"/>
    <w:rsid w:val="00C82648"/>
    <w:rsid w:val="00C8278F"/>
    <w:rsid w:val="00C82943"/>
    <w:rsid w:val="00C82AB0"/>
    <w:rsid w:val="00C82AF7"/>
    <w:rsid w:val="00C82B8F"/>
    <w:rsid w:val="00C82BAD"/>
    <w:rsid w:val="00C82BB4"/>
    <w:rsid w:val="00C82C17"/>
    <w:rsid w:val="00C82D20"/>
    <w:rsid w:val="00C82D8A"/>
    <w:rsid w:val="00C82E44"/>
    <w:rsid w:val="00C82FD1"/>
    <w:rsid w:val="00C83105"/>
    <w:rsid w:val="00C832B0"/>
    <w:rsid w:val="00C832C6"/>
    <w:rsid w:val="00C83385"/>
    <w:rsid w:val="00C834DE"/>
    <w:rsid w:val="00C83559"/>
    <w:rsid w:val="00C835BA"/>
    <w:rsid w:val="00C83618"/>
    <w:rsid w:val="00C8366B"/>
    <w:rsid w:val="00C83BCA"/>
    <w:rsid w:val="00C83C07"/>
    <w:rsid w:val="00C83CBD"/>
    <w:rsid w:val="00C83CEF"/>
    <w:rsid w:val="00C83D1E"/>
    <w:rsid w:val="00C83D27"/>
    <w:rsid w:val="00C83D9C"/>
    <w:rsid w:val="00C83FD1"/>
    <w:rsid w:val="00C84069"/>
    <w:rsid w:val="00C840A8"/>
    <w:rsid w:val="00C841DC"/>
    <w:rsid w:val="00C8426D"/>
    <w:rsid w:val="00C842DB"/>
    <w:rsid w:val="00C842F0"/>
    <w:rsid w:val="00C8436E"/>
    <w:rsid w:val="00C84748"/>
    <w:rsid w:val="00C8479F"/>
    <w:rsid w:val="00C847F6"/>
    <w:rsid w:val="00C84843"/>
    <w:rsid w:val="00C848ED"/>
    <w:rsid w:val="00C84A98"/>
    <w:rsid w:val="00C84BAD"/>
    <w:rsid w:val="00C84D11"/>
    <w:rsid w:val="00C84E1E"/>
    <w:rsid w:val="00C84E8C"/>
    <w:rsid w:val="00C84EE5"/>
    <w:rsid w:val="00C84F03"/>
    <w:rsid w:val="00C84F42"/>
    <w:rsid w:val="00C84F9F"/>
    <w:rsid w:val="00C852C0"/>
    <w:rsid w:val="00C853E8"/>
    <w:rsid w:val="00C854A1"/>
    <w:rsid w:val="00C8563A"/>
    <w:rsid w:val="00C8573F"/>
    <w:rsid w:val="00C857A7"/>
    <w:rsid w:val="00C85871"/>
    <w:rsid w:val="00C8598A"/>
    <w:rsid w:val="00C859EB"/>
    <w:rsid w:val="00C85A91"/>
    <w:rsid w:val="00C85C25"/>
    <w:rsid w:val="00C85CBA"/>
    <w:rsid w:val="00C85D18"/>
    <w:rsid w:val="00C85D63"/>
    <w:rsid w:val="00C85DED"/>
    <w:rsid w:val="00C85E2F"/>
    <w:rsid w:val="00C85EBA"/>
    <w:rsid w:val="00C85FE7"/>
    <w:rsid w:val="00C86208"/>
    <w:rsid w:val="00C862B2"/>
    <w:rsid w:val="00C863CB"/>
    <w:rsid w:val="00C863CD"/>
    <w:rsid w:val="00C86568"/>
    <w:rsid w:val="00C86716"/>
    <w:rsid w:val="00C8684F"/>
    <w:rsid w:val="00C86A18"/>
    <w:rsid w:val="00C86A30"/>
    <w:rsid w:val="00C86B04"/>
    <w:rsid w:val="00C86BD7"/>
    <w:rsid w:val="00C86C40"/>
    <w:rsid w:val="00C86D21"/>
    <w:rsid w:val="00C86E2E"/>
    <w:rsid w:val="00C86F9E"/>
    <w:rsid w:val="00C86FDE"/>
    <w:rsid w:val="00C8703B"/>
    <w:rsid w:val="00C87091"/>
    <w:rsid w:val="00C8712A"/>
    <w:rsid w:val="00C872D4"/>
    <w:rsid w:val="00C8740D"/>
    <w:rsid w:val="00C87517"/>
    <w:rsid w:val="00C8756C"/>
    <w:rsid w:val="00C876E0"/>
    <w:rsid w:val="00C876F7"/>
    <w:rsid w:val="00C8785B"/>
    <w:rsid w:val="00C878A6"/>
    <w:rsid w:val="00C87ABA"/>
    <w:rsid w:val="00C87AC7"/>
    <w:rsid w:val="00C87CF4"/>
    <w:rsid w:val="00C87D56"/>
    <w:rsid w:val="00C87D81"/>
    <w:rsid w:val="00C87D87"/>
    <w:rsid w:val="00C902B8"/>
    <w:rsid w:val="00C90331"/>
    <w:rsid w:val="00C903A2"/>
    <w:rsid w:val="00C9042C"/>
    <w:rsid w:val="00C904BC"/>
    <w:rsid w:val="00C906C7"/>
    <w:rsid w:val="00C90739"/>
    <w:rsid w:val="00C9080A"/>
    <w:rsid w:val="00C90909"/>
    <w:rsid w:val="00C909B1"/>
    <w:rsid w:val="00C90B1B"/>
    <w:rsid w:val="00C90D19"/>
    <w:rsid w:val="00C90D2A"/>
    <w:rsid w:val="00C90EF1"/>
    <w:rsid w:val="00C9103B"/>
    <w:rsid w:val="00C910B4"/>
    <w:rsid w:val="00C911A3"/>
    <w:rsid w:val="00C911C4"/>
    <w:rsid w:val="00C912F6"/>
    <w:rsid w:val="00C91366"/>
    <w:rsid w:val="00C913C5"/>
    <w:rsid w:val="00C91558"/>
    <w:rsid w:val="00C91623"/>
    <w:rsid w:val="00C91779"/>
    <w:rsid w:val="00C9177E"/>
    <w:rsid w:val="00C9179E"/>
    <w:rsid w:val="00C918C8"/>
    <w:rsid w:val="00C91922"/>
    <w:rsid w:val="00C91A68"/>
    <w:rsid w:val="00C91BD3"/>
    <w:rsid w:val="00C91D4D"/>
    <w:rsid w:val="00C91E63"/>
    <w:rsid w:val="00C91E76"/>
    <w:rsid w:val="00C91EE1"/>
    <w:rsid w:val="00C91EE9"/>
    <w:rsid w:val="00C91F54"/>
    <w:rsid w:val="00C9227A"/>
    <w:rsid w:val="00C92454"/>
    <w:rsid w:val="00C924B4"/>
    <w:rsid w:val="00C924CA"/>
    <w:rsid w:val="00C9260D"/>
    <w:rsid w:val="00C9262A"/>
    <w:rsid w:val="00C92659"/>
    <w:rsid w:val="00C92779"/>
    <w:rsid w:val="00C927C2"/>
    <w:rsid w:val="00C9282D"/>
    <w:rsid w:val="00C92A74"/>
    <w:rsid w:val="00C92AAC"/>
    <w:rsid w:val="00C92BB4"/>
    <w:rsid w:val="00C92D48"/>
    <w:rsid w:val="00C92E9C"/>
    <w:rsid w:val="00C92F58"/>
    <w:rsid w:val="00C92FFF"/>
    <w:rsid w:val="00C93012"/>
    <w:rsid w:val="00C9306B"/>
    <w:rsid w:val="00C93077"/>
    <w:rsid w:val="00C93113"/>
    <w:rsid w:val="00C93190"/>
    <w:rsid w:val="00C93226"/>
    <w:rsid w:val="00C932E1"/>
    <w:rsid w:val="00C933BF"/>
    <w:rsid w:val="00C933E0"/>
    <w:rsid w:val="00C9345A"/>
    <w:rsid w:val="00C93539"/>
    <w:rsid w:val="00C93761"/>
    <w:rsid w:val="00C93894"/>
    <w:rsid w:val="00C938E0"/>
    <w:rsid w:val="00C93931"/>
    <w:rsid w:val="00C93945"/>
    <w:rsid w:val="00C93A5D"/>
    <w:rsid w:val="00C93BC9"/>
    <w:rsid w:val="00C93C44"/>
    <w:rsid w:val="00C93CC2"/>
    <w:rsid w:val="00C93D86"/>
    <w:rsid w:val="00C93DE1"/>
    <w:rsid w:val="00C93E4E"/>
    <w:rsid w:val="00C9409E"/>
    <w:rsid w:val="00C9414F"/>
    <w:rsid w:val="00C94232"/>
    <w:rsid w:val="00C94290"/>
    <w:rsid w:val="00C944AF"/>
    <w:rsid w:val="00C945A4"/>
    <w:rsid w:val="00C945CE"/>
    <w:rsid w:val="00C946D4"/>
    <w:rsid w:val="00C94796"/>
    <w:rsid w:val="00C9481F"/>
    <w:rsid w:val="00C94853"/>
    <w:rsid w:val="00C948D6"/>
    <w:rsid w:val="00C94947"/>
    <w:rsid w:val="00C949E9"/>
    <w:rsid w:val="00C94A2B"/>
    <w:rsid w:val="00C94AE8"/>
    <w:rsid w:val="00C94D1F"/>
    <w:rsid w:val="00C94DBC"/>
    <w:rsid w:val="00C94ED2"/>
    <w:rsid w:val="00C94F8B"/>
    <w:rsid w:val="00C94FB2"/>
    <w:rsid w:val="00C9500D"/>
    <w:rsid w:val="00C95057"/>
    <w:rsid w:val="00C95124"/>
    <w:rsid w:val="00C95160"/>
    <w:rsid w:val="00C9516D"/>
    <w:rsid w:val="00C951D5"/>
    <w:rsid w:val="00C9530D"/>
    <w:rsid w:val="00C95333"/>
    <w:rsid w:val="00C954A3"/>
    <w:rsid w:val="00C95694"/>
    <w:rsid w:val="00C956D0"/>
    <w:rsid w:val="00C95777"/>
    <w:rsid w:val="00C95953"/>
    <w:rsid w:val="00C95990"/>
    <w:rsid w:val="00C95B35"/>
    <w:rsid w:val="00C95B55"/>
    <w:rsid w:val="00C95BB4"/>
    <w:rsid w:val="00C95E74"/>
    <w:rsid w:val="00C95EB4"/>
    <w:rsid w:val="00C95F5D"/>
    <w:rsid w:val="00C95FFA"/>
    <w:rsid w:val="00C960F6"/>
    <w:rsid w:val="00C96197"/>
    <w:rsid w:val="00C9620C"/>
    <w:rsid w:val="00C96381"/>
    <w:rsid w:val="00C9640A"/>
    <w:rsid w:val="00C9653A"/>
    <w:rsid w:val="00C96578"/>
    <w:rsid w:val="00C96591"/>
    <w:rsid w:val="00C967F6"/>
    <w:rsid w:val="00C967F7"/>
    <w:rsid w:val="00C96819"/>
    <w:rsid w:val="00C96825"/>
    <w:rsid w:val="00C9685E"/>
    <w:rsid w:val="00C96888"/>
    <w:rsid w:val="00C96A24"/>
    <w:rsid w:val="00C96A66"/>
    <w:rsid w:val="00C96A97"/>
    <w:rsid w:val="00C96BDF"/>
    <w:rsid w:val="00C96C08"/>
    <w:rsid w:val="00C96C89"/>
    <w:rsid w:val="00C96CEF"/>
    <w:rsid w:val="00C96DDB"/>
    <w:rsid w:val="00C96FAC"/>
    <w:rsid w:val="00C970C5"/>
    <w:rsid w:val="00C970CF"/>
    <w:rsid w:val="00C9734D"/>
    <w:rsid w:val="00C973B9"/>
    <w:rsid w:val="00C97431"/>
    <w:rsid w:val="00C9764F"/>
    <w:rsid w:val="00C9769E"/>
    <w:rsid w:val="00C976A7"/>
    <w:rsid w:val="00C976FF"/>
    <w:rsid w:val="00C9773D"/>
    <w:rsid w:val="00C977C6"/>
    <w:rsid w:val="00C97819"/>
    <w:rsid w:val="00C979A7"/>
    <w:rsid w:val="00C979D9"/>
    <w:rsid w:val="00C97A8E"/>
    <w:rsid w:val="00C97AC6"/>
    <w:rsid w:val="00C97B14"/>
    <w:rsid w:val="00C97B54"/>
    <w:rsid w:val="00C97BD0"/>
    <w:rsid w:val="00C97C28"/>
    <w:rsid w:val="00C97C33"/>
    <w:rsid w:val="00C97C77"/>
    <w:rsid w:val="00C97D41"/>
    <w:rsid w:val="00C97DDF"/>
    <w:rsid w:val="00C97E9A"/>
    <w:rsid w:val="00C97F20"/>
    <w:rsid w:val="00CA02C8"/>
    <w:rsid w:val="00CA0307"/>
    <w:rsid w:val="00CA0579"/>
    <w:rsid w:val="00CA05CD"/>
    <w:rsid w:val="00CA0756"/>
    <w:rsid w:val="00CA08B2"/>
    <w:rsid w:val="00CA0922"/>
    <w:rsid w:val="00CA0924"/>
    <w:rsid w:val="00CA0978"/>
    <w:rsid w:val="00CA09FA"/>
    <w:rsid w:val="00CA0B85"/>
    <w:rsid w:val="00CA0BE5"/>
    <w:rsid w:val="00CA0E07"/>
    <w:rsid w:val="00CA0E99"/>
    <w:rsid w:val="00CA0ED4"/>
    <w:rsid w:val="00CA10CA"/>
    <w:rsid w:val="00CA10F3"/>
    <w:rsid w:val="00CA1147"/>
    <w:rsid w:val="00CA1197"/>
    <w:rsid w:val="00CA11ED"/>
    <w:rsid w:val="00CA11EE"/>
    <w:rsid w:val="00CA11F2"/>
    <w:rsid w:val="00CA12D0"/>
    <w:rsid w:val="00CA131D"/>
    <w:rsid w:val="00CA13CA"/>
    <w:rsid w:val="00CA13F5"/>
    <w:rsid w:val="00CA143E"/>
    <w:rsid w:val="00CA158C"/>
    <w:rsid w:val="00CA15BD"/>
    <w:rsid w:val="00CA160D"/>
    <w:rsid w:val="00CA1707"/>
    <w:rsid w:val="00CA1738"/>
    <w:rsid w:val="00CA1780"/>
    <w:rsid w:val="00CA1928"/>
    <w:rsid w:val="00CA1A48"/>
    <w:rsid w:val="00CA1A9D"/>
    <w:rsid w:val="00CA1AE6"/>
    <w:rsid w:val="00CA1C18"/>
    <w:rsid w:val="00CA1CF5"/>
    <w:rsid w:val="00CA1D76"/>
    <w:rsid w:val="00CA1DF0"/>
    <w:rsid w:val="00CA1E09"/>
    <w:rsid w:val="00CA1EFF"/>
    <w:rsid w:val="00CA1FB8"/>
    <w:rsid w:val="00CA2010"/>
    <w:rsid w:val="00CA20DD"/>
    <w:rsid w:val="00CA214B"/>
    <w:rsid w:val="00CA2451"/>
    <w:rsid w:val="00CA2613"/>
    <w:rsid w:val="00CA26B3"/>
    <w:rsid w:val="00CA2809"/>
    <w:rsid w:val="00CA2850"/>
    <w:rsid w:val="00CA2898"/>
    <w:rsid w:val="00CA289E"/>
    <w:rsid w:val="00CA29C9"/>
    <w:rsid w:val="00CA2AB6"/>
    <w:rsid w:val="00CA2B5D"/>
    <w:rsid w:val="00CA2C67"/>
    <w:rsid w:val="00CA2D80"/>
    <w:rsid w:val="00CA2EB2"/>
    <w:rsid w:val="00CA2EEC"/>
    <w:rsid w:val="00CA2F87"/>
    <w:rsid w:val="00CA3113"/>
    <w:rsid w:val="00CA31E2"/>
    <w:rsid w:val="00CA3346"/>
    <w:rsid w:val="00CA33C5"/>
    <w:rsid w:val="00CA3448"/>
    <w:rsid w:val="00CA34FD"/>
    <w:rsid w:val="00CA353A"/>
    <w:rsid w:val="00CA372A"/>
    <w:rsid w:val="00CA3731"/>
    <w:rsid w:val="00CA37D7"/>
    <w:rsid w:val="00CA37F7"/>
    <w:rsid w:val="00CA3888"/>
    <w:rsid w:val="00CA38FC"/>
    <w:rsid w:val="00CA395F"/>
    <w:rsid w:val="00CA39ED"/>
    <w:rsid w:val="00CA3DB3"/>
    <w:rsid w:val="00CA3FFC"/>
    <w:rsid w:val="00CA4173"/>
    <w:rsid w:val="00CA418E"/>
    <w:rsid w:val="00CA41C3"/>
    <w:rsid w:val="00CA4237"/>
    <w:rsid w:val="00CA42A3"/>
    <w:rsid w:val="00CA433F"/>
    <w:rsid w:val="00CA45B9"/>
    <w:rsid w:val="00CA45E3"/>
    <w:rsid w:val="00CA45EC"/>
    <w:rsid w:val="00CA4647"/>
    <w:rsid w:val="00CA49C2"/>
    <w:rsid w:val="00CA4A8B"/>
    <w:rsid w:val="00CA4BEA"/>
    <w:rsid w:val="00CA4C3C"/>
    <w:rsid w:val="00CA4CF6"/>
    <w:rsid w:val="00CA4E63"/>
    <w:rsid w:val="00CA4EBA"/>
    <w:rsid w:val="00CA4EC4"/>
    <w:rsid w:val="00CA5011"/>
    <w:rsid w:val="00CA504F"/>
    <w:rsid w:val="00CA50D1"/>
    <w:rsid w:val="00CA530D"/>
    <w:rsid w:val="00CA53C6"/>
    <w:rsid w:val="00CA547A"/>
    <w:rsid w:val="00CA54B4"/>
    <w:rsid w:val="00CA54D8"/>
    <w:rsid w:val="00CA55D0"/>
    <w:rsid w:val="00CA55E3"/>
    <w:rsid w:val="00CA5645"/>
    <w:rsid w:val="00CA573E"/>
    <w:rsid w:val="00CA58DC"/>
    <w:rsid w:val="00CA5965"/>
    <w:rsid w:val="00CA59F5"/>
    <w:rsid w:val="00CA5A1E"/>
    <w:rsid w:val="00CA5ADA"/>
    <w:rsid w:val="00CA5B05"/>
    <w:rsid w:val="00CA5B09"/>
    <w:rsid w:val="00CA5BE1"/>
    <w:rsid w:val="00CA5C2D"/>
    <w:rsid w:val="00CA5C70"/>
    <w:rsid w:val="00CA5D25"/>
    <w:rsid w:val="00CA5D6C"/>
    <w:rsid w:val="00CA5F9D"/>
    <w:rsid w:val="00CA5FE1"/>
    <w:rsid w:val="00CA608C"/>
    <w:rsid w:val="00CA60FD"/>
    <w:rsid w:val="00CA6201"/>
    <w:rsid w:val="00CA649C"/>
    <w:rsid w:val="00CA6579"/>
    <w:rsid w:val="00CA659A"/>
    <w:rsid w:val="00CA6647"/>
    <w:rsid w:val="00CA6BC0"/>
    <w:rsid w:val="00CA6DF2"/>
    <w:rsid w:val="00CA6E92"/>
    <w:rsid w:val="00CA6EB9"/>
    <w:rsid w:val="00CA71F0"/>
    <w:rsid w:val="00CA7376"/>
    <w:rsid w:val="00CA73DB"/>
    <w:rsid w:val="00CA746F"/>
    <w:rsid w:val="00CA749F"/>
    <w:rsid w:val="00CA75E9"/>
    <w:rsid w:val="00CA76AC"/>
    <w:rsid w:val="00CA7761"/>
    <w:rsid w:val="00CA7774"/>
    <w:rsid w:val="00CA7893"/>
    <w:rsid w:val="00CA78FC"/>
    <w:rsid w:val="00CA7A7A"/>
    <w:rsid w:val="00CA7AE3"/>
    <w:rsid w:val="00CA7C12"/>
    <w:rsid w:val="00CA7C13"/>
    <w:rsid w:val="00CA7DCE"/>
    <w:rsid w:val="00CA7FD2"/>
    <w:rsid w:val="00CA7FD7"/>
    <w:rsid w:val="00CB0002"/>
    <w:rsid w:val="00CB01A3"/>
    <w:rsid w:val="00CB02D2"/>
    <w:rsid w:val="00CB037B"/>
    <w:rsid w:val="00CB0492"/>
    <w:rsid w:val="00CB0996"/>
    <w:rsid w:val="00CB0A4F"/>
    <w:rsid w:val="00CB0BCC"/>
    <w:rsid w:val="00CB0CAB"/>
    <w:rsid w:val="00CB0D61"/>
    <w:rsid w:val="00CB0D8B"/>
    <w:rsid w:val="00CB0E4E"/>
    <w:rsid w:val="00CB1063"/>
    <w:rsid w:val="00CB106D"/>
    <w:rsid w:val="00CB10A2"/>
    <w:rsid w:val="00CB1280"/>
    <w:rsid w:val="00CB128E"/>
    <w:rsid w:val="00CB12C4"/>
    <w:rsid w:val="00CB12F7"/>
    <w:rsid w:val="00CB1431"/>
    <w:rsid w:val="00CB14D9"/>
    <w:rsid w:val="00CB158F"/>
    <w:rsid w:val="00CB15A2"/>
    <w:rsid w:val="00CB1986"/>
    <w:rsid w:val="00CB1A3C"/>
    <w:rsid w:val="00CB1A96"/>
    <w:rsid w:val="00CB1B4D"/>
    <w:rsid w:val="00CB21E7"/>
    <w:rsid w:val="00CB2275"/>
    <w:rsid w:val="00CB229E"/>
    <w:rsid w:val="00CB22EB"/>
    <w:rsid w:val="00CB23B8"/>
    <w:rsid w:val="00CB2411"/>
    <w:rsid w:val="00CB2442"/>
    <w:rsid w:val="00CB24A0"/>
    <w:rsid w:val="00CB2576"/>
    <w:rsid w:val="00CB2681"/>
    <w:rsid w:val="00CB278C"/>
    <w:rsid w:val="00CB285B"/>
    <w:rsid w:val="00CB28D1"/>
    <w:rsid w:val="00CB28DF"/>
    <w:rsid w:val="00CB28F4"/>
    <w:rsid w:val="00CB290E"/>
    <w:rsid w:val="00CB291D"/>
    <w:rsid w:val="00CB2AEB"/>
    <w:rsid w:val="00CB2B26"/>
    <w:rsid w:val="00CB2B30"/>
    <w:rsid w:val="00CB2BAB"/>
    <w:rsid w:val="00CB2C62"/>
    <w:rsid w:val="00CB2E26"/>
    <w:rsid w:val="00CB2E43"/>
    <w:rsid w:val="00CB2FD0"/>
    <w:rsid w:val="00CB2FEC"/>
    <w:rsid w:val="00CB2FF0"/>
    <w:rsid w:val="00CB302A"/>
    <w:rsid w:val="00CB302B"/>
    <w:rsid w:val="00CB30D3"/>
    <w:rsid w:val="00CB3112"/>
    <w:rsid w:val="00CB3169"/>
    <w:rsid w:val="00CB32AE"/>
    <w:rsid w:val="00CB32DC"/>
    <w:rsid w:val="00CB3450"/>
    <w:rsid w:val="00CB347F"/>
    <w:rsid w:val="00CB3499"/>
    <w:rsid w:val="00CB34AC"/>
    <w:rsid w:val="00CB352D"/>
    <w:rsid w:val="00CB3737"/>
    <w:rsid w:val="00CB3782"/>
    <w:rsid w:val="00CB37EE"/>
    <w:rsid w:val="00CB38C6"/>
    <w:rsid w:val="00CB3A6F"/>
    <w:rsid w:val="00CB3B1A"/>
    <w:rsid w:val="00CB3B28"/>
    <w:rsid w:val="00CB3BAF"/>
    <w:rsid w:val="00CB3BE8"/>
    <w:rsid w:val="00CB3C0C"/>
    <w:rsid w:val="00CB3C14"/>
    <w:rsid w:val="00CB3D3D"/>
    <w:rsid w:val="00CB3E3B"/>
    <w:rsid w:val="00CB3E78"/>
    <w:rsid w:val="00CB3EEB"/>
    <w:rsid w:val="00CB3F12"/>
    <w:rsid w:val="00CB3F13"/>
    <w:rsid w:val="00CB3F28"/>
    <w:rsid w:val="00CB4068"/>
    <w:rsid w:val="00CB4095"/>
    <w:rsid w:val="00CB40BB"/>
    <w:rsid w:val="00CB4172"/>
    <w:rsid w:val="00CB4182"/>
    <w:rsid w:val="00CB42E2"/>
    <w:rsid w:val="00CB4352"/>
    <w:rsid w:val="00CB4499"/>
    <w:rsid w:val="00CB44D1"/>
    <w:rsid w:val="00CB4733"/>
    <w:rsid w:val="00CB4742"/>
    <w:rsid w:val="00CB4751"/>
    <w:rsid w:val="00CB4984"/>
    <w:rsid w:val="00CB49B8"/>
    <w:rsid w:val="00CB49FD"/>
    <w:rsid w:val="00CB4A54"/>
    <w:rsid w:val="00CB4A85"/>
    <w:rsid w:val="00CB4B33"/>
    <w:rsid w:val="00CB4C1B"/>
    <w:rsid w:val="00CB4C7D"/>
    <w:rsid w:val="00CB4E03"/>
    <w:rsid w:val="00CB4ED0"/>
    <w:rsid w:val="00CB4F7A"/>
    <w:rsid w:val="00CB4FC2"/>
    <w:rsid w:val="00CB53EE"/>
    <w:rsid w:val="00CB54B1"/>
    <w:rsid w:val="00CB5528"/>
    <w:rsid w:val="00CB5589"/>
    <w:rsid w:val="00CB55C0"/>
    <w:rsid w:val="00CB55ED"/>
    <w:rsid w:val="00CB564A"/>
    <w:rsid w:val="00CB56E5"/>
    <w:rsid w:val="00CB56FE"/>
    <w:rsid w:val="00CB5793"/>
    <w:rsid w:val="00CB57BF"/>
    <w:rsid w:val="00CB589D"/>
    <w:rsid w:val="00CB58CD"/>
    <w:rsid w:val="00CB5982"/>
    <w:rsid w:val="00CB59E4"/>
    <w:rsid w:val="00CB59F8"/>
    <w:rsid w:val="00CB5A17"/>
    <w:rsid w:val="00CB5BA6"/>
    <w:rsid w:val="00CB5C3C"/>
    <w:rsid w:val="00CB5D73"/>
    <w:rsid w:val="00CB5E65"/>
    <w:rsid w:val="00CB5E8D"/>
    <w:rsid w:val="00CB5EB3"/>
    <w:rsid w:val="00CB5EE5"/>
    <w:rsid w:val="00CB6133"/>
    <w:rsid w:val="00CB61E5"/>
    <w:rsid w:val="00CB6332"/>
    <w:rsid w:val="00CB6428"/>
    <w:rsid w:val="00CB66CF"/>
    <w:rsid w:val="00CB6966"/>
    <w:rsid w:val="00CB6A1A"/>
    <w:rsid w:val="00CB6B5C"/>
    <w:rsid w:val="00CB6C88"/>
    <w:rsid w:val="00CB6CDC"/>
    <w:rsid w:val="00CB6D45"/>
    <w:rsid w:val="00CB6DE4"/>
    <w:rsid w:val="00CB6F06"/>
    <w:rsid w:val="00CB6F8C"/>
    <w:rsid w:val="00CB6FDB"/>
    <w:rsid w:val="00CB6FF3"/>
    <w:rsid w:val="00CB70A2"/>
    <w:rsid w:val="00CB7165"/>
    <w:rsid w:val="00CB7178"/>
    <w:rsid w:val="00CB7361"/>
    <w:rsid w:val="00CB738A"/>
    <w:rsid w:val="00CB73F3"/>
    <w:rsid w:val="00CB73FA"/>
    <w:rsid w:val="00CB7477"/>
    <w:rsid w:val="00CB74C7"/>
    <w:rsid w:val="00CB758D"/>
    <w:rsid w:val="00CB75E8"/>
    <w:rsid w:val="00CB779B"/>
    <w:rsid w:val="00CB77F2"/>
    <w:rsid w:val="00CB7825"/>
    <w:rsid w:val="00CB799B"/>
    <w:rsid w:val="00CB79A9"/>
    <w:rsid w:val="00CB7D62"/>
    <w:rsid w:val="00CB7D8C"/>
    <w:rsid w:val="00CB7FE5"/>
    <w:rsid w:val="00CC015D"/>
    <w:rsid w:val="00CC0223"/>
    <w:rsid w:val="00CC024B"/>
    <w:rsid w:val="00CC027C"/>
    <w:rsid w:val="00CC02D5"/>
    <w:rsid w:val="00CC02DB"/>
    <w:rsid w:val="00CC03FF"/>
    <w:rsid w:val="00CC045E"/>
    <w:rsid w:val="00CC046C"/>
    <w:rsid w:val="00CC0487"/>
    <w:rsid w:val="00CC04FA"/>
    <w:rsid w:val="00CC061E"/>
    <w:rsid w:val="00CC06C8"/>
    <w:rsid w:val="00CC06CC"/>
    <w:rsid w:val="00CC073D"/>
    <w:rsid w:val="00CC0797"/>
    <w:rsid w:val="00CC082E"/>
    <w:rsid w:val="00CC0904"/>
    <w:rsid w:val="00CC0A7C"/>
    <w:rsid w:val="00CC0BEB"/>
    <w:rsid w:val="00CC0C99"/>
    <w:rsid w:val="00CC0CE6"/>
    <w:rsid w:val="00CC0D0C"/>
    <w:rsid w:val="00CC0E07"/>
    <w:rsid w:val="00CC0E49"/>
    <w:rsid w:val="00CC0E54"/>
    <w:rsid w:val="00CC0E9E"/>
    <w:rsid w:val="00CC0F1C"/>
    <w:rsid w:val="00CC0FDB"/>
    <w:rsid w:val="00CC106B"/>
    <w:rsid w:val="00CC124B"/>
    <w:rsid w:val="00CC1399"/>
    <w:rsid w:val="00CC169C"/>
    <w:rsid w:val="00CC1707"/>
    <w:rsid w:val="00CC175D"/>
    <w:rsid w:val="00CC1766"/>
    <w:rsid w:val="00CC18F7"/>
    <w:rsid w:val="00CC1B29"/>
    <w:rsid w:val="00CC1B2D"/>
    <w:rsid w:val="00CC1B6D"/>
    <w:rsid w:val="00CC1C37"/>
    <w:rsid w:val="00CC1DA9"/>
    <w:rsid w:val="00CC1ECA"/>
    <w:rsid w:val="00CC1FD5"/>
    <w:rsid w:val="00CC2180"/>
    <w:rsid w:val="00CC21BC"/>
    <w:rsid w:val="00CC223D"/>
    <w:rsid w:val="00CC2273"/>
    <w:rsid w:val="00CC228E"/>
    <w:rsid w:val="00CC233D"/>
    <w:rsid w:val="00CC24A4"/>
    <w:rsid w:val="00CC2504"/>
    <w:rsid w:val="00CC2583"/>
    <w:rsid w:val="00CC2868"/>
    <w:rsid w:val="00CC287E"/>
    <w:rsid w:val="00CC295B"/>
    <w:rsid w:val="00CC2A1A"/>
    <w:rsid w:val="00CC2A37"/>
    <w:rsid w:val="00CC2A8F"/>
    <w:rsid w:val="00CC2B20"/>
    <w:rsid w:val="00CC2B76"/>
    <w:rsid w:val="00CC2BEA"/>
    <w:rsid w:val="00CC2CC0"/>
    <w:rsid w:val="00CC2D10"/>
    <w:rsid w:val="00CC2D2D"/>
    <w:rsid w:val="00CC2D3F"/>
    <w:rsid w:val="00CC2E33"/>
    <w:rsid w:val="00CC2EA6"/>
    <w:rsid w:val="00CC2EB7"/>
    <w:rsid w:val="00CC2FE6"/>
    <w:rsid w:val="00CC3018"/>
    <w:rsid w:val="00CC3047"/>
    <w:rsid w:val="00CC30BB"/>
    <w:rsid w:val="00CC310B"/>
    <w:rsid w:val="00CC3267"/>
    <w:rsid w:val="00CC327A"/>
    <w:rsid w:val="00CC336C"/>
    <w:rsid w:val="00CC33D1"/>
    <w:rsid w:val="00CC33DB"/>
    <w:rsid w:val="00CC35A6"/>
    <w:rsid w:val="00CC367C"/>
    <w:rsid w:val="00CC36F6"/>
    <w:rsid w:val="00CC3761"/>
    <w:rsid w:val="00CC38B3"/>
    <w:rsid w:val="00CC38BB"/>
    <w:rsid w:val="00CC3903"/>
    <w:rsid w:val="00CC3918"/>
    <w:rsid w:val="00CC3970"/>
    <w:rsid w:val="00CC3A21"/>
    <w:rsid w:val="00CC3A47"/>
    <w:rsid w:val="00CC3A5A"/>
    <w:rsid w:val="00CC3BC9"/>
    <w:rsid w:val="00CC3BEA"/>
    <w:rsid w:val="00CC3DC9"/>
    <w:rsid w:val="00CC3ED2"/>
    <w:rsid w:val="00CC3FEF"/>
    <w:rsid w:val="00CC403C"/>
    <w:rsid w:val="00CC40C4"/>
    <w:rsid w:val="00CC4179"/>
    <w:rsid w:val="00CC4186"/>
    <w:rsid w:val="00CC4358"/>
    <w:rsid w:val="00CC4452"/>
    <w:rsid w:val="00CC4672"/>
    <w:rsid w:val="00CC4693"/>
    <w:rsid w:val="00CC469B"/>
    <w:rsid w:val="00CC477D"/>
    <w:rsid w:val="00CC47A4"/>
    <w:rsid w:val="00CC47EA"/>
    <w:rsid w:val="00CC4828"/>
    <w:rsid w:val="00CC487A"/>
    <w:rsid w:val="00CC48A4"/>
    <w:rsid w:val="00CC48C5"/>
    <w:rsid w:val="00CC4AFC"/>
    <w:rsid w:val="00CC4B08"/>
    <w:rsid w:val="00CC4B52"/>
    <w:rsid w:val="00CC4CE0"/>
    <w:rsid w:val="00CC4D34"/>
    <w:rsid w:val="00CC4D5A"/>
    <w:rsid w:val="00CC4E9E"/>
    <w:rsid w:val="00CC4F07"/>
    <w:rsid w:val="00CC4F56"/>
    <w:rsid w:val="00CC4F7C"/>
    <w:rsid w:val="00CC500D"/>
    <w:rsid w:val="00CC5050"/>
    <w:rsid w:val="00CC5076"/>
    <w:rsid w:val="00CC5077"/>
    <w:rsid w:val="00CC51A4"/>
    <w:rsid w:val="00CC52D8"/>
    <w:rsid w:val="00CC532B"/>
    <w:rsid w:val="00CC533F"/>
    <w:rsid w:val="00CC536B"/>
    <w:rsid w:val="00CC541B"/>
    <w:rsid w:val="00CC5461"/>
    <w:rsid w:val="00CC54B7"/>
    <w:rsid w:val="00CC55AD"/>
    <w:rsid w:val="00CC564A"/>
    <w:rsid w:val="00CC56E0"/>
    <w:rsid w:val="00CC570A"/>
    <w:rsid w:val="00CC5783"/>
    <w:rsid w:val="00CC5942"/>
    <w:rsid w:val="00CC59E1"/>
    <w:rsid w:val="00CC59EC"/>
    <w:rsid w:val="00CC5A65"/>
    <w:rsid w:val="00CC5BB8"/>
    <w:rsid w:val="00CC5C9D"/>
    <w:rsid w:val="00CC5CE4"/>
    <w:rsid w:val="00CC5D1E"/>
    <w:rsid w:val="00CC5D5F"/>
    <w:rsid w:val="00CC5DC0"/>
    <w:rsid w:val="00CC5E8F"/>
    <w:rsid w:val="00CC5FC6"/>
    <w:rsid w:val="00CC6093"/>
    <w:rsid w:val="00CC6136"/>
    <w:rsid w:val="00CC6161"/>
    <w:rsid w:val="00CC61EC"/>
    <w:rsid w:val="00CC6255"/>
    <w:rsid w:val="00CC62AB"/>
    <w:rsid w:val="00CC63F1"/>
    <w:rsid w:val="00CC6456"/>
    <w:rsid w:val="00CC646E"/>
    <w:rsid w:val="00CC6614"/>
    <w:rsid w:val="00CC6B1F"/>
    <w:rsid w:val="00CC6B36"/>
    <w:rsid w:val="00CC6C87"/>
    <w:rsid w:val="00CC6D3F"/>
    <w:rsid w:val="00CC6D79"/>
    <w:rsid w:val="00CC6EF0"/>
    <w:rsid w:val="00CC6F75"/>
    <w:rsid w:val="00CC702D"/>
    <w:rsid w:val="00CC711F"/>
    <w:rsid w:val="00CC714C"/>
    <w:rsid w:val="00CC7153"/>
    <w:rsid w:val="00CC71F7"/>
    <w:rsid w:val="00CC7209"/>
    <w:rsid w:val="00CC7368"/>
    <w:rsid w:val="00CC741F"/>
    <w:rsid w:val="00CC746A"/>
    <w:rsid w:val="00CC74F5"/>
    <w:rsid w:val="00CC7525"/>
    <w:rsid w:val="00CC7553"/>
    <w:rsid w:val="00CC7571"/>
    <w:rsid w:val="00CC757A"/>
    <w:rsid w:val="00CC75C4"/>
    <w:rsid w:val="00CC75FD"/>
    <w:rsid w:val="00CC76F3"/>
    <w:rsid w:val="00CC77C0"/>
    <w:rsid w:val="00CC77EF"/>
    <w:rsid w:val="00CC78BE"/>
    <w:rsid w:val="00CC79B0"/>
    <w:rsid w:val="00CC79B1"/>
    <w:rsid w:val="00CC7A79"/>
    <w:rsid w:val="00CC7B4F"/>
    <w:rsid w:val="00CC7CCA"/>
    <w:rsid w:val="00CC7D49"/>
    <w:rsid w:val="00CC7DBA"/>
    <w:rsid w:val="00CC7DC1"/>
    <w:rsid w:val="00CD0002"/>
    <w:rsid w:val="00CD00A7"/>
    <w:rsid w:val="00CD00E6"/>
    <w:rsid w:val="00CD0136"/>
    <w:rsid w:val="00CD020D"/>
    <w:rsid w:val="00CD0430"/>
    <w:rsid w:val="00CD0447"/>
    <w:rsid w:val="00CD04B2"/>
    <w:rsid w:val="00CD05DB"/>
    <w:rsid w:val="00CD06FD"/>
    <w:rsid w:val="00CD075C"/>
    <w:rsid w:val="00CD0789"/>
    <w:rsid w:val="00CD0C39"/>
    <w:rsid w:val="00CD0C96"/>
    <w:rsid w:val="00CD0D4B"/>
    <w:rsid w:val="00CD0D6D"/>
    <w:rsid w:val="00CD0DCD"/>
    <w:rsid w:val="00CD0DEA"/>
    <w:rsid w:val="00CD0DF3"/>
    <w:rsid w:val="00CD0F61"/>
    <w:rsid w:val="00CD0F7E"/>
    <w:rsid w:val="00CD110A"/>
    <w:rsid w:val="00CD116C"/>
    <w:rsid w:val="00CD11A1"/>
    <w:rsid w:val="00CD11E6"/>
    <w:rsid w:val="00CD1247"/>
    <w:rsid w:val="00CD12A0"/>
    <w:rsid w:val="00CD1303"/>
    <w:rsid w:val="00CD1321"/>
    <w:rsid w:val="00CD139B"/>
    <w:rsid w:val="00CD1620"/>
    <w:rsid w:val="00CD1679"/>
    <w:rsid w:val="00CD179F"/>
    <w:rsid w:val="00CD1846"/>
    <w:rsid w:val="00CD1B4C"/>
    <w:rsid w:val="00CD1B5A"/>
    <w:rsid w:val="00CD1DA5"/>
    <w:rsid w:val="00CD1F8C"/>
    <w:rsid w:val="00CD1FD1"/>
    <w:rsid w:val="00CD23E5"/>
    <w:rsid w:val="00CD23F8"/>
    <w:rsid w:val="00CD243E"/>
    <w:rsid w:val="00CD252B"/>
    <w:rsid w:val="00CD25E8"/>
    <w:rsid w:val="00CD26F6"/>
    <w:rsid w:val="00CD27E5"/>
    <w:rsid w:val="00CD2849"/>
    <w:rsid w:val="00CD28D2"/>
    <w:rsid w:val="00CD299D"/>
    <w:rsid w:val="00CD29D6"/>
    <w:rsid w:val="00CD2A2D"/>
    <w:rsid w:val="00CD2AF8"/>
    <w:rsid w:val="00CD2D52"/>
    <w:rsid w:val="00CD2D8B"/>
    <w:rsid w:val="00CD2E16"/>
    <w:rsid w:val="00CD2EE6"/>
    <w:rsid w:val="00CD2F18"/>
    <w:rsid w:val="00CD2FB1"/>
    <w:rsid w:val="00CD3170"/>
    <w:rsid w:val="00CD3306"/>
    <w:rsid w:val="00CD3390"/>
    <w:rsid w:val="00CD3397"/>
    <w:rsid w:val="00CD33C9"/>
    <w:rsid w:val="00CD3711"/>
    <w:rsid w:val="00CD3834"/>
    <w:rsid w:val="00CD3A0A"/>
    <w:rsid w:val="00CD3B4B"/>
    <w:rsid w:val="00CD3DEF"/>
    <w:rsid w:val="00CD3FD3"/>
    <w:rsid w:val="00CD402B"/>
    <w:rsid w:val="00CD4061"/>
    <w:rsid w:val="00CD4173"/>
    <w:rsid w:val="00CD42B0"/>
    <w:rsid w:val="00CD436B"/>
    <w:rsid w:val="00CD43CE"/>
    <w:rsid w:val="00CD43D6"/>
    <w:rsid w:val="00CD442C"/>
    <w:rsid w:val="00CD45EE"/>
    <w:rsid w:val="00CD460E"/>
    <w:rsid w:val="00CD4718"/>
    <w:rsid w:val="00CD4769"/>
    <w:rsid w:val="00CD4864"/>
    <w:rsid w:val="00CD48C7"/>
    <w:rsid w:val="00CD4AA6"/>
    <w:rsid w:val="00CD4BB7"/>
    <w:rsid w:val="00CD4C28"/>
    <w:rsid w:val="00CD4CC0"/>
    <w:rsid w:val="00CD4D1F"/>
    <w:rsid w:val="00CD4DC2"/>
    <w:rsid w:val="00CD4ED7"/>
    <w:rsid w:val="00CD5106"/>
    <w:rsid w:val="00CD51D7"/>
    <w:rsid w:val="00CD5242"/>
    <w:rsid w:val="00CD52AC"/>
    <w:rsid w:val="00CD52BE"/>
    <w:rsid w:val="00CD548B"/>
    <w:rsid w:val="00CD550F"/>
    <w:rsid w:val="00CD575E"/>
    <w:rsid w:val="00CD5819"/>
    <w:rsid w:val="00CD5915"/>
    <w:rsid w:val="00CD599C"/>
    <w:rsid w:val="00CD59AC"/>
    <w:rsid w:val="00CD59E3"/>
    <w:rsid w:val="00CD5A95"/>
    <w:rsid w:val="00CD5AFD"/>
    <w:rsid w:val="00CD5B94"/>
    <w:rsid w:val="00CD5BF6"/>
    <w:rsid w:val="00CD5CA7"/>
    <w:rsid w:val="00CD5D61"/>
    <w:rsid w:val="00CD5EE3"/>
    <w:rsid w:val="00CD5FCE"/>
    <w:rsid w:val="00CD6066"/>
    <w:rsid w:val="00CD6227"/>
    <w:rsid w:val="00CD6243"/>
    <w:rsid w:val="00CD6274"/>
    <w:rsid w:val="00CD6330"/>
    <w:rsid w:val="00CD637D"/>
    <w:rsid w:val="00CD6453"/>
    <w:rsid w:val="00CD6470"/>
    <w:rsid w:val="00CD6867"/>
    <w:rsid w:val="00CD69A9"/>
    <w:rsid w:val="00CD69B8"/>
    <w:rsid w:val="00CD6B48"/>
    <w:rsid w:val="00CD6B74"/>
    <w:rsid w:val="00CD6B9E"/>
    <w:rsid w:val="00CD6C12"/>
    <w:rsid w:val="00CD6C83"/>
    <w:rsid w:val="00CD6C98"/>
    <w:rsid w:val="00CD6E41"/>
    <w:rsid w:val="00CD6E9F"/>
    <w:rsid w:val="00CD6EB7"/>
    <w:rsid w:val="00CD6F74"/>
    <w:rsid w:val="00CD731A"/>
    <w:rsid w:val="00CD735A"/>
    <w:rsid w:val="00CD7381"/>
    <w:rsid w:val="00CD73AE"/>
    <w:rsid w:val="00CD73F2"/>
    <w:rsid w:val="00CD757C"/>
    <w:rsid w:val="00CD75F5"/>
    <w:rsid w:val="00CD768A"/>
    <w:rsid w:val="00CD7708"/>
    <w:rsid w:val="00CD7797"/>
    <w:rsid w:val="00CD77F0"/>
    <w:rsid w:val="00CD7C55"/>
    <w:rsid w:val="00CD7C99"/>
    <w:rsid w:val="00CD7DE4"/>
    <w:rsid w:val="00CD7FB9"/>
    <w:rsid w:val="00CE0205"/>
    <w:rsid w:val="00CE02C0"/>
    <w:rsid w:val="00CE02C3"/>
    <w:rsid w:val="00CE039C"/>
    <w:rsid w:val="00CE0665"/>
    <w:rsid w:val="00CE06C2"/>
    <w:rsid w:val="00CE073B"/>
    <w:rsid w:val="00CE079E"/>
    <w:rsid w:val="00CE0888"/>
    <w:rsid w:val="00CE090B"/>
    <w:rsid w:val="00CE09E7"/>
    <w:rsid w:val="00CE0AA9"/>
    <w:rsid w:val="00CE0AF9"/>
    <w:rsid w:val="00CE0B26"/>
    <w:rsid w:val="00CE0BE1"/>
    <w:rsid w:val="00CE0D1A"/>
    <w:rsid w:val="00CE0D37"/>
    <w:rsid w:val="00CE0DE2"/>
    <w:rsid w:val="00CE0E4E"/>
    <w:rsid w:val="00CE0EB7"/>
    <w:rsid w:val="00CE0EF4"/>
    <w:rsid w:val="00CE0F4D"/>
    <w:rsid w:val="00CE0F5E"/>
    <w:rsid w:val="00CE0FD0"/>
    <w:rsid w:val="00CE1042"/>
    <w:rsid w:val="00CE1091"/>
    <w:rsid w:val="00CE1255"/>
    <w:rsid w:val="00CE12D8"/>
    <w:rsid w:val="00CE139D"/>
    <w:rsid w:val="00CE1421"/>
    <w:rsid w:val="00CE160A"/>
    <w:rsid w:val="00CE162A"/>
    <w:rsid w:val="00CE166B"/>
    <w:rsid w:val="00CE16BE"/>
    <w:rsid w:val="00CE16DD"/>
    <w:rsid w:val="00CE192F"/>
    <w:rsid w:val="00CE1C24"/>
    <w:rsid w:val="00CE1CF6"/>
    <w:rsid w:val="00CE1D0A"/>
    <w:rsid w:val="00CE1D4F"/>
    <w:rsid w:val="00CE1D9F"/>
    <w:rsid w:val="00CE1DAC"/>
    <w:rsid w:val="00CE1E01"/>
    <w:rsid w:val="00CE1E89"/>
    <w:rsid w:val="00CE1EB7"/>
    <w:rsid w:val="00CE1EC8"/>
    <w:rsid w:val="00CE208F"/>
    <w:rsid w:val="00CE2100"/>
    <w:rsid w:val="00CE2291"/>
    <w:rsid w:val="00CE22D6"/>
    <w:rsid w:val="00CE252A"/>
    <w:rsid w:val="00CE258D"/>
    <w:rsid w:val="00CE2743"/>
    <w:rsid w:val="00CE2748"/>
    <w:rsid w:val="00CE29D6"/>
    <w:rsid w:val="00CE2BF4"/>
    <w:rsid w:val="00CE2C5D"/>
    <w:rsid w:val="00CE2CD9"/>
    <w:rsid w:val="00CE2F35"/>
    <w:rsid w:val="00CE301C"/>
    <w:rsid w:val="00CE301E"/>
    <w:rsid w:val="00CE305B"/>
    <w:rsid w:val="00CE306A"/>
    <w:rsid w:val="00CE3103"/>
    <w:rsid w:val="00CE3136"/>
    <w:rsid w:val="00CE31D3"/>
    <w:rsid w:val="00CE349F"/>
    <w:rsid w:val="00CE34A2"/>
    <w:rsid w:val="00CE357E"/>
    <w:rsid w:val="00CE35AE"/>
    <w:rsid w:val="00CE3727"/>
    <w:rsid w:val="00CE3731"/>
    <w:rsid w:val="00CE3819"/>
    <w:rsid w:val="00CE3851"/>
    <w:rsid w:val="00CE3874"/>
    <w:rsid w:val="00CE39A1"/>
    <w:rsid w:val="00CE3A0B"/>
    <w:rsid w:val="00CE3B61"/>
    <w:rsid w:val="00CE3C51"/>
    <w:rsid w:val="00CE3D4D"/>
    <w:rsid w:val="00CE3DF4"/>
    <w:rsid w:val="00CE4046"/>
    <w:rsid w:val="00CE40AC"/>
    <w:rsid w:val="00CE40E6"/>
    <w:rsid w:val="00CE4112"/>
    <w:rsid w:val="00CE411B"/>
    <w:rsid w:val="00CE4156"/>
    <w:rsid w:val="00CE4250"/>
    <w:rsid w:val="00CE4278"/>
    <w:rsid w:val="00CE43E9"/>
    <w:rsid w:val="00CE44D4"/>
    <w:rsid w:val="00CE44EF"/>
    <w:rsid w:val="00CE4529"/>
    <w:rsid w:val="00CE45C8"/>
    <w:rsid w:val="00CE47FC"/>
    <w:rsid w:val="00CE489D"/>
    <w:rsid w:val="00CE49CE"/>
    <w:rsid w:val="00CE49E4"/>
    <w:rsid w:val="00CE4B58"/>
    <w:rsid w:val="00CE4BE6"/>
    <w:rsid w:val="00CE4D5D"/>
    <w:rsid w:val="00CE4D9C"/>
    <w:rsid w:val="00CE4DA2"/>
    <w:rsid w:val="00CE4DC0"/>
    <w:rsid w:val="00CE4DE8"/>
    <w:rsid w:val="00CE4F20"/>
    <w:rsid w:val="00CE5007"/>
    <w:rsid w:val="00CE50F5"/>
    <w:rsid w:val="00CE5109"/>
    <w:rsid w:val="00CE52D4"/>
    <w:rsid w:val="00CE53D0"/>
    <w:rsid w:val="00CE550C"/>
    <w:rsid w:val="00CE550D"/>
    <w:rsid w:val="00CE551E"/>
    <w:rsid w:val="00CE5531"/>
    <w:rsid w:val="00CE5646"/>
    <w:rsid w:val="00CE564D"/>
    <w:rsid w:val="00CE572B"/>
    <w:rsid w:val="00CE5776"/>
    <w:rsid w:val="00CE57C1"/>
    <w:rsid w:val="00CE5866"/>
    <w:rsid w:val="00CE5894"/>
    <w:rsid w:val="00CE593E"/>
    <w:rsid w:val="00CE5AD2"/>
    <w:rsid w:val="00CE5B00"/>
    <w:rsid w:val="00CE5B9D"/>
    <w:rsid w:val="00CE5CA2"/>
    <w:rsid w:val="00CE5CFF"/>
    <w:rsid w:val="00CE5E8B"/>
    <w:rsid w:val="00CE61B3"/>
    <w:rsid w:val="00CE6285"/>
    <w:rsid w:val="00CE6485"/>
    <w:rsid w:val="00CE652A"/>
    <w:rsid w:val="00CE659E"/>
    <w:rsid w:val="00CE65B9"/>
    <w:rsid w:val="00CE67B1"/>
    <w:rsid w:val="00CE68A0"/>
    <w:rsid w:val="00CE68C4"/>
    <w:rsid w:val="00CE692C"/>
    <w:rsid w:val="00CE6953"/>
    <w:rsid w:val="00CE6999"/>
    <w:rsid w:val="00CE6A47"/>
    <w:rsid w:val="00CE6AF3"/>
    <w:rsid w:val="00CE6B0A"/>
    <w:rsid w:val="00CE6DBA"/>
    <w:rsid w:val="00CE6DF7"/>
    <w:rsid w:val="00CE6EB7"/>
    <w:rsid w:val="00CE70BB"/>
    <w:rsid w:val="00CE7115"/>
    <w:rsid w:val="00CE72D2"/>
    <w:rsid w:val="00CE7571"/>
    <w:rsid w:val="00CE782D"/>
    <w:rsid w:val="00CE784B"/>
    <w:rsid w:val="00CE7958"/>
    <w:rsid w:val="00CE797C"/>
    <w:rsid w:val="00CE7990"/>
    <w:rsid w:val="00CE7A26"/>
    <w:rsid w:val="00CE7BA5"/>
    <w:rsid w:val="00CE7BC1"/>
    <w:rsid w:val="00CE7C2B"/>
    <w:rsid w:val="00CE7CDA"/>
    <w:rsid w:val="00CE7E5F"/>
    <w:rsid w:val="00CE7E65"/>
    <w:rsid w:val="00CE7EC5"/>
    <w:rsid w:val="00CF0010"/>
    <w:rsid w:val="00CF03C8"/>
    <w:rsid w:val="00CF03CA"/>
    <w:rsid w:val="00CF047E"/>
    <w:rsid w:val="00CF0673"/>
    <w:rsid w:val="00CF092A"/>
    <w:rsid w:val="00CF09FA"/>
    <w:rsid w:val="00CF0AFC"/>
    <w:rsid w:val="00CF0C0C"/>
    <w:rsid w:val="00CF0CF7"/>
    <w:rsid w:val="00CF0EC7"/>
    <w:rsid w:val="00CF0EFA"/>
    <w:rsid w:val="00CF0F23"/>
    <w:rsid w:val="00CF104A"/>
    <w:rsid w:val="00CF1085"/>
    <w:rsid w:val="00CF117B"/>
    <w:rsid w:val="00CF1318"/>
    <w:rsid w:val="00CF13BD"/>
    <w:rsid w:val="00CF1547"/>
    <w:rsid w:val="00CF155B"/>
    <w:rsid w:val="00CF1568"/>
    <w:rsid w:val="00CF159E"/>
    <w:rsid w:val="00CF1609"/>
    <w:rsid w:val="00CF17F5"/>
    <w:rsid w:val="00CF1915"/>
    <w:rsid w:val="00CF1A40"/>
    <w:rsid w:val="00CF1C7B"/>
    <w:rsid w:val="00CF1D6F"/>
    <w:rsid w:val="00CF1E78"/>
    <w:rsid w:val="00CF1FEF"/>
    <w:rsid w:val="00CF2010"/>
    <w:rsid w:val="00CF204B"/>
    <w:rsid w:val="00CF2053"/>
    <w:rsid w:val="00CF216E"/>
    <w:rsid w:val="00CF2251"/>
    <w:rsid w:val="00CF23CD"/>
    <w:rsid w:val="00CF2481"/>
    <w:rsid w:val="00CF2516"/>
    <w:rsid w:val="00CF25E7"/>
    <w:rsid w:val="00CF261A"/>
    <w:rsid w:val="00CF263C"/>
    <w:rsid w:val="00CF265F"/>
    <w:rsid w:val="00CF26B5"/>
    <w:rsid w:val="00CF26D3"/>
    <w:rsid w:val="00CF277E"/>
    <w:rsid w:val="00CF2788"/>
    <w:rsid w:val="00CF2834"/>
    <w:rsid w:val="00CF2888"/>
    <w:rsid w:val="00CF2949"/>
    <w:rsid w:val="00CF29D2"/>
    <w:rsid w:val="00CF2A02"/>
    <w:rsid w:val="00CF2A52"/>
    <w:rsid w:val="00CF2B3C"/>
    <w:rsid w:val="00CF2CA9"/>
    <w:rsid w:val="00CF2CB6"/>
    <w:rsid w:val="00CF2D8E"/>
    <w:rsid w:val="00CF2E30"/>
    <w:rsid w:val="00CF2E91"/>
    <w:rsid w:val="00CF2EA0"/>
    <w:rsid w:val="00CF2F0D"/>
    <w:rsid w:val="00CF3026"/>
    <w:rsid w:val="00CF312F"/>
    <w:rsid w:val="00CF339B"/>
    <w:rsid w:val="00CF3737"/>
    <w:rsid w:val="00CF3823"/>
    <w:rsid w:val="00CF3974"/>
    <w:rsid w:val="00CF3983"/>
    <w:rsid w:val="00CF3994"/>
    <w:rsid w:val="00CF39B8"/>
    <w:rsid w:val="00CF3A10"/>
    <w:rsid w:val="00CF3C08"/>
    <w:rsid w:val="00CF3CA4"/>
    <w:rsid w:val="00CF3CF9"/>
    <w:rsid w:val="00CF3D44"/>
    <w:rsid w:val="00CF3D9B"/>
    <w:rsid w:val="00CF3E0C"/>
    <w:rsid w:val="00CF3EFE"/>
    <w:rsid w:val="00CF3F02"/>
    <w:rsid w:val="00CF3FA6"/>
    <w:rsid w:val="00CF40C6"/>
    <w:rsid w:val="00CF410E"/>
    <w:rsid w:val="00CF4117"/>
    <w:rsid w:val="00CF4155"/>
    <w:rsid w:val="00CF42DF"/>
    <w:rsid w:val="00CF435D"/>
    <w:rsid w:val="00CF43E1"/>
    <w:rsid w:val="00CF43F7"/>
    <w:rsid w:val="00CF4435"/>
    <w:rsid w:val="00CF4473"/>
    <w:rsid w:val="00CF44B1"/>
    <w:rsid w:val="00CF45AE"/>
    <w:rsid w:val="00CF4622"/>
    <w:rsid w:val="00CF47BD"/>
    <w:rsid w:val="00CF4804"/>
    <w:rsid w:val="00CF4852"/>
    <w:rsid w:val="00CF4880"/>
    <w:rsid w:val="00CF4B13"/>
    <w:rsid w:val="00CF4BB8"/>
    <w:rsid w:val="00CF4C7A"/>
    <w:rsid w:val="00CF4C90"/>
    <w:rsid w:val="00CF4DEC"/>
    <w:rsid w:val="00CF4EEC"/>
    <w:rsid w:val="00CF4EFB"/>
    <w:rsid w:val="00CF4EFE"/>
    <w:rsid w:val="00CF4FE0"/>
    <w:rsid w:val="00CF5015"/>
    <w:rsid w:val="00CF5066"/>
    <w:rsid w:val="00CF518E"/>
    <w:rsid w:val="00CF51D0"/>
    <w:rsid w:val="00CF520D"/>
    <w:rsid w:val="00CF52B9"/>
    <w:rsid w:val="00CF541C"/>
    <w:rsid w:val="00CF542C"/>
    <w:rsid w:val="00CF546E"/>
    <w:rsid w:val="00CF547C"/>
    <w:rsid w:val="00CF5489"/>
    <w:rsid w:val="00CF54DD"/>
    <w:rsid w:val="00CF54E8"/>
    <w:rsid w:val="00CF554B"/>
    <w:rsid w:val="00CF5588"/>
    <w:rsid w:val="00CF5597"/>
    <w:rsid w:val="00CF55A7"/>
    <w:rsid w:val="00CF56BB"/>
    <w:rsid w:val="00CF5720"/>
    <w:rsid w:val="00CF57BC"/>
    <w:rsid w:val="00CF581E"/>
    <w:rsid w:val="00CF5A10"/>
    <w:rsid w:val="00CF5A50"/>
    <w:rsid w:val="00CF5A8B"/>
    <w:rsid w:val="00CF5BE5"/>
    <w:rsid w:val="00CF5C2B"/>
    <w:rsid w:val="00CF5C5A"/>
    <w:rsid w:val="00CF5D52"/>
    <w:rsid w:val="00CF5E47"/>
    <w:rsid w:val="00CF6065"/>
    <w:rsid w:val="00CF6157"/>
    <w:rsid w:val="00CF617D"/>
    <w:rsid w:val="00CF6249"/>
    <w:rsid w:val="00CF63FE"/>
    <w:rsid w:val="00CF6459"/>
    <w:rsid w:val="00CF6494"/>
    <w:rsid w:val="00CF65D7"/>
    <w:rsid w:val="00CF65FA"/>
    <w:rsid w:val="00CF66E4"/>
    <w:rsid w:val="00CF67D4"/>
    <w:rsid w:val="00CF6A22"/>
    <w:rsid w:val="00CF6B9F"/>
    <w:rsid w:val="00CF6C4E"/>
    <w:rsid w:val="00CF6D41"/>
    <w:rsid w:val="00CF6ED5"/>
    <w:rsid w:val="00CF7185"/>
    <w:rsid w:val="00CF71B0"/>
    <w:rsid w:val="00CF7208"/>
    <w:rsid w:val="00CF725E"/>
    <w:rsid w:val="00CF7550"/>
    <w:rsid w:val="00CF77A5"/>
    <w:rsid w:val="00CF7A4A"/>
    <w:rsid w:val="00CF7B0F"/>
    <w:rsid w:val="00CF7B6C"/>
    <w:rsid w:val="00CF7C71"/>
    <w:rsid w:val="00CF7C72"/>
    <w:rsid w:val="00CF7C77"/>
    <w:rsid w:val="00CF7D94"/>
    <w:rsid w:val="00CF7DF2"/>
    <w:rsid w:val="00CF7EE0"/>
    <w:rsid w:val="00CF7F7F"/>
    <w:rsid w:val="00D0001B"/>
    <w:rsid w:val="00D00140"/>
    <w:rsid w:val="00D0014D"/>
    <w:rsid w:val="00D00205"/>
    <w:rsid w:val="00D0023B"/>
    <w:rsid w:val="00D0052B"/>
    <w:rsid w:val="00D00555"/>
    <w:rsid w:val="00D0068C"/>
    <w:rsid w:val="00D00720"/>
    <w:rsid w:val="00D0080D"/>
    <w:rsid w:val="00D00840"/>
    <w:rsid w:val="00D008C1"/>
    <w:rsid w:val="00D009AC"/>
    <w:rsid w:val="00D00B75"/>
    <w:rsid w:val="00D00C9D"/>
    <w:rsid w:val="00D00D25"/>
    <w:rsid w:val="00D00E20"/>
    <w:rsid w:val="00D00E97"/>
    <w:rsid w:val="00D00F8D"/>
    <w:rsid w:val="00D00FBB"/>
    <w:rsid w:val="00D00FC0"/>
    <w:rsid w:val="00D01072"/>
    <w:rsid w:val="00D010F3"/>
    <w:rsid w:val="00D01239"/>
    <w:rsid w:val="00D0147E"/>
    <w:rsid w:val="00D01491"/>
    <w:rsid w:val="00D014CA"/>
    <w:rsid w:val="00D01573"/>
    <w:rsid w:val="00D015D6"/>
    <w:rsid w:val="00D016E8"/>
    <w:rsid w:val="00D01710"/>
    <w:rsid w:val="00D01809"/>
    <w:rsid w:val="00D0181A"/>
    <w:rsid w:val="00D01ABA"/>
    <w:rsid w:val="00D01ACD"/>
    <w:rsid w:val="00D01BD5"/>
    <w:rsid w:val="00D01C55"/>
    <w:rsid w:val="00D01D20"/>
    <w:rsid w:val="00D01E0A"/>
    <w:rsid w:val="00D01E4C"/>
    <w:rsid w:val="00D01F22"/>
    <w:rsid w:val="00D01FA6"/>
    <w:rsid w:val="00D021B4"/>
    <w:rsid w:val="00D02282"/>
    <w:rsid w:val="00D02417"/>
    <w:rsid w:val="00D025FC"/>
    <w:rsid w:val="00D02795"/>
    <w:rsid w:val="00D02857"/>
    <w:rsid w:val="00D02969"/>
    <w:rsid w:val="00D029E2"/>
    <w:rsid w:val="00D02AC9"/>
    <w:rsid w:val="00D02B91"/>
    <w:rsid w:val="00D02D72"/>
    <w:rsid w:val="00D02D97"/>
    <w:rsid w:val="00D02DEA"/>
    <w:rsid w:val="00D02E08"/>
    <w:rsid w:val="00D02F56"/>
    <w:rsid w:val="00D031DA"/>
    <w:rsid w:val="00D03249"/>
    <w:rsid w:val="00D0330C"/>
    <w:rsid w:val="00D03376"/>
    <w:rsid w:val="00D033BC"/>
    <w:rsid w:val="00D0343C"/>
    <w:rsid w:val="00D0347F"/>
    <w:rsid w:val="00D0359D"/>
    <w:rsid w:val="00D035FF"/>
    <w:rsid w:val="00D0366F"/>
    <w:rsid w:val="00D037FA"/>
    <w:rsid w:val="00D038D1"/>
    <w:rsid w:val="00D03938"/>
    <w:rsid w:val="00D039FB"/>
    <w:rsid w:val="00D03A92"/>
    <w:rsid w:val="00D03A93"/>
    <w:rsid w:val="00D03BEB"/>
    <w:rsid w:val="00D03CEE"/>
    <w:rsid w:val="00D03D28"/>
    <w:rsid w:val="00D03DF2"/>
    <w:rsid w:val="00D03EB7"/>
    <w:rsid w:val="00D03EDE"/>
    <w:rsid w:val="00D03F01"/>
    <w:rsid w:val="00D040C5"/>
    <w:rsid w:val="00D04400"/>
    <w:rsid w:val="00D046D6"/>
    <w:rsid w:val="00D046E1"/>
    <w:rsid w:val="00D046F7"/>
    <w:rsid w:val="00D04747"/>
    <w:rsid w:val="00D048B8"/>
    <w:rsid w:val="00D0491F"/>
    <w:rsid w:val="00D04A39"/>
    <w:rsid w:val="00D04A43"/>
    <w:rsid w:val="00D04A4A"/>
    <w:rsid w:val="00D04D79"/>
    <w:rsid w:val="00D04E36"/>
    <w:rsid w:val="00D04ED6"/>
    <w:rsid w:val="00D04F26"/>
    <w:rsid w:val="00D04FE6"/>
    <w:rsid w:val="00D05129"/>
    <w:rsid w:val="00D05145"/>
    <w:rsid w:val="00D05181"/>
    <w:rsid w:val="00D051A8"/>
    <w:rsid w:val="00D05215"/>
    <w:rsid w:val="00D05262"/>
    <w:rsid w:val="00D054D7"/>
    <w:rsid w:val="00D05577"/>
    <w:rsid w:val="00D05603"/>
    <w:rsid w:val="00D056B9"/>
    <w:rsid w:val="00D05778"/>
    <w:rsid w:val="00D05A13"/>
    <w:rsid w:val="00D05A36"/>
    <w:rsid w:val="00D05A68"/>
    <w:rsid w:val="00D05B47"/>
    <w:rsid w:val="00D05B4C"/>
    <w:rsid w:val="00D05B4F"/>
    <w:rsid w:val="00D05D14"/>
    <w:rsid w:val="00D05D98"/>
    <w:rsid w:val="00D06002"/>
    <w:rsid w:val="00D0601A"/>
    <w:rsid w:val="00D06048"/>
    <w:rsid w:val="00D06130"/>
    <w:rsid w:val="00D062FF"/>
    <w:rsid w:val="00D06310"/>
    <w:rsid w:val="00D06416"/>
    <w:rsid w:val="00D06501"/>
    <w:rsid w:val="00D06541"/>
    <w:rsid w:val="00D06612"/>
    <w:rsid w:val="00D06731"/>
    <w:rsid w:val="00D06816"/>
    <w:rsid w:val="00D06878"/>
    <w:rsid w:val="00D0688B"/>
    <w:rsid w:val="00D068B0"/>
    <w:rsid w:val="00D068C9"/>
    <w:rsid w:val="00D06948"/>
    <w:rsid w:val="00D06954"/>
    <w:rsid w:val="00D069D8"/>
    <w:rsid w:val="00D06B53"/>
    <w:rsid w:val="00D06D7C"/>
    <w:rsid w:val="00D06D84"/>
    <w:rsid w:val="00D06DBE"/>
    <w:rsid w:val="00D06E04"/>
    <w:rsid w:val="00D06E6F"/>
    <w:rsid w:val="00D06F30"/>
    <w:rsid w:val="00D07000"/>
    <w:rsid w:val="00D07098"/>
    <w:rsid w:val="00D07150"/>
    <w:rsid w:val="00D0719C"/>
    <w:rsid w:val="00D0729D"/>
    <w:rsid w:val="00D072A5"/>
    <w:rsid w:val="00D07305"/>
    <w:rsid w:val="00D07427"/>
    <w:rsid w:val="00D0744A"/>
    <w:rsid w:val="00D07494"/>
    <w:rsid w:val="00D07644"/>
    <w:rsid w:val="00D07681"/>
    <w:rsid w:val="00D07795"/>
    <w:rsid w:val="00D077C8"/>
    <w:rsid w:val="00D07A14"/>
    <w:rsid w:val="00D07A43"/>
    <w:rsid w:val="00D07B23"/>
    <w:rsid w:val="00D07BD9"/>
    <w:rsid w:val="00D07E2F"/>
    <w:rsid w:val="00D07E8C"/>
    <w:rsid w:val="00D07F30"/>
    <w:rsid w:val="00D07FE2"/>
    <w:rsid w:val="00D10025"/>
    <w:rsid w:val="00D100D2"/>
    <w:rsid w:val="00D101D6"/>
    <w:rsid w:val="00D101FF"/>
    <w:rsid w:val="00D1025C"/>
    <w:rsid w:val="00D10321"/>
    <w:rsid w:val="00D104BA"/>
    <w:rsid w:val="00D104D9"/>
    <w:rsid w:val="00D104FE"/>
    <w:rsid w:val="00D105AF"/>
    <w:rsid w:val="00D108F3"/>
    <w:rsid w:val="00D109C4"/>
    <w:rsid w:val="00D10B2C"/>
    <w:rsid w:val="00D10B37"/>
    <w:rsid w:val="00D10B58"/>
    <w:rsid w:val="00D10C33"/>
    <w:rsid w:val="00D10CB0"/>
    <w:rsid w:val="00D10EE6"/>
    <w:rsid w:val="00D1109D"/>
    <w:rsid w:val="00D1122B"/>
    <w:rsid w:val="00D1123C"/>
    <w:rsid w:val="00D11355"/>
    <w:rsid w:val="00D113C5"/>
    <w:rsid w:val="00D113FE"/>
    <w:rsid w:val="00D1142A"/>
    <w:rsid w:val="00D1144D"/>
    <w:rsid w:val="00D114CF"/>
    <w:rsid w:val="00D1161D"/>
    <w:rsid w:val="00D1165A"/>
    <w:rsid w:val="00D116DD"/>
    <w:rsid w:val="00D11786"/>
    <w:rsid w:val="00D11A0A"/>
    <w:rsid w:val="00D11D7A"/>
    <w:rsid w:val="00D11DB2"/>
    <w:rsid w:val="00D11F5F"/>
    <w:rsid w:val="00D11F78"/>
    <w:rsid w:val="00D11F8D"/>
    <w:rsid w:val="00D11FFA"/>
    <w:rsid w:val="00D12246"/>
    <w:rsid w:val="00D12338"/>
    <w:rsid w:val="00D12615"/>
    <w:rsid w:val="00D1289D"/>
    <w:rsid w:val="00D128A0"/>
    <w:rsid w:val="00D129AC"/>
    <w:rsid w:val="00D129EE"/>
    <w:rsid w:val="00D12A68"/>
    <w:rsid w:val="00D12B55"/>
    <w:rsid w:val="00D12B6B"/>
    <w:rsid w:val="00D12C8E"/>
    <w:rsid w:val="00D12CF2"/>
    <w:rsid w:val="00D12D55"/>
    <w:rsid w:val="00D12EA9"/>
    <w:rsid w:val="00D12ED6"/>
    <w:rsid w:val="00D13014"/>
    <w:rsid w:val="00D130B6"/>
    <w:rsid w:val="00D13189"/>
    <w:rsid w:val="00D1322E"/>
    <w:rsid w:val="00D132C3"/>
    <w:rsid w:val="00D132F5"/>
    <w:rsid w:val="00D13436"/>
    <w:rsid w:val="00D1351C"/>
    <w:rsid w:val="00D13520"/>
    <w:rsid w:val="00D13552"/>
    <w:rsid w:val="00D1357F"/>
    <w:rsid w:val="00D1364C"/>
    <w:rsid w:val="00D13797"/>
    <w:rsid w:val="00D137F1"/>
    <w:rsid w:val="00D137FC"/>
    <w:rsid w:val="00D13943"/>
    <w:rsid w:val="00D139C0"/>
    <w:rsid w:val="00D139DD"/>
    <w:rsid w:val="00D139FA"/>
    <w:rsid w:val="00D13A5E"/>
    <w:rsid w:val="00D13B5F"/>
    <w:rsid w:val="00D13BDA"/>
    <w:rsid w:val="00D13C1C"/>
    <w:rsid w:val="00D13C91"/>
    <w:rsid w:val="00D13DB3"/>
    <w:rsid w:val="00D13E1F"/>
    <w:rsid w:val="00D13E74"/>
    <w:rsid w:val="00D13E95"/>
    <w:rsid w:val="00D13F7B"/>
    <w:rsid w:val="00D13FCC"/>
    <w:rsid w:val="00D140C2"/>
    <w:rsid w:val="00D140F1"/>
    <w:rsid w:val="00D142FA"/>
    <w:rsid w:val="00D14666"/>
    <w:rsid w:val="00D14694"/>
    <w:rsid w:val="00D146C5"/>
    <w:rsid w:val="00D146CC"/>
    <w:rsid w:val="00D147AD"/>
    <w:rsid w:val="00D14810"/>
    <w:rsid w:val="00D14919"/>
    <w:rsid w:val="00D14929"/>
    <w:rsid w:val="00D14961"/>
    <w:rsid w:val="00D149B1"/>
    <w:rsid w:val="00D149EC"/>
    <w:rsid w:val="00D149F0"/>
    <w:rsid w:val="00D14A1E"/>
    <w:rsid w:val="00D14C22"/>
    <w:rsid w:val="00D14CC7"/>
    <w:rsid w:val="00D14D0C"/>
    <w:rsid w:val="00D14D44"/>
    <w:rsid w:val="00D14D50"/>
    <w:rsid w:val="00D14DFC"/>
    <w:rsid w:val="00D14E0A"/>
    <w:rsid w:val="00D14E0D"/>
    <w:rsid w:val="00D14EEC"/>
    <w:rsid w:val="00D14F50"/>
    <w:rsid w:val="00D14F79"/>
    <w:rsid w:val="00D14FE9"/>
    <w:rsid w:val="00D14FEB"/>
    <w:rsid w:val="00D150CC"/>
    <w:rsid w:val="00D15298"/>
    <w:rsid w:val="00D1539A"/>
    <w:rsid w:val="00D15420"/>
    <w:rsid w:val="00D15573"/>
    <w:rsid w:val="00D1562A"/>
    <w:rsid w:val="00D156BD"/>
    <w:rsid w:val="00D15711"/>
    <w:rsid w:val="00D15827"/>
    <w:rsid w:val="00D1586C"/>
    <w:rsid w:val="00D15873"/>
    <w:rsid w:val="00D15B6A"/>
    <w:rsid w:val="00D15C75"/>
    <w:rsid w:val="00D15D5A"/>
    <w:rsid w:val="00D15DDE"/>
    <w:rsid w:val="00D15E0F"/>
    <w:rsid w:val="00D15E36"/>
    <w:rsid w:val="00D15E4E"/>
    <w:rsid w:val="00D15EF9"/>
    <w:rsid w:val="00D15F4A"/>
    <w:rsid w:val="00D15FA1"/>
    <w:rsid w:val="00D1617D"/>
    <w:rsid w:val="00D161B5"/>
    <w:rsid w:val="00D16453"/>
    <w:rsid w:val="00D16472"/>
    <w:rsid w:val="00D16551"/>
    <w:rsid w:val="00D16565"/>
    <w:rsid w:val="00D16634"/>
    <w:rsid w:val="00D167AC"/>
    <w:rsid w:val="00D16827"/>
    <w:rsid w:val="00D16890"/>
    <w:rsid w:val="00D16899"/>
    <w:rsid w:val="00D168A4"/>
    <w:rsid w:val="00D16AD4"/>
    <w:rsid w:val="00D16B12"/>
    <w:rsid w:val="00D16B2A"/>
    <w:rsid w:val="00D16BFF"/>
    <w:rsid w:val="00D16C78"/>
    <w:rsid w:val="00D16D68"/>
    <w:rsid w:val="00D16D8B"/>
    <w:rsid w:val="00D16FFC"/>
    <w:rsid w:val="00D1704D"/>
    <w:rsid w:val="00D17123"/>
    <w:rsid w:val="00D17179"/>
    <w:rsid w:val="00D172BC"/>
    <w:rsid w:val="00D17396"/>
    <w:rsid w:val="00D1743B"/>
    <w:rsid w:val="00D174C8"/>
    <w:rsid w:val="00D176A2"/>
    <w:rsid w:val="00D1774C"/>
    <w:rsid w:val="00D177E8"/>
    <w:rsid w:val="00D17828"/>
    <w:rsid w:val="00D1793C"/>
    <w:rsid w:val="00D1795C"/>
    <w:rsid w:val="00D179F9"/>
    <w:rsid w:val="00D17ABF"/>
    <w:rsid w:val="00D17AE9"/>
    <w:rsid w:val="00D17B63"/>
    <w:rsid w:val="00D17B81"/>
    <w:rsid w:val="00D17B86"/>
    <w:rsid w:val="00D17BB6"/>
    <w:rsid w:val="00D17BF7"/>
    <w:rsid w:val="00D17D6B"/>
    <w:rsid w:val="00D200E7"/>
    <w:rsid w:val="00D20175"/>
    <w:rsid w:val="00D20203"/>
    <w:rsid w:val="00D20237"/>
    <w:rsid w:val="00D20243"/>
    <w:rsid w:val="00D20269"/>
    <w:rsid w:val="00D202A1"/>
    <w:rsid w:val="00D20300"/>
    <w:rsid w:val="00D20308"/>
    <w:rsid w:val="00D203A6"/>
    <w:rsid w:val="00D204AB"/>
    <w:rsid w:val="00D204B5"/>
    <w:rsid w:val="00D204EE"/>
    <w:rsid w:val="00D206D8"/>
    <w:rsid w:val="00D20733"/>
    <w:rsid w:val="00D2073C"/>
    <w:rsid w:val="00D20777"/>
    <w:rsid w:val="00D20790"/>
    <w:rsid w:val="00D20791"/>
    <w:rsid w:val="00D20ABD"/>
    <w:rsid w:val="00D20C87"/>
    <w:rsid w:val="00D20D79"/>
    <w:rsid w:val="00D20E4D"/>
    <w:rsid w:val="00D20FD5"/>
    <w:rsid w:val="00D210A8"/>
    <w:rsid w:val="00D210C6"/>
    <w:rsid w:val="00D211D7"/>
    <w:rsid w:val="00D21297"/>
    <w:rsid w:val="00D212B2"/>
    <w:rsid w:val="00D212F7"/>
    <w:rsid w:val="00D213C0"/>
    <w:rsid w:val="00D21486"/>
    <w:rsid w:val="00D2154B"/>
    <w:rsid w:val="00D215C2"/>
    <w:rsid w:val="00D215FB"/>
    <w:rsid w:val="00D217C8"/>
    <w:rsid w:val="00D21844"/>
    <w:rsid w:val="00D218EC"/>
    <w:rsid w:val="00D21B95"/>
    <w:rsid w:val="00D21B9F"/>
    <w:rsid w:val="00D21D0C"/>
    <w:rsid w:val="00D21D78"/>
    <w:rsid w:val="00D21E30"/>
    <w:rsid w:val="00D21E4E"/>
    <w:rsid w:val="00D21E76"/>
    <w:rsid w:val="00D22089"/>
    <w:rsid w:val="00D2213C"/>
    <w:rsid w:val="00D222FF"/>
    <w:rsid w:val="00D22363"/>
    <w:rsid w:val="00D2247B"/>
    <w:rsid w:val="00D22537"/>
    <w:rsid w:val="00D2287B"/>
    <w:rsid w:val="00D22993"/>
    <w:rsid w:val="00D22A0F"/>
    <w:rsid w:val="00D22AB4"/>
    <w:rsid w:val="00D22B28"/>
    <w:rsid w:val="00D22B7D"/>
    <w:rsid w:val="00D22B98"/>
    <w:rsid w:val="00D22CEE"/>
    <w:rsid w:val="00D22DF6"/>
    <w:rsid w:val="00D22EE0"/>
    <w:rsid w:val="00D23077"/>
    <w:rsid w:val="00D23150"/>
    <w:rsid w:val="00D23192"/>
    <w:rsid w:val="00D23268"/>
    <w:rsid w:val="00D23337"/>
    <w:rsid w:val="00D23416"/>
    <w:rsid w:val="00D23563"/>
    <w:rsid w:val="00D235A4"/>
    <w:rsid w:val="00D235B4"/>
    <w:rsid w:val="00D2369E"/>
    <w:rsid w:val="00D236B0"/>
    <w:rsid w:val="00D236E8"/>
    <w:rsid w:val="00D23727"/>
    <w:rsid w:val="00D23935"/>
    <w:rsid w:val="00D23B11"/>
    <w:rsid w:val="00D23B43"/>
    <w:rsid w:val="00D23C4E"/>
    <w:rsid w:val="00D23CA8"/>
    <w:rsid w:val="00D23CD1"/>
    <w:rsid w:val="00D23D4D"/>
    <w:rsid w:val="00D23D6A"/>
    <w:rsid w:val="00D23F49"/>
    <w:rsid w:val="00D23F86"/>
    <w:rsid w:val="00D23FA4"/>
    <w:rsid w:val="00D24041"/>
    <w:rsid w:val="00D2404D"/>
    <w:rsid w:val="00D241B7"/>
    <w:rsid w:val="00D242CC"/>
    <w:rsid w:val="00D24326"/>
    <w:rsid w:val="00D2450D"/>
    <w:rsid w:val="00D24659"/>
    <w:rsid w:val="00D2466F"/>
    <w:rsid w:val="00D24695"/>
    <w:rsid w:val="00D246E8"/>
    <w:rsid w:val="00D24763"/>
    <w:rsid w:val="00D247B0"/>
    <w:rsid w:val="00D247D3"/>
    <w:rsid w:val="00D24840"/>
    <w:rsid w:val="00D24870"/>
    <w:rsid w:val="00D24B6B"/>
    <w:rsid w:val="00D250AF"/>
    <w:rsid w:val="00D2517B"/>
    <w:rsid w:val="00D25217"/>
    <w:rsid w:val="00D2558E"/>
    <w:rsid w:val="00D2559A"/>
    <w:rsid w:val="00D255FF"/>
    <w:rsid w:val="00D25730"/>
    <w:rsid w:val="00D2575A"/>
    <w:rsid w:val="00D25844"/>
    <w:rsid w:val="00D25920"/>
    <w:rsid w:val="00D25B44"/>
    <w:rsid w:val="00D25BB8"/>
    <w:rsid w:val="00D25C43"/>
    <w:rsid w:val="00D25D53"/>
    <w:rsid w:val="00D25DC1"/>
    <w:rsid w:val="00D25F48"/>
    <w:rsid w:val="00D26073"/>
    <w:rsid w:val="00D26239"/>
    <w:rsid w:val="00D262A8"/>
    <w:rsid w:val="00D26332"/>
    <w:rsid w:val="00D2646D"/>
    <w:rsid w:val="00D264DE"/>
    <w:rsid w:val="00D264E7"/>
    <w:rsid w:val="00D26501"/>
    <w:rsid w:val="00D2652B"/>
    <w:rsid w:val="00D2658F"/>
    <w:rsid w:val="00D26631"/>
    <w:rsid w:val="00D26797"/>
    <w:rsid w:val="00D26847"/>
    <w:rsid w:val="00D268A0"/>
    <w:rsid w:val="00D268CD"/>
    <w:rsid w:val="00D268EF"/>
    <w:rsid w:val="00D26A74"/>
    <w:rsid w:val="00D26B08"/>
    <w:rsid w:val="00D26B1A"/>
    <w:rsid w:val="00D26D10"/>
    <w:rsid w:val="00D26E2C"/>
    <w:rsid w:val="00D26E2F"/>
    <w:rsid w:val="00D26E3F"/>
    <w:rsid w:val="00D26E63"/>
    <w:rsid w:val="00D26F6A"/>
    <w:rsid w:val="00D2703A"/>
    <w:rsid w:val="00D271DD"/>
    <w:rsid w:val="00D27202"/>
    <w:rsid w:val="00D2729E"/>
    <w:rsid w:val="00D272CC"/>
    <w:rsid w:val="00D273D1"/>
    <w:rsid w:val="00D273D5"/>
    <w:rsid w:val="00D27598"/>
    <w:rsid w:val="00D275D9"/>
    <w:rsid w:val="00D276C9"/>
    <w:rsid w:val="00D276F9"/>
    <w:rsid w:val="00D278BF"/>
    <w:rsid w:val="00D278CF"/>
    <w:rsid w:val="00D279B1"/>
    <w:rsid w:val="00D279D9"/>
    <w:rsid w:val="00D27A26"/>
    <w:rsid w:val="00D27AE0"/>
    <w:rsid w:val="00D27B36"/>
    <w:rsid w:val="00D27B73"/>
    <w:rsid w:val="00D27B9D"/>
    <w:rsid w:val="00D27C1A"/>
    <w:rsid w:val="00D27CE5"/>
    <w:rsid w:val="00D27CF0"/>
    <w:rsid w:val="00D27D02"/>
    <w:rsid w:val="00D27DC7"/>
    <w:rsid w:val="00D27DC9"/>
    <w:rsid w:val="00D27E8B"/>
    <w:rsid w:val="00D27FAB"/>
    <w:rsid w:val="00D300DC"/>
    <w:rsid w:val="00D3010D"/>
    <w:rsid w:val="00D3029D"/>
    <w:rsid w:val="00D30534"/>
    <w:rsid w:val="00D306CA"/>
    <w:rsid w:val="00D3075A"/>
    <w:rsid w:val="00D30806"/>
    <w:rsid w:val="00D3082F"/>
    <w:rsid w:val="00D30848"/>
    <w:rsid w:val="00D30943"/>
    <w:rsid w:val="00D30977"/>
    <w:rsid w:val="00D309D8"/>
    <w:rsid w:val="00D30AB1"/>
    <w:rsid w:val="00D30C4E"/>
    <w:rsid w:val="00D30C9E"/>
    <w:rsid w:val="00D30CC1"/>
    <w:rsid w:val="00D30D08"/>
    <w:rsid w:val="00D30E93"/>
    <w:rsid w:val="00D30F96"/>
    <w:rsid w:val="00D30FC3"/>
    <w:rsid w:val="00D31253"/>
    <w:rsid w:val="00D312E2"/>
    <w:rsid w:val="00D31384"/>
    <w:rsid w:val="00D313A5"/>
    <w:rsid w:val="00D313AF"/>
    <w:rsid w:val="00D313E2"/>
    <w:rsid w:val="00D313F5"/>
    <w:rsid w:val="00D31494"/>
    <w:rsid w:val="00D314AE"/>
    <w:rsid w:val="00D3151F"/>
    <w:rsid w:val="00D31667"/>
    <w:rsid w:val="00D3172D"/>
    <w:rsid w:val="00D317F3"/>
    <w:rsid w:val="00D31854"/>
    <w:rsid w:val="00D3186A"/>
    <w:rsid w:val="00D318A5"/>
    <w:rsid w:val="00D3190A"/>
    <w:rsid w:val="00D319C8"/>
    <w:rsid w:val="00D319CE"/>
    <w:rsid w:val="00D31A06"/>
    <w:rsid w:val="00D31CDE"/>
    <w:rsid w:val="00D31CEC"/>
    <w:rsid w:val="00D31E9B"/>
    <w:rsid w:val="00D31EA0"/>
    <w:rsid w:val="00D31EB1"/>
    <w:rsid w:val="00D31FF4"/>
    <w:rsid w:val="00D321D5"/>
    <w:rsid w:val="00D32550"/>
    <w:rsid w:val="00D32568"/>
    <w:rsid w:val="00D32703"/>
    <w:rsid w:val="00D3274F"/>
    <w:rsid w:val="00D32906"/>
    <w:rsid w:val="00D3297E"/>
    <w:rsid w:val="00D329DF"/>
    <w:rsid w:val="00D32A2A"/>
    <w:rsid w:val="00D32A53"/>
    <w:rsid w:val="00D32B83"/>
    <w:rsid w:val="00D32BCB"/>
    <w:rsid w:val="00D32BE4"/>
    <w:rsid w:val="00D32C0F"/>
    <w:rsid w:val="00D32CE6"/>
    <w:rsid w:val="00D32DCD"/>
    <w:rsid w:val="00D32DEA"/>
    <w:rsid w:val="00D32F4A"/>
    <w:rsid w:val="00D33015"/>
    <w:rsid w:val="00D3306B"/>
    <w:rsid w:val="00D33096"/>
    <w:rsid w:val="00D330C6"/>
    <w:rsid w:val="00D33136"/>
    <w:rsid w:val="00D331A2"/>
    <w:rsid w:val="00D3322A"/>
    <w:rsid w:val="00D33319"/>
    <w:rsid w:val="00D333EA"/>
    <w:rsid w:val="00D3346F"/>
    <w:rsid w:val="00D335C1"/>
    <w:rsid w:val="00D335FD"/>
    <w:rsid w:val="00D33895"/>
    <w:rsid w:val="00D33900"/>
    <w:rsid w:val="00D3393F"/>
    <w:rsid w:val="00D33974"/>
    <w:rsid w:val="00D339E7"/>
    <w:rsid w:val="00D33A2B"/>
    <w:rsid w:val="00D33D1F"/>
    <w:rsid w:val="00D33D3E"/>
    <w:rsid w:val="00D33DA7"/>
    <w:rsid w:val="00D33E41"/>
    <w:rsid w:val="00D33FD1"/>
    <w:rsid w:val="00D33FF2"/>
    <w:rsid w:val="00D3410F"/>
    <w:rsid w:val="00D341F2"/>
    <w:rsid w:val="00D34214"/>
    <w:rsid w:val="00D34308"/>
    <w:rsid w:val="00D34326"/>
    <w:rsid w:val="00D34435"/>
    <w:rsid w:val="00D344A1"/>
    <w:rsid w:val="00D3466B"/>
    <w:rsid w:val="00D34670"/>
    <w:rsid w:val="00D346C6"/>
    <w:rsid w:val="00D346CD"/>
    <w:rsid w:val="00D3471C"/>
    <w:rsid w:val="00D349AD"/>
    <w:rsid w:val="00D34BB7"/>
    <w:rsid w:val="00D34C41"/>
    <w:rsid w:val="00D34C53"/>
    <w:rsid w:val="00D34C69"/>
    <w:rsid w:val="00D34C9F"/>
    <w:rsid w:val="00D34CDF"/>
    <w:rsid w:val="00D34DD6"/>
    <w:rsid w:val="00D34EF2"/>
    <w:rsid w:val="00D3511B"/>
    <w:rsid w:val="00D3540E"/>
    <w:rsid w:val="00D35445"/>
    <w:rsid w:val="00D35894"/>
    <w:rsid w:val="00D358BD"/>
    <w:rsid w:val="00D35971"/>
    <w:rsid w:val="00D35A0F"/>
    <w:rsid w:val="00D35AE5"/>
    <w:rsid w:val="00D35B71"/>
    <w:rsid w:val="00D35C41"/>
    <w:rsid w:val="00D35DC3"/>
    <w:rsid w:val="00D35E74"/>
    <w:rsid w:val="00D35E8A"/>
    <w:rsid w:val="00D360AC"/>
    <w:rsid w:val="00D360CF"/>
    <w:rsid w:val="00D360EC"/>
    <w:rsid w:val="00D36144"/>
    <w:rsid w:val="00D3631C"/>
    <w:rsid w:val="00D3638C"/>
    <w:rsid w:val="00D3652E"/>
    <w:rsid w:val="00D3661E"/>
    <w:rsid w:val="00D3679A"/>
    <w:rsid w:val="00D36896"/>
    <w:rsid w:val="00D369CD"/>
    <w:rsid w:val="00D36A0A"/>
    <w:rsid w:val="00D36A2A"/>
    <w:rsid w:val="00D36A41"/>
    <w:rsid w:val="00D36A5C"/>
    <w:rsid w:val="00D36AC3"/>
    <w:rsid w:val="00D36B95"/>
    <w:rsid w:val="00D36C21"/>
    <w:rsid w:val="00D36C48"/>
    <w:rsid w:val="00D36C97"/>
    <w:rsid w:val="00D36CCD"/>
    <w:rsid w:val="00D36E57"/>
    <w:rsid w:val="00D36E73"/>
    <w:rsid w:val="00D37006"/>
    <w:rsid w:val="00D3708F"/>
    <w:rsid w:val="00D37528"/>
    <w:rsid w:val="00D375FB"/>
    <w:rsid w:val="00D37635"/>
    <w:rsid w:val="00D376CB"/>
    <w:rsid w:val="00D376DD"/>
    <w:rsid w:val="00D37711"/>
    <w:rsid w:val="00D37751"/>
    <w:rsid w:val="00D377D4"/>
    <w:rsid w:val="00D37825"/>
    <w:rsid w:val="00D378AD"/>
    <w:rsid w:val="00D37A45"/>
    <w:rsid w:val="00D37A8D"/>
    <w:rsid w:val="00D37B41"/>
    <w:rsid w:val="00D37BB3"/>
    <w:rsid w:val="00D37D27"/>
    <w:rsid w:val="00D37D61"/>
    <w:rsid w:val="00D37E5D"/>
    <w:rsid w:val="00D37E8C"/>
    <w:rsid w:val="00D37EB2"/>
    <w:rsid w:val="00D37EC8"/>
    <w:rsid w:val="00D37EFA"/>
    <w:rsid w:val="00D40032"/>
    <w:rsid w:val="00D4015D"/>
    <w:rsid w:val="00D4025B"/>
    <w:rsid w:val="00D4028E"/>
    <w:rsid w:val="00D40500"/>
    <w:rsid w:val="00D40753"/>
    <w:rsid w:val="00D407EA"/>
    <w:rsid w:val="00D40857"/>
    <w:rsid w:val="00D40965"/>
    <w:rsid w:val="00D40968"/>
    <w:rsid w:val="00D40B0B"/>
    <w:rsid w:val="00D40B8D"/>
    <w:rsid w:val="00D40BC2"/>
    <w:rsid w:val="00D40C38"/>
    <w:rsid w:val="00D40C43"/>
    <w:rsid w:val="00D40D08"/>
    <w:rsid w:val="00D40E66"/>
    <w:rsid w:val="00D41133"/>
    <w:rsid w:val="00D412F9"/>
    <w:rsid w:val="00D4133D"/>
    <w:rsid w:val="00D41416"/>
    <w:rsid w:val="00D41438"/>
    <w:rsid w:val="00D41449"/>
    <w:rsid w:val="00D41476"/>
    <w:rsid w:val="00D41519"/>
    <w:rsid w:val="00D41627"/>
    <w:rsid w:val="00D416EC"/>
    <w:rsid w:val="00D417DB"/>
    <w:rsid w:val="00D41823"/>
    <w:rsid w:val="00D418BE"/>
    <w:rsid w:val="00D41916"/>
    <w:rsid w:val="00D41B2C"/>
    <w:rsid w:val="00D41BE3"/>
    <w:rsid w:val="00D41D03"/>
    <w:rsid w:val="00D41E7B"/>
    <w:rsid w:val="00D41FA5"/>
    <w:rsid w:val="00D42173"/>
    <w:rsid w:val="00D42190"/>
    <w:rsid w:val="00D423D9"/>
    <w:rsid w:val="00D424E6"/>
    <w:rsid w:val="00D42501"/>
    <w:rsid w:val="00D425C0"/>
    <w:rsid w:val="00D425E1"/>
    <w:rsid w:val="00D4265E"/>
    <w:rsid w:val="00D426A8"/>
    <w:rsid w:val="00D426D6"/>
    <w:rsid w:val="00D42706"/>
    <w:rsid w:val="00D4280C"/>
    <w:rsid w:val="00D42926"/>
    <w:rsid w:val="00D42972"/>
    <w:rsid w:val="00D42A3F"/>
    <w:rsid w:val="00D42BBC"/>
    <w:rsid w:val="00D42C3E"/>
    <w:rsid w:val="00D42CD3"/>
    <w:rsid w:val="00D42CE5"/>
    <w:rsid w:val="00D42D4C"/>
    <w:rsid w:val="00D43162"/>
    <w:rsid w:val="00D43421"/>
    <w:rsid w:val="00D43441"/>
    <w:rsid w:val="00D4347A"/>
    <w:rsid w:val="00D434F0"/>
    <w:rsid w:val="00D43511"/>
    <w:rsid w:val="00D43557"/>
    <w:rsid w:val="00D4357E"/>
    <w:rsid w:val="00D435D1"/>
    <w:rsid w:val="00D435D2"/>
    <w:rsid w:val="00D43604"/>
    <w:rsid w:val="00D4360B"/>
    <w:rsid w:val="00D43619"/>
    <w:rsid w:val="00D43701"/>
    <w:rsid w:val="00D43728"/>
    <w:rsid w:val="00D43730"/>
    <w:rsid w:val="00D437DA"/>
    <w:rsid w:val="00D439DC"/>
    <w:rsid w:val="00D43A00"/>
    <w:rsid w:val="00D43A10"/>
    <w:rsid w:val="00D43A6F"/>
    <w:rsid w:val="00D43A7B"/>
    <w:rsid w:val="00D43AE5"/>
    <w:rsid w:val="00D43BD3"/>
    <w:rsid w:val="00D43DD1"/>
    <w:rsid w:val="00D43E68"/>
    <w:rsid w:val="00D44394"/>
    <w:rsid w:val="00D443A4"/>
    <w:rsid w:val="00D44424"/>
    <w:rsid w:val="00D445F0"/>
    <w:rsid w:val="00D446E6"/>
    <w:rsid w:val="00D447AC"/>
    <w:rsid w:val="00D447FA"/>
    <w:rsid w:val="00D44857"/>
    <w:rsid w:val="00D448A3"/>
    <w:rsid w:val="00D4491B"/>
    <w:rsid w:val="00D44977"/>
    <w:rsid w:val="00D44994"/>
    <w:rsid w:val="00D449E9"/>
    <w:rsid w:val="00D44ACE"/>
    <w:rsid w:val="00D44B0C"/>
    <w:rsid w:val="00D44C89"/>
    <w:rsid w:val="00D44D02"/>
    <w:rsid w:val="00D44E8D"/>
    <w:rsid w:val="00D44EA5"/>
    <w:rsid w:val="00D44F62"/>
    <w:rsid w:val="00D44F8B"/>
    <w:rsid w:val="00D44FAD"/>
    <w:rsid w:val="00D451EC"/>
    <w:rsid w:val="00D45214"/>
    <w:rsid w:val="00D452B9"/>
    <w:rsid w:val="00D452D5"/>
    <w:rsid w:val="00D4532A"/>
    <w:rsid w:val="00D4532B"/>
    <w:rsid w:val="00D453E8"/>
    <w:rsid w:val="00D4551D"/>
    <w:rsid w:val="00D45746"/>
    <w:rsid w:val="00D45782"/>
    <w:rsid w:val="00D457B3"/>
    <w:rsid w:val="00D45898"/>
    <w:rsid w:val="00D45997"/>
    <w:rsid w:val="00D459AB"/>
    <w:rsid w:val="00D459E3"/>
    <w:rsid w:val="00D45B69"/>
    <w:rsid w:val="00D45CB5"/>
    <w:rsid w:val="00D45D10"/>
    <w:rsid w:val="00D45D19"/>
    <w:rsid w:val="00D45E70"/>
    <w:rsid w:val="00D45E8F"/>
    <w:rsid w:val="00D45F04"/>
    <w:rsid w:val="00D463AF"/>
    <w:rsid w:val="00D4646D"/>
    <w:rsid w:val="00D4651E"/>
    <w:rsid w:val="00D465A4"/>
    <w:rsid w:val="00D465E0"/>
    <w:rsid w:val="00D46651"/>
    <w:rsid w:val="00D4667A"/>
    <w:rsid w:val="00D46690"/>
    <w:rsid w:val="00D466E9"/>
    <w:rsid w:val="00D46747"/>
    <w:rsid w:val="00D467C8"/>
    <w:rsid w:val="00D46816"/>
    <w:rsid w:val="00D46A74"/>
    <w:rsid w:val="00D46ABB"/>
    <w:rsid w:val="00D46AC4"/>
    <w:rsid w:val="00D46B4D"/>
    <w:rsid w:val="00D46B6B"/>
    <w:rsid w:val="00D46B91"/>
    <w:rsid w:val="00D46C56"/>
    <w:rsid w:val="00D46C93"/>
    <w:rsid w:val="00D46D64"/>
    <w:rsid w:val="00D46F91"/>
    <w:rsid w:val="00D47000"/>
    <w:rsid w:val="00D471A4"/>
    <w:rsid w:val="00D471C3"/>
    <w:rsid w:val="00D4725E"/>
    <w:rsid w:val="00D47376"/>
    <w:rsid w:val="00D474AC"/>
    <w:rsid w:val="00D474BB"/>
    <w:rsid w:val="00D474D2"/>
    <w:rsid w:val="00D47574"/>
    <w:rsid w:val="00D4766B"/>
    <w:rsid w:val="00D476A9"/>
    <w:rsid w:val="00D476C2"/>
    <w:rsid w:val="00D477EA"/>
    <w:rsid w:val="00D47821"/>
    <w:rsid w:val="00D478DE"/>
    <w:rsid w:val="00D478FB"/>
    <w:rsid w:val="00D47929"/>
    <w:rsid w:val="00D4796D"/>
    <w:rsid w:val="00D47999"/>
    <w:rsid w:val="00D47A49"/>
    <w:rsid w:val="00D47A72"/>
    <w:rsid w:val="00D47B58"/>
    <w:rsid w:val="00D47CCE"/>
    <w:rsid w:val="00D47E48"/>
    <w:rsid w:val="00D47FE7"/>
    <w:rsid w:val="00D500CF"/>
    <w:rsid w:val="00D50129"/>
    <w:rsid w:val="00D50211"/>
    <w:rsid w:val="00D50281"/>
    <w:rsid w:val="00D50296"/>
    <w:rsid w:val="00D50306"/>
    <w:rsid w:val="00D5036C"/>
    <w:rsid w:val="00D50484"/>
    <w:rsid w:val="00D50693"/>
    <w:rsid w:val="00D5072A"/>
    <w:rsid w:val="00D50787"/>
    <w:rsid w:val="00D50853"/>
    <w:rsid w:val="00D509C5"/>
    <w:rsid w:val="00D509F0"/>
    <w:rsid w:val="00D50A05"/>
    <w:rsid w:val="00D50B2B"/>
    <w:rsid w:val="00D50C1F"/>
    <w:rsid w:val="00D50C66"/>
    <w:rsid w:val="00D50C99"/>
    <w:rsid w:val="00D50E88"/>
    <w:rsid w:val="00D50F02"/>
    <w:rsid w:val="00D50FB1"/>
    <w:rsid w:val="00D51187"/>
    <w:rsid w:val="00D514B9"/>
    <w:rsid w:val="00D5154B"/>
    <w:rsid w:val="00D51741"/>
    <w:rsid w:val="00D51838"/>
    <w:rsid w:val="00D51871"/>
    <w:rsid w:val="00D519D8"/>
    <w:rsid w:val="00D51A71"/>
    <w:rsid w:val="00D51A8F"/>
    <w:rsid w:val="00D51BD0"/>
    <w:rsid w:val="00D51C52"/>
    <w:rsid w:val="00D51CD6"/>
    <w:rsid w:val="00D51CEF"/>
    <w:rsid w:val="00D51D56"/>
    <w:rsid w:val="00D51E28"/>
    <w:rsid w:val="00D521DC"/>
    <w:rsid w:val="00D52201"/>
    <w:rsid w:val="00D522CC"/>
    <w:rsid w:val="00D52310"/>
    <w:rsid w:val="00D525B9"/>
    <w:rsid w:val="00D5262E"/>
    <w:rsid w:val="00D5268E"/>
    <w:rsid w:val="00D52774"/>
    <w:rsid w:val="00D5280F"/>
    <w:rsid w:val="00D52888"/>
    <w:rsid w:val="00D52908"/>
    <w:rsid w:val="00D5297D"/>
    <w:rsid w:val="00D52A6A"/>
    <w:rsid w:val="00D52A97"/>
    <w:rsid w:val="00D52B51"/>
    <w:rsid w:val="00D52B74"/>
    <w:rsid w:val="00D52BF5"/>
    <w:rsid w:val="00D52DAB"/>
    <w:rsid w:val="00D52DCE"/>
    <w:rsid w:val="00D52F50"/>
    <w:rsid w:val="00D531BF"/>
    <w:rsid w:val="00D53253"/>
    <w:rsid w:val="00D53354"/>
    <w:rsid w:val="00D53395"/>
    <w:rsid w:val="00D533C5"/>
    <w:rsid w:val="00D53415"/>
    <w:rsid w:val="00D534F4"/>
    <w:rsid w:val="00D53522"/>
    <w:rsid w:val="00D5352B"/>
    <w:rsid w:val="00D535E3"/>
    <w:rsid w:val="00D53769"/>
    <w:rsid w:val="00D5386B"/>
    <w:rsid w:val="00D539DC"/>
    <w:rsid w:val="00D53A03"/>
    <w:rsid w:val="00D53ADA"/>
    <w:rsid w:val="00D53CC3"/>
    <w:rsid w:val="00D53D37"/>
    <w:rsid w:val="00D53FCE"/>
    <w:rsid w:val="00D53FE1"/>
    <w:rsid w:val="00D5407D"/>
    <w:rsid w:val="00D540A3"/>
    <w:rsid w:val="00D5448E"/>
    <w:rsid w:val="00D5469B"/>
    <w:rsid w:val="00D5474A"/>
    <w:rsid w:val="00D54888"/>
    <w:rsid w:val="00D54AD8"/>
    <w:rsid w:val="00D54AFC"/>
    <w:rsid w:val="00D54C6A"/>
    <w:rsid w:val="00D54F9E"/>
    <w:rsid w:val="00D54FAA"/>
    <w:rsid w:val="00D54FC6"/>
    <w:rsid w:val="00D550A6"/>
    <w:rsid w:val="00D55199"/>
    <w:rsid w:val="00D551B4"/>
    <w:rsid w:val="00D551BB"/>
    <w:rsid w:val="00D551F8"/>
    <w:rsid w:val="00D552C6"/>
    <w:rsid w:val="00D55376"/>
    <w:rsid w:val="00D5548A"/>
    <w:rsid w:val="00D5549A"/>
    <w:rsid w:val="00D554DD"/>
    <w:rsid w:val="00D55511"/>
    <w:rsid w:val="00D558FD"/>
    <w:rsid w:val="00D559CF"/>
    <w:rsid w:val="00D559EE"/>
    <w:rsid w:val="00D55A20"/>
    <w:rsid w:val="00D55CA8"/>
    <w:rsid w:val="00D55CC5"/>
    <w:rsid w:val="00D56029"/>
    <w:rsid w:val="00D56042"/>
    <w:rsid w:val="00D5628F"/>
    <w:rsid w:val="00D56398"/>
    <w:rsid w:val="00D56453"/>
    <w:rsid w:val="00D564E2"/>
    <w:rsid w:val="00D564F1"/>
    <w:rsid w:val="00D5651C"/>
    <w:rsid w:val="00D5652C"/>
    <w:rsid w:val="00D5657E"/>
    <w:rsid w:val="00D56704"/>
    <w:rsid w:val="00D568B2"/>
    <w:rsid w:val="00D56962"/>
    <w:rsid w:val="00D569F1"/>
    <w:rsid w:val="00D56A3F"/>
    <w:rsid w:val="00D56A73"/>
    <w:rsid w:val="00D56E0A"/>
    <w:rsid w:val="00D56EFF"/>
    <w:rsid w:val="00D56F98"/>
    <w:rsid w:val="00D57011"/>
    <w:rsid w:val="00D57163"/>
    <w:rsid w:val="00D5722C"/>
    <w:rsid w:val="00D57440"/>
    <w:rsid w:val="00D5748A"/>
    <w:rsid w:val="00D57575"/>
    <w:rsid w:val="00D57595"/>
    <w:rsid w:val="00D576AB"/>
    <w:rsid w:val="00D576B2"/>
    <w:rsid w:val="00D576C7"/>
    <w:rsid w:val="00D576D3"/>
    <w:rsid w:val="00D57836"/>
    <w:rsid w:val="00D578FE"/>
    <w:rsid w:val="00D578FF"/>
    <w:rsid w:val="00D5797A"/>
    <w:rsid w:val="00D579CA"/>
    <w:rsid w:val="00D57A0A"/>
    <w:rsid w:val="00D57AEE"/>
    <w:rsid w:val="00D57B45"/>
    <w:rsid w:val="00D57BC2"/>
    <w:rsid w:val="00D57C7A"/>
    <w:rsid w:val="00D57D58"/>
    <w:rsid w:val="00D57D7F"/>
    <w:rsid w:val="00D57E09"/>
    <w:rsid w:val="00D57E54"/>
    <w:rsid w:val="00D57E5D"/>
    <w:rsid w:val="00D57F5B"/>
    <w:rsid w:val="00D57F86"/>
    <w:rsid w:val="00D600CB"/>
    <w:rsid w:val="00D60126"/>
    <w:rsid w:val="00D602DF"/>
    <w:rsid w:val="00D603B2"/>
    <w:rsid w:val="00D60468"/>
    <w:rsid w:val="00D604CD"/>
    <w:rsid w:val="00D6050F"/>
    <w:rsid w:val="00D60572"/>
    <w:rsid w:val="00D605C1"/>
    <w:rsid w:val="00D60672"/>
    <w:rsid w:val="00D606A4"/>
    <w:rsid w:val="00D606CE"/>
    <w:rsid w:val="00D606EB"/>
    <w:rsid w:val="00D60D7E"/>
    <w:rsid w:val="00D60EC7"/>
    <w:rsid w:val="00D60F2F"/>
    <w:rsid w:val="00D60F7B"/>
    <w:rsid w:val="00D6102C"/>
    <w:rsid w:val="00D6108D"/>
    <w:rsid w:val="00D61217"/>
    <w:rsid w:val="00D613B7"/>
    <w:rsid w:val="00D614AD"/>
    <w:rsid w:val="00D6152E"/>
    <w:rsid w:val="00D61825"/>
    <w:rsid w:val="00D61C77"/>
    <w:rsid w:val="00D61CE9"/>
    <w:rsid w:val="00D61D5B"/>
    <w:rsid w:val="00D61DAF"/>
    <w:rsid w:val="00D61DFC"/>
    <w:rsid w:val="00D61F66"/>
    <w:rsid w:val="00D6213F"/>
    <w:rsid w:val="00D62169"/>
    <w:rsid w:val="00D6219D"/>
    <w:rsid w:val="00D621B0"/>
    <w:rsid w:val="00D622A7"/>
    <w:rsid w:val="00D6232C"/>
    <w:rsid w:val="00D624CC"/>
    <w:rsid w:val="00D624E5"/>
    <w:rsid w:val="00D6254D"/>
    <w:rsid w:val="00D625C7"/>
    <w:rsid w:val="00D62609"/>
    <w:rsid w:val="00D6287D"/>
    <w:rsid w:val="00D62883"/>
    <w:rsid w:val="00D6291E"/>
    <w:rsid w:val="00D62979"/>
    <w:rsid w:val="00D62A49"/>
    <w:rsid w:val="00D62A81"/>
    <w:rsid w:val="00D62AA3"/>
    <w:rsid w:val="00D62AF4"/>
    <w:rsid w:val="00D62B45"/>
    <w:rsid w:val="00D62BEF"/>
    <w:rsid w:val="00D62C20"/>
    <w:rsid w:val="00D62CDE"/>
    <w:rsid w:val="00D62D0A"/>
    <w:rsid w:val="00D62D1A"/>
    <w:rsid w:val="00D62E66"/>
    <w:rsid w:val="00D62FBA"/>
    <w:rsid w:val="00D63111"/>
    <w:rsid w:val="00D6316F"/>
    <w:rsid w:val="00D632D6"/>
    <w:rsid w:val="00D633D0"/>
    <w:rsid w:val="00D63410"/>
    <w:rsid w:val="00D6342C"/>
    <w:rsid w:val="00D6343C"/>
    <w:rsid w:val="00D6349B"/>
    <w:rsid w:val="00D63618"/>
    <w:rsid w:val="00D636FC"/>
    <w:rsid w:val="00D63851"/>
    <w:rsid w:val="00D639F5"/>
    <w:rsid w:val="00D63A0E"/>
    <w:rsid w:val="00D63A32"/>
    <w:rsid w:val="00D63C3D"/>
    <w:rsid w:val="00D63CAC"/>
    <w:rsid w:val="00D63D09"/>
    <w:rsid w:val="00D63D96"/>
    <w:rsid w:val="00D63E6F"/>
    <w:rsid w:val="00D63FB0"/>
    <w:rsid w:val="00D63FF2"/>
    <w:rsid w:val="00D6409B"/>
    <w:rsid w:val="00D6411E"/>
    <w:rsid w:val="00D64310"/>
    <w:rsid w:val="00D6432F"/>
    <w:rsid w:val="00D64351"/>
    <w:rsid w:val="00D643B9"/>
    <w:rsid w:val="00D64529"/>
    <w:rsid w:val="00D64698"/>
    <w:rsid w:val="00D647FA"/>
    <w:rsid w:val="00D6481E"/>
    <w:rsid w:val="00D64856"/>
    <w:rsid w:val="00D6493F"/>
    <w:rsid w:val="00D64A44"/>
    <w:rsid w:val="00D64A9D"/>
    <w:rsid w:val="00D64A9E"/>
    <w:rsid w:val="00D64AA0"/>
    <w:rsid w:val="00D64AB4"/>
    <w:rsid w:val="00D64B39"/>
    <w:rsid w:val="00D64B4D"/>
    <w:rsid w:val="00D64BC2"/>
    <w:rsid w:val="00D64C73"/>
    <w:rsid w:val="00D64CE0"/>
    <w:rsid w:val="00D64DD9"/>
    <w:rsid w:val="00D65068"/>
    <w:rsid w:val="00D650D1"/>
    <w:rsid w:val="00D65178"/>
    <w:rsid w:val="00D651C7"/>
    <w:rsid w:val="00D651F4"/>
    <w:rsid w:val="00D65254"/>
    <w:rsid w:val="00D652C3"/>
    <w:rsid w:val="00D65356"/>
    <w:rsid w:val="00D654F9"/>
    <w:rsid w:val="00D65528"/>
    <w:rsid w:val="00D655D6"/>
    <w:rsid w:val="00D656FE"/>
    <w:rsid w:val="00D657EC"/>
    <w:rsid w:val="00D658D1"/>
    <w:rsid w:val="00D659C0"/>
    <w:rsid w:val="00D659D5"/>
    <w:rsid w:val="00D65B19"/>
    <w:rsid w:val="00D65C29"/>
    <w:rsid w:val="00D65D26"/>
    <w:rsid w:val="00D65D5C"/>
    <w:rsid w:val="00D65D5F"/>
    <w:rsid w:val="00D65D9E"/>
    <w:rsid w:val="00D65E49"/>
    <w:rsid w:val="00D65ED3"/>
    <w:rsid w:val="00D65F09"/>
    <w:rsid w:val="00D65FAE"/>
    <w:rsid w:val="00D6617F"/>
    <w:rsid w:val="00D661BA"/>
    <w:rsid w:val="00D661C7"/>
    <w:rsid w:val="00D661DA"/>
    <w:rsid w:val="00D66218"/>
    <w:rsid w:val="00D6628D"/>
    <w:rsid w:val="00D66293"/>
    <w:rsid w:val="00D663D2"/>
    <w:rsid w:val="00D665EA"/>
    <w:rsid w:val="00D66A99"/>
    <w:rsid w:val="00D66B02"/>
    <w:rsid w:val="00D66B0C"/>
    <w:rsid w:val="00D66B7D"/>
    <w:rsid w:val="00D66C87"/>
    <w:rsid w:val="00D66D94"/>
    <w:rsid w:val="00D66E49"/>
    <w:rsid w:val="00D66E5D"/>
    <w:rsid w:val="00D66E8D"/>
    <w:rsid w:val="00D66ED6"/>
    <w:rsid w:val="00D66F62"/>
    <w:rsid w:val="00D66FE3"/>
    <w:rsid w:val="00D6700C"/>
    <w:rsid w:val="00D67038"/>
    <w:rsid w:val="00D67104"/>
    <w:rsid w:val="00D671D8"/>
    <w:rsid w:val="00D6728F"/>
    <w:rsid w:val="00D672D0"/>
    <w:rsid w:val="00D672F3"/>
    <w:rsid w:val="00D67342"/>
    <w:rsid w:val="00D673E9"/>
    <w:rsid w:val="00D674B6"/>
    <w:rsid w:val="00D675DF"/>
    <w:rsid w:val="00D67738"/>
    <w:rsid w:val="00D67741"/>
    <w:rsid w:val="00D678BE"/>
    <w:rsid w:val="00D678FC"/>
    <w:rsid w:val="00D6798E"/>
    <w:rsid w:val="00D679D2"/>
    <w:rsid w:val="00D67A03"/>
    <w:rsid w:val="00D67A52"/>
    <w:rsid w:val="00D67CB7"/>
    <w:rsid w:val="00D67CF4"/>
    <w:rsid w:val="00D67E54"/>
    <w:rsid w:val="00D67FCF"/>
    <w:rsid w:val="00D70202"/>
    <w:rsid w:val="00D7044C"/>
    <w:rsid w:val="00D704C3"/>
    <w:rsid w:val="00D704E5"/>
    <w:rsid w:val="00D70566"/>
    <w:rsid w:val="00D7060E"/>
    <w:rsid w:val="00D70702"/>
    <w:rsid w:val="00D707F0"/>
    <w:rsid w:val="00D7086D"/>
    <w:rsid w:val="00D708DB"/>
    <w:rsid w:val="00D70965"/>
    <w:rsid w:val="00D709FF"/>
    <w:rsid w:val="00D70A9C"/>
    <w:rsid w:val="00D70A9E"/>
    <w:rsid w:val="00D70B0F"/>
    <w:rsid w:val="00D70B2A"/>
    <w:rsid w:val="00D70BA4"/>
    <w:rsid w:val="00D70C56"/>
    <w:rsid w:val="00D70D36"/>
    <w:rsid w:val="00D70DDA"/>
    <w:rsid w:val="00D70E03"/>
    <w:rsid w:val="00D70E6D"/>
    <w:rsid w:val="00D70F3D"/>
    <w:rsid w:val="00D70F57"/>
    <w:rsid w:val="00D71034"/>
    <w:rsid w:val="00D7103F"/>
    <w:rsid w:val="00D710D2"/>
    <w:rsid w:val="00D711C7"/>
    <w:rsid w:val="00D711DE"/>
    <w:rsid w:val="00D712B2"/>
    <w:rsid w:val="00D7141F"/>
    <w:rsid w:val="00D71464"/>
    <w:rsid w:val="00D7146A"/>
    <w:rsid w:val="00D71504"/>
    <w:rsid w:val="00D71552"/>
    <w:rsid w:val="00D715C8"/>
    <w:rsid w:val="00D71640"/>
    <w:rsid w:val="00D7174A"/>
    <w:rsid w:val="00D717CB"/>
    <w:rsid w:val="00D717D8"/>
    <w:rsid w:val="00D71A94"/>
    <w:rsid w:val="00D71AAB"/>
    <w:rsid w:val="00D71AF9"/>
    <w:rsid w:val="00D71B17"/>
    <w:rsid w:val="00D71B58"/>
    <w:rsid w:val="00D71BB1"/>
    <w:rsid w:val="00D71CE1"/>
    <w:rsid w:val="00D71E16"/>
    <w:rsid w:val="00D71F07"/>
    <w:rsid w:val="00D720B4"/>
    <w:rsid w:val="00D72159"/>
    <w:rsid w:val="00D7218F"/>
    <w:rsid w:val="00D72392"/>
    <w:rsid w:val="00D72490"/>
    <w:rsid w:val="00D724DE"/>
    <w:rsid w:val="00D725AA"/>
    <w:rsid w:val="00D7279F"/>
    <w:rsid w:val="00D728B1"/>
    <w:rsid w:val="00D72AC1"/>
    <w:rsid w:val="00D72ACA"/>
    <w:rsid w:val="00D72BE5"/>
    <w:rsid w:val="00D72C6E"/>
    <w:rsid w:val="00D72D63"/>
    <w:rsid w:val="00D72D9C"/>
    <w:rsid w:val="00D72E43"/>
    <w:rsid w:val="00D72F26"/>
    <w:rsid w:val="00D72F27"/>
    <w:rsid w:val="00D72F7A"/>
    <w:rsid w:val="00D7301C"/>
    <w:rsid w:val="00D730AD"/>
    <w:rsid w:val="00D7313D"/>
    <w:rsid w:val="00D731B6"/>
    <w:rsid w:val="00D731BA"/>
    <w:rsid w:val="00D7324F"/>
    <w:rsid w:val="00D73325"/>
    <w:rsid w:val="00D733BD"/>
    <w:rsid w:val="00D734A1"/>
    <w:rsid w:val="00D734BE"/>
    <w:rsid w:val="00D73528"/>
    <w:rsid w:val="00D73694"/>
    <w:rsid w:val="00D736FD"/>
    <w:rsid w:val="00D7385F"/>
    <w:rsid w:val="00D73A07"/>
    <w:rsid w:val="00D73AB5"/>
    <w:rsid w:val="00D73C5C"/>
    <w:rsid w:val="00D73C86"/>
    <w:rsid w:val="00D73D8B"/>
    <w:rsid w:val="00D73DBB"/>
    <w:rsid w:val="00D73E9D"/>
    <w:rsid w:val="00D73EB1"/>
    <w:rsid w:val="00D73F44"/>
    <w:rsid w:val="00D74024"/>
    <w:rsid w:val="00D740DC"/>
    <w:rsid w:val="00D74125"/>
    <w:rsid w:val="00D74150"/>
    <w:rsid w:val="00D7415B"/>
    <w:rsid w:val="00D741F4"/>
    <w:rsid w:val="00D7431D"/>
    <w:rsid w:val="00D743CD"/>
    <w:rsid w:val="00D744FD"/>
    <w:rsid w:val="00D746C5"/>
    <w:rsid w:val="00D747E8"/>
    <w:rsid w:val="00D748F4"/>
    <w:rsid w:val="00D7499D"/>
    <w:rsid w:val="00D74A14"/>
    <w:rsid w:val="00D74A25"/>
    <w:rsid w:val="00D74A28"/>
    <w:rsid w:val="00D74B47"/>
    <w:rsid w:val="00D74B76"/>
    <w:rsid w:val="00D74B84"/>
    <w:rsid w:val="00D74D31"/>
    <w:rsid w:val="00D74DA9"/>
    <w:rsid w:val="00D74DC1"/>
    <w:rsid w:val="00D74F4C"/>
    <w:rsid w:val="00D750F6"/>
    <w:rsid w:val="00D751E3"/>
    <w:rsid w:val="00D752A8"/>
    <w:rsid w:val="00D75499"/>
    <w:rsid w:val="00D754D3"/>
    <w:rsid w:val="00D754EE"/>
    <w:rsid w:val="00D75850"/>
    <w:rsid w:val="00D758AE"/>
    <w:rsid w:val="00D7597E"/>
    <w:rsid w:val="00D75A50"/>
    <w:rsid w:val="00D75BBC"/>
    <w:rsid w:val="00D75BD2"/>
    <w:rsid w:val="00D75CF4"/>
    <w:rsid w:val="00D75CF6"/>
    <w:rsid w:val="00D75DE4"/>
    <w:rsid w:val="00D75E5D"/>
    <w:rsid w:val="00D75F11"/>
    <w:rsid w:val="00D75F15"/>
    <w:rsid w:val="00D7609C"/>
    <w:rsid w:val="00D760A8"/>
    <w:rsid w:val="00D7613C"/>
    <w:rsid w:val="00D762AC"/>
    <w:rsid w:val="00D762B4"/>
    <w:rsid w:val="00D762F5"/>
    <w:rsid w:val="00D76405"/>
    <w:rsid w:val="00D76417"/>
    <w:rsid w:val="00D76464"/>
    <w:rsid w:val="00D76618"/>
    <w:rsid w:val="00D7664B"/>
    <w:rsid w:val="00D767F8"/>
    <w:rsid w:val="00D76888"/>
    <w:rsid w:val="00D768BC"/>
    <w:rsid w:val="00D768FD"/>
    <w:rsid w:val="00D76A21"/>
    <w:rsid w:val="00D76A89"/>
    <w:rsid w:val="00D76B3C"/>
    <w:rsid w:val="00D76C16"/>
    <w:rsid w:val="00D76C9F"/>
    <w:rsid w:val="00D76D59"/>
    <w:rsid w:val="00D76E01"/>
    <w:rsid w:val="00D76F06"/>
    <w:rsid w:val="00D76FAA"/>
    <w:rsid w:val="00D77113"/>
    <w:rsid w:val="00D77158"/>
    <w:rsid w:val="00D771E2"/>
    <w:rsid w:val="00D771F5"/>
    <w:rsid w:val="00D7732D"/>
    <w:rsid w:val="00D77412"/>
    <w:rsid w:val="00D774CF"/>
    <w:rsid w:val="00D774E5"/>
    <w:rsid w:val="00D7751A"/>
    <w:rsid w:val="00D776C1"/>
    <w:rsid w:val="00D776ED"/>
    <w:rsid w:val="00D7789A"/>
    <w:rsid w:val="00D77A18"/>
    <w:rsid w:val="00D77C18"/>
    <w:rsid w:val="00D77C83"/>
    <w:rsid w:val="00D77D69"/>
    <w:rsid w:val="00D77DBC"/>
    <w:rsid w:val="00D77E17"/>
    <w:rsid w:val="00D77E4B"/>
    <w:rsid w:val="00D77F7A"/>
    <w:rsid w:val="00D77F81"/>
    <w:rsid w:val="00D77F94"/>
    <w:rsid w:val="00D77F9A"/>
    <w:rsid w:val="00D8003D"/>
    <w:rsid w:val="00D800F7"/>
    <w:rsid w:val="00D801FF"/>
    <w:rsid w:val="00D80290"/>
    <w:rsid w:val="00D8041D"/>
    <w:rsid w:val="00D80430"/>
    <w:rsid w:val="00D80442"/>
    <w:rsid w:val="00D80590"/>
    <w:rsid w:val="00D80777"/>
    <w:rsid w:val="00D80802"/>
    <w:rsid w:val="00D8080E"/>
    <w:rsid w:val="00D809FA"/>
    <w:rsid w:val="00D80A11"/>
    <w:rsid w:val="00D80C65"/>
    <w:rsid w:val="00D80C81"/>
    <w:rsid w:val="00D80D98"/>
    <w:rsid w:val="00D80E56"/>
    <w:rsid w:val="00D80E97"/>
    <w:rsid w:val="00D80F61"/>
    <w:rsid w:val="00D80F89"/>
    <w:rsid w:val="00D81157"/>
    <w:rsid w:val="00D81521"/>
    <w:rsid w:val="00D8156A"/>
    <w:rsid w:val="00D815D0"/>
    <w:rsid w:val="00D81729"/>
    <w:rsid w:val="00D81801"/>
    <w:rsid w:val="00D81A1F"/>
    <w:rsid w:val="00D81A6E"/>
    <w:rsid w:val="00D81A82"/>
    <w:rsid w:val="00D81AFA"/>
    <w:rsid w:val="00D81BA2"/>
    <w:rsid w:val="00D81CF0"/>
    <w:rsid w:val="00D81D11"/>
    <w:rsid w:val="00D81D75"/>
    <w:rsid w:val="00D81DAE"/>
    <w:rsid w:val="00D81DC6"/>
    <w:rsid w:val="00D81E1F"/>
    <w:rsid w:val="00D81EC3"/>
    <w:rsid w:val="00D81FBA"/>
    <w:rsid w:val="00D81FE2"/>
    <w:rsid w:val="00D821D1"/>
    <w:rsid w:val="00D8234A"/>
    <w:rsid w:val="00D82368"/>
    <w:rsid w:val="00D82425"/>
    <w:rsid w:val="00D82637"/>
    <w:rsid w:val="00D826FA"/>
    <w:rsid w:val="00D82925"/>
    <w:rsid w:val="00D82995"/>
    <w:rsid w:val="00D829D3"/>
    <w:rsid w:val="00D829FF"/>
    <w:rsid w:val="00D82A07"/>
    <w:rsid w:val="00D82A73"/>
    <w:rsid w:val="00D82A80"/>
    <w:rsid w:val="00D82AAC"/>
    <w:rsid w:val="00D82B45"/>
    <w:rsid w:val="00D82D4B"/>
    <w:rsid w:val="00D82E93"/>
    <w:rsid w:val="00D82FA6"/>
    <w:rsid w:val="00D833A6"/>
    <w:rsid w:val="00D833DF"/>
    <w:rsid w:val="00D83470"/>
    <w:rsid w:val="00D8356F"/>
    <w:rsid w:val="00D83658"/>
    <w:rsid w:val="00D837A0"/>
    <w:rsid w:val="00D83841"/>
    <w:rsid w:val="00D83858"/>
    <w:rsid w:val="00D838B9"/>
    <w:rsid w:val="00D838DA"/>
    <w:rsid w:val="00D83986"/>
    <w:rsid w:val="00D83990"/>
    <w:rsid w:val="00D83B9E"/>
    <w:rsid w:val="00D83C5B"/>
    <w:rsid w:val="00D83C60"/>
    <w:rsid w:val="00D83E86"/>
    <w:rsid w:val="00D840DD"/>
    <w:rsid w:val="00D841DF"/>
    <w:rsid w:val="00D84271"/>
    <w:rsid w:val="00D84664"/>
    <w:rsid w:val="00D8478C"/>
    <w:rsid w:val="00D8494B"/>
    <w:rsid w:val="00D84A7D"/>
    <w:rsid w:val="00D84D4F"/>
    <w:rsid w:val="00D84E1B"/>
    <w:rsid w:val="00D84F0E"/>
    <w:rsid w:val="00D84FF6"/>
    <w:rsid w:val="00D85062"/>
    <w:rsid w:val="00D8510E"/>
    <w:rsid w:val="00D85181"/>
    <w:rsid w:val="00D85252"/>
    <w:rsid w:val="00D8547D"/>
    <w:rsid w:val="00D854DA"/>
    <w:rsid w:val="00D8559D"/>
    <w:rsid w:val="00D85636"/>
    <w:rsid w:val="00D85701"/>
    <w:rsid w:val="00D8573D"/>
    <w:rsid w:val="00D85783"/>
    <w:rsid w:val="00D8594E"/>
    <w:rsid w:val="00D85A41"/>
    <w:rsid w:val="00D85C5E"/>
    <w:rsid w:val="00D85C9F"/>
    <w:rsid w:val="00D85D98"/>
    <w:rsid w:val="00D85F86"/>
    <w:rsid w:val="00D862A2"/>
    <w:rsid w:val="00D86334"/>
    <w:rsid w:val="00D863E1"/>
    <w:rsid w:val="00D8646F"/>
    <w:rsid w:val="00D865CB"/>
    <w:rsid w:val="00D86634"/>
    <w:rsid w:val="00D86677"/>
    <w:rsid w:val="00D867EF"/>
    <w:rsid w:val="00D868DE"/>
    <w:rsid w:val="00D869B8"/>
    <w:rsid w:val="00D86A9C"/>
    <w:rsid w:val="00D86D18"/>
    <w:rsid w:val="00D86D51"/>
    <w:rsid w:val="00D86D6F"/>
    <w:rsid w:val="00D86D89"/>
    <w:rsid w:val="00D86D98"/>
    <w:rsid w:val="00D86DC9"/>
    <w:rsid w:val="00D86DD1"/>
    <w:rsid w:val="00D86EDD"/>
    <w:rsid w:val="00D870DE"/>
    <w:rsid w:val="00D87150"/>
    <w:rsid w:val="00D87430"/>
    <w:rsid w:val="00D87554"/>
    <w:rsid w:val="00D87839"/>
    <w:rsid w:val="00D8788E"/>
    <w:rsid w:val="00D87BDA"/>
    <w:rsid w:val="00D87D45"/>
    <w:rsid w:val="00D87F21"/>
    <w:rsid w:val="00D900BA"/>
    <w:rsid w:val="00D90118"/>
    <w:rsid w:val="00D90156"/>
    <w:rsid w:val="00D90248"/>
    <w:rsid w:val="00D907DB"/>
    <w:rsid w:val="00D90807"/>
    <w:rsid w:val="00D9087F"/>
    <w:rsid w:val="00D90935"/>
    <w:rsid w:val="00D909ED"/>
    <w:rsid w:val="00D90ABA"/>
    <w:rsid w:val="00D90BB1"/>
    <w:rsid w:val="00D90D6E"/>
    <w:rsid w:val="00D90D76"/>
    <w:rsid w:val="00D90EC3"/>
    <w:rsid w:val="00D910E5"/>
    <w:rsid w:val="00D917E4"/>
    <w:rsid w:val="00D9189C"/>
    <w:rsid w:val="00D918DB"/>
    <w:rsid w:val="00D91A18"/>
    <w:rsid w:val="00D91A41"/>
    <w:rsid w:val="00D91C8E"/>
    <w:rsid w:val="00D91E0C"/>
    <w:rsid w:val="00D91E72"/>
    <w:rsid w:val="00D91EA6"/>
    <w:rsid w:val="00D91EDD"/>
    <w:rsid w:val="00D91EF2"/>
    <w:rsid w:val="00D91F7C"/>
    <w:rsid w:val="00D91F9F"/>
    <w:rsid w:val="00D92134"/>
    <w:rsid w:val="00D921E8"/>
    <w:rsid w:val="00D9226E"/>
    <w:rsid w:val="00D92278"/>
    <w:rsid w:val="00D92334"/>
    <w:rsid w:val="00D9245B"/>
    <w:rsid w:val="00D92491"/>
    <w:rsid w:val="00D92594"/>
    <w:rsid w:val="00D926B5"/>
    <w:rsid w:val="00D926F3"/>
    <w:rsid w:val="00D92762"/>
    <w:rsid w:val="00D92771"/>
    <w:rsid w:val="00D92818"/>
    <w:rsid w:val="00D92932"/>
    <w:rsid w:val="00D92A64"/>
    <w:rsid w:val="00D92B8C"/>
    <w:rsid w:val="00D92C06"/>
    <w:rsid w:val="00D92C56"/>
    <w:rsid w:val="00D92CCD"/>
    <w:rsid w:val="00D92E38"/>
    <w:rsid w:val="00D92E4A"/>
    <w:rsid w:val="00D92E64"/>
    <w:rsid w:val="00D93008"/>
    <w:rsid w:val="00D93020"/>
    <w:rsid w:val="00D930E1"/>
    <w:rsid w:val="00D9318D"/>
    <w:rsid w:val="00D9337C"/>
    <w:rsid w:val="00D93485"/>
    <w:rsid w:val="00D934C4"/>
    <w:rsid w:val="00D9355C"/>
    <w:rsid w:val="00D9355F"/>
    <w:rsid w:val="00D93560"/>
    <w:rsid w:val="00D9366E"/>
    <w:rsid w:val="00D937B4"/>
    <w:rsid w:val="00D93859"/>
    <w:rsid w:val="00D93978"/>
    <w:rsid w:val="00D93A3B"/>
    <w:rsid w:val="00D93E55"/>
    <w:rsid w:val="00D93ECE"/>
    <w:rsid w:val="00D93FD2"/>
    <w:rsid w:val="00D93FF0"/>
    <w:rsid w:val="00D941B2"/>
    <w:rsid w:val="00D9428D"/>
    <w:rsid w:val="00D94380"/>
    <w:rsid w:val="00D943A5"/>
    <w:rsid w:val="00D9452E"/>
    <w:rsid w:val="00D945D2"/>
    <w:rsid w:val="00D94660"/>
    <w:rsid w:val="00D946C4"/>
    <w:rsid w:val="00D9470B"/>
    <w:rsid w:val="00D9472B"/>
    <w:rsid w:val="00D9483E"/>
    <w:rsid w:val="00D94BB9"/>
    <w:rsid w:val="00D94BC2"/>
    <w:rsid w:val="00D94BFA"/>
    <w:rsid w:val="00D94D04"/>
    <w:rsid w:val="00D94D90"/>
    <w:rsid w:val="00D94DE2"/>
    <w:rsid w:val="00D94EDC"/>
    <w:rsid w:val="00D94EF5"/>
    <w:rsid w:val="00D95062"/>
    <w:rsid w:val="00D950C4"/>
    <w:rsid w:val="00D950FD"/>
    <w:rsid w:val="00D9538B"/>
    <w:rsid w:val="00D953B7"/>
    <w:rsid w:val="00D9548A"/>
    <w:rsid w:val="00D95497"/>
    <w:rsid w:val="00D95818"/>
    <w:rsid w:val="00D9581B"/>
    <w:rsid w:val="00D9590E"/>
    <w:rsid w:val="00D9597E"/>
    <w:rsid w:val="00D959E1"/>
    <w:rsid w:val="00D95A6A"/>
    <w:rsid w:val="00D95B7A"/>
    <w:rsid w:val="00D95BCE"/>
    <w:rsid w:val="00D95D4F"/>
    <w:rsid w:val="00D95D54"/>
    <w:rsid w:val="00D95F78"/>
    <w:rsid w:val="00D960DB"/>
    <w:rsid w:val="00D96296"/>
    <w:rsid w:val="00D962B5"/>
    <w:rsid w:val="00D963BF"/>
    <w:rsid w:val="00D96424"/>
    <w:rsid w:val="00D96540"/>
    <w:rsid w:val="00D96569"/>
    <w:rsid w:val="00D966BB"/>
    <w:rsid w:val="00D96921"/>
    <w:rsid w:val="00D969C4"/>
    <w:rsid w:val="00D969CA"/>
    <w:rsid w:val="00D969FB"/>
    <w:rsid w:val="00D96A54"/>
    <w:rsid w:val="00D96A74"/>
    <w:rsid w:val="00D96A78"/>
    <w:rsid w:val="00D96AEB"/>
    <w:rsid w:val="00D96B86"/>
    <w:rsid w:val="00D96C15"/>
    <w:rsid w:val="00D96C79"/>
    <w:rsid w:val="00D96CFC"/>
    <w:rsid w:val="00D96DAC"/>
    <w:rsid w:val="00D96DE8"/>
    <w:rsid w:val="00D96FD6"/>
    <w:rsid w:val="00D9711B"/>
    <w:rsid w:val="00D97138"/>
    <w:rsid w:val="00D971E2"/>
    <w:rsid w:val="00D972B3"/>
    <w:rsid w:val="00D97400"/>
    <w:rsid w:val="00D97666"/>
    <w:rsid w:val="00D9772B"/>
    <w:rsid w:val="00D9779E"/>
    <w:rsid w:val="00D97813"/>
    <w:rsid w:val="00D97818"/>
    <w:rsid w:val="00D978B9"/>
    <w:rsid w:val="00D97943"/>
    <w:rsid w:val="00D979C4"/>
    <w:rsid w:val="00D979D7"/>
    <w:rsid w:val="00D97A58"/>
    <w:rsid w:val="00D97A7C"/>
    <w:rsid w:val="00D97AFE"/>
    <w:rsid w:val="00D97B49"/>
    <w:rsid w:val="00D97B63"/>
    <w:rsid w:val="00D97B77"/>
    <w:rsid w:val="00D97C16"/>
    <w:rsid w:val="00D97D2E"/>
    <w:rsid w:val="00D97D36"/>
    <w:rsid w:val="00D97E4A"/>
    <w:rsid w:val="00D97E5D"/>
    <w:rsid w:val="00D97F2C"/>
    <w:rsid w:val="00D97F80"/>
    <w:rsid w:val="00DA012F"/>
    <w:rsid w:val="00DA0346"/>
    <w:rsid w:val="00DA0397"/>
    <w:rsid w:val="00DA03FD"/>
    <w:rsid w:val="00DA0405"/>
    <w:rsid w:val="00DA047C"/>
    <w:rsid w:val="00DA049E"/>
    <w:rsid w:val="00DA06E6"/>
    <w:rsid w:val="00DA06FE"/>
    <w:rsid w:val="00DA0A41"/>
    <w:rsid w:val="00DA0AD0"/>
    <w:rsid w:val="00DA0C54"/>
    <w:rsid w:val="00DA0E81"/>
    <w:rsid w:val="00DA0F19"/>
    <w:rsid w:val="00DA0F22"/>
    <w:rsid w:val="00DA0FD8"/>
    <w:rsid w:val="00DA0FFC"/>
    <w:rsid w:val="00DA103E"/>
    <w:rsid w:val="00DA11EB"/>
    <w:rsid w:val="00DA128F"/>
    <w:rsid w:val="00DA1295"/>
    <w:rsid w:val="00DA1442"/>
    <w:rsid w:val="00DA15FF"/>
    <w:rsid w:val="00DA1651"/>
    <w:rsid w:val="00DA1765"/>
    <w:rsid w:val="00DA17B2"/>
    <w:rsid w:val="00DA187A"/>
    <w:rsid w:val="00DA1935"/>
    <w:rsid w:val="00DA1940"/>
    <w:rsid w:val="00DA1962"/>
    <w:rsid w:val="00DA1B4C"/>
    <w:rsid w:val="00DA1B5A"/>
    <w:rsid w:val="00DA203F"/>
    <w:rsid w:val="00DA2054"/>
    <w:rsid w:val="00DA2059"/>
    <w:rsid w:val="00DA2090"/>
    <w:rsid w:val="00DA2203"/>
    <w:rsid w:val="00DA2258"/>
    <w:rsid w:val="00DA2458"/>
    <w:rsid w:val="00DA251A"/>
    <w:rsid w:val="00DA2A1F"/>
    <w:rsid w:val="00DA2A63"/>
    <w:rsid w:val="00DA2B8F"/>
    <w:rsid w:val="00DA2F6F"/>
    <w:rsid w:val="00DA30AD"/>
    <w:rsid w:val="00DA30BF"/>
    <w:rsid w:val="00DA3206"/>
    <w:rsid w:val="00DA32BF"/>
    <w:rsid w:val="00DA32D2"/>
    <w:rsid w:val="00DA343F"/>
    <w:rsid w:val="00DA34CC"/>
    <w:rsid w:val="00DA34D5"/>
    <w:rsid w:val="00DA39D0"/>
    <w:rsid w:val="00DA3AAE"/>
    <w:rsid w:val="00DA3ACA"/>
    <w:rsid w:val="00DA3B69"/>
    <w:rsid w:val="00DA3B7A"/>
    <w:rsid w:val="00DA3CCE"/>
    <w:rsid w:val="00DA3D30"/>
    <w:rsid w:val="00DA3D3A"/>
    <w:rsid w:val="00DA3DDE"/>
    <w:rsid w:val="00DA3F04"/>
    <w:rsid w:val="00DA3F58"/>
    <w:rsid w:val="00DA3F81"/>
    <w:rsid w:val="00DA4005"/>
    <w:rsid w:val="00DA402A"/>
    <w:rsid w:val="00DA403D"/>
    <w:rsid w:val="00DA4122"/>
    <w:rsid w:val="00DA4234"/>
    <w:rsid w:val="00DA43D2"/>
    <w:rsid w:val="00DA450A"/>
    <w:rsid w:val="00DA45AE"/>
    <w:rsid w:val="00DA45E0"/>
    <w:rsid w:val="00DA46D8"/>
    <w:rsid w:val="00DA4BF2"/>
    <w:rsid w:val="00DA4C49"/>
    <w:rsid w:val="00DA4D96"/>
    <w:rsid w:val="00DA4EC3"/>
    <w:rsid w:val="00DA4EF1"/>
    <w:rsid w:val="00DA5064"/>
    <w:rsid w:val="00DA51F8"/>
    <w:rsid w:val="00DA53F7"/>
    <w:rsid w:val="00DA5588"/>
    <w:rsid w:val="00DA5653"/>
    <w:rsid w:val="00DA569C"/>
    <w:rsid w:val="00DA587B"/>
    <w:rsid w:val="00DA5960"/>
    <w:rsid w:val="00DA596D"/>
    <w:rsid w:val="00DA59BD"/>
    <w:rsid w:val="00DA59C5"/>
    <w:rsid w:val="00DA5A7D"/>
    <w:rsid w:val="00DA5D5C"/>
    <w:rsid w:val="00DA5E9E"/>
    <w:rsid w:val="00DA5F0D"/>
    <w:rsid w:val="00DA5F7F"/>
    <w:rsid w:val="00DA6145"/>
    <w:rsid w:val="00DA61AD"/>
    <w:rsid w:val="00DA6266"/>
    <w:rsid w:val="00DA63AB"/>
    <w:rsid w:val="00DA64BF"/>
    <w:rsid w:val="00DA64CD"/>
    <w:rsid w:val="00DA65C8"/>
    <w:rsid w:val="00DA67AC"/>
    <w:rsid w:val="00DA68A1"/>
    <w:rsid w:val="00DA68A6"/>
    <w:rsid w:val="00DA68E9"/>
    <w:rsid w:val="00DA699C"/>
    <w:rsid w:val="00DA6C6A"/>
    <w:rsid w:val="00DA6C83"/>
    <w:rsid w:val="00DA6CD4"/>
    <w:rsid w:val="00DA6D5A"/>
    <w:rsid w:val="00DA6D69"/>
    <w:rsid w:val="00DA6D84"/>
    <w:rsid w:val="00DA6F1A"/>
    <w:rsid w:val="00DA6F4F"/>
    <w:rsid w:val="00DA7032"/>
    <w:rsid w:val="00DA7273"/>
    <w:rsid w:val="00DA741A"/>
    <w:rsid w:val="00DA7538"/>
    <w:rsid w:val="00DA796F"/>
    <w:rsid w:val="00DA7ADD"/>
    <w:rsid w:val="00DA7BAD"/>
    <w:rsid w:val="00DA7CC1"/>
    <w:rsid w:val="00DA7DBC"/>
    <w:rsid w:val="00DA7FDD"/>
    <w:rsid w:val="00DB03F6"/>
    <w:rsid w:val="00DB0497"/>
    <w:rsid w:val="00DB0571"/>
    <w:rsid w:val="00DB060E"/>
    <w:rsid w:val="00DB0650"/>
    <w:rsid w:val="00DB06CC"/>
    <w:rsid w:val="00DB06ED"/>
    <w:rsid w:val="00DB074C"/>
    <w:rsid w:val="00DB079C"/>
    <w:rsid w:val="00DB0830"/>
    <w:rsid w:val="00DB09A4"/>
    <w:rsid w:val="00DB0CAE"/>
    <w:rsid w:val="00DB0CB1"/>
    <w:rsid w:val="00DB0CF9"/>
    <w:rsid w:val="00DB0D1A"/>
    <w:rsid w:val="00DB0DE0"/>
    <w:rsid w:val="00DB0E1E"/>
    <w:rsid w:val="00DB0E74"/>
    <w:rsid w:val="00DB0EB1"/>
    <w:rsid w:val="00DB116B"/>
    <w:rsid w:val="00DB117A"/>
    <w:rsid w:val="00DB1239"/>
    <w:rsid w:val="00DB1346"/>
    <w:rsid w:val="00DB140A"/>
    <w:rsid w:val="00DB14FC"/>
    <w:rsid w:val="00DB151C"/>
    <w:rsid w:val="00DB16BD"/>
    <w:rsid w:val="00DB1706"/>
    <w:rsid w:val="00DB17C0"/>
    <w:rsid w:val="00DB17F5"/>
    <w:rsid w:val="00DB1ABA"/>
    <w:rsid w:val="00DB1AC9"/>
    <w:rsid w:val="00DB1B13"/>
    <w:rsid w:val="00DB1CA8"/>
    <w:rsid w:val="00DB1D3D"/>
    <w:rsid w:val="00DB1E11"/>
    <w:rsid w:val="00DB1E44"/>
    <w:rsid w:val="00DB2135"/>
    <w:rsid w:val="00DB2667"/>
    <w:rsid w:val="00DB28C2"/>
    <w:rsid w:val="00DB2959"/>
    <w:rsid w:val="00DB29A4"/>
    <w:rsid w:val="00DB29F9"/>
    <w:rsid w:val="00DB2B11"/>
    <w:rsid w:val="00DB2B17"/>
    <w:rsid w:val="00DB2B4F"/>
    <w:rsid w:val="00DB2BEA"/>
    <w:rsid w:val="00DB2CA4"/>
    <w:rsid w:val="00DB2DAD"/>
    <w:rsid w:val="00DB2E0B"/>
    <w:rsid w:val="00DB2E0E"/>
    <w:rsid w:val="00DB2E61"/>
    <w:rsid w:val="00DB3017"/>
    <w:rsid w:val="00DB30BF"/>
    <w:rsid w:val="00DB3261"/>
    <w:rsid w:val="00DB3319"/>
    <w:rsid w:val="00DB334B"/>
    <w:rsid w:val="00DB33D2"/>
    <w:rsid w:val="00DB33E8"/>
    <w:rsid w:val="00DB359A"/>
    <w:rsid w:val="00DB3633"/>
    <w:rsid w:val="00DB3738"/>
    <w:rsid w:val="00DB3820"/>
    <w:rsid w:val="00DB383E"/>
    <w:rsid w:val="00DB3853"/>
    <w:rsid w:val="00DB38A8"/>
    <w:rsid w:val="00DB39CB"/>
    <w:rsid w:val="00DB3A06"/>
    <w:rsid w:val="00DB3A43"/>
    <w:rsid w:val="00DB3BF5"/>
    <w:rsid w:val="00DB3C2F"/>
    <w:rsid w:val="00DB3EC7"/>
    <w:rsid w:val="00DB3F0E"/>
    <w:rsid w:val="00DB42E5"/>
    <w:rsid w:val="00DB43B4"/>
    <w:rsid w:val="00DB4410"/>
    <w:rsid w:val="00DB4442"/>
    <w:rsid w:val="00DB44D1"/>
    <w:rsid w:val="00DB4516"/>
    <w:rsid w:val="00DB453C"/>
    <w:rsid w:val="00DB463D"/>
    <w:rsid w:val="00DB46AD"/>
    <w:rsid w:val="00DB4778"/>
    <w:rsid w:val="00DB488B"/>
    <w:rsid w:val="00DB48E8"/>
    <w:rsid w:val="00DB4907"/>
    <w:rsid w:val="00DB4B68"/>
    <w:rsid w:val="00DB4D32"/>
    <w:rsid w:val="00DB4D72"/>
    <w:rsid w:val="00DB4DA6"/>
    <w:rsid w:val="00DB4DC5"/>
    <w:rsid w:val="00DB4E90"/>
    <w:rsid w:val="00DB4F99"/>
    <w:rsid w:val="00DB4FB1"/>
    <w:rsid w:val="00DB4FD0"/>
    <w:rsid w:val="00DB5037"/>
    <w:rsid w:val="00DB50D0"/>
    <w:rsid w:val="00DB52D9"/>
    <w:rsid w:val="00DB533C"/>
    <w:rsid w:val="00DB537C"/>
    <w:rsid w:val="00DB53E1"/>
    <w:rsid w:val="00DB5604"/>
    <w:rsid w:val="00DB564E"/>
    <w:rsid w:val="00DB5662"/>
    <w:rsid w:val="00DB56F7"/>
    <w:rsid w:val="00DB5ADF"/>
    <w:rsid w:val="00DB5B0F"/>
    <w:rsid w:val="00DB5D79"/>
    <w:rsid w:val="00DB5DC4"/>
    <w:rsid w:val="00DB5EC8"/>
    <w:rsid w:val="00DB5F8B"/>
    <w:rsid w:val="00DB5FD4"/>
    <w:rsid w:val="00DB6075"/>
    <w:rsid w:val="00DB60A0"/>
    <w:rsid w:val="00DB610A"/>
    <w:rsid w:val="00DB61EB"/>
    <w:rsid w:val="00DB6209"/>
    <w:rsid w:val="00DB6303"/>
    <w:rsid w:val="00DB637A"/>
    <w:rsid w:val="00DB6623"/>
    <w:rsid w:val="00DB6754"/>
    <w:rsid w:val="00DB679E"/>
    <w:rsid w:val="00DB67DD"/>
    <w:rsid w:val="00DB6968"/>
    <w:rsid w:val="00DB69A5"/>
    <w:rsid w:val="00DB6AD2"/>
    <w:rsid w:val="00DB6B14"/>
    <w:rsid w:val="00DB6B59"/>
    <w:rsid w:val="00DB6BD1"/>
    <w:rsid w:val="00DB6F1A"/>
    <w:rsid w:val="00DB6F41"/>
    <w:rsid w:val="00DB6FCC"/>
    <w:rsid w:val="00DB6FD1"/>
    <w:rsid w:val="00DB71B6"/>
    <w:rsid w:val="00DB7317"/>
    <w:rsid w:val="00DB750D"/>
    <w:rsid w:val="00DB7705"/>
    <w:rsid w:val="00DB77D1"/>
    <w:rsid w:val="00DB78FC"/>
    <w:rsid w:val="00DB7902"/>
    <w:rsid w:val="00DB796D"/>
    <w:rsid w:val="00DB79BA"/>
    <w:rsid w:val="00DB7A3B"/>
    <w:rsid w:val="00DB7EC8"/>
    <w:rsid w:val="00DB7F6C"/>
    <w:rsid w:val="00DC001B"/>
    <w:rsid w:val="00DC007D"/>
    <w:rsid w:val="00DC00AC"/>
    <w:rsid w:val="00DC019F"/>
    <w:rsid w:val="00DC05C6"/>
    <w:rsid w:val="00DC0747"/>
    <w:rsid w:val="00DC074A"/>
    <w:rsid w:val="00DC07A2"/>
    <w:rsid w:val="00DC0918"/>
    <w:rsid w:val="00DC0AE5"/>
    <w:rsid w:val="00DC0B12"/>
    <w:rsid w:val="00DC0C28"/>
    <w:rsid w:val="00DC0CB4"/>
    <w:rsid w:val="00DC0CDD"/>
    <w:rsid w:val="00DC0D55"/>
    <w:rsid w:val="00DC0E3F"/>
    <w:rsid w:val="00DC0E81"/>
    <w:rsid w:val="00DC0F53"/>
    <w:rsid w:val="00DC1093"/>
    <w:rsid w:val="00DC10D6"/>
    <w:rsid w:val="00DC10F9"/>
    <w:rsid w:val="00DC1109"/>
    <w:rsid w:val="00DC124B"/>
    <w:rsid w:val="00DC1298"/>
    <w:rsid w:val="00DC12F5"/>
    <w:rsid w:val="00DC12FF"/>
    <w:rsid w:val="00DC13CF"/>
    <w:rsid w:val="00DC13E5"/>
    <w:rsid w:val="00DC142C"/>
    <w:rsid w:val="00DC144A"/>
    <w:rsid w:val="00DC14F1"/>
    <w:rsid w:val="00DC15FA"/>
    <w:rsid w:val="00DC16BC"/>
    <w:rsid w:val="00DC16DC"/>
    <w:rsid w:val="00DC17CE"/>
    <w:rsid w:val="00DC1842"/>
    <w:rsid w:val="00DC1886"/>
    <w:rsid w:val="00DC18BD"/>
    <w:rsid w:val="00DC18D7"/>
    <w:rsid w:val="00DC1906"/>
    <w:rsid w:val="00DC19BD"/>
    <w:rsid w:val="00DC1A59"/>
    <w:rsid w:val="00DC1A81"/>
    <w:rsid w:val="00DC1AA1"/>
    <w:rsid w:val="00DC1B3B"/>
    <w:rsid w:val="00DC1D7C"/>
    <w:rsid w:val="00DC1E8F"/>
    <w:rsid w:val="00DC20F9"/>
    <w:rsid w:val="00DC2397"/>
    <w:rsid w:val="00DC239B"/>
    <w:rsid w:val="00DC24CD"/>
    <w:rsid w:val="00DC24F6"/>
    <w:rsid w:val="00DC261C"/>
    <w:rsid w:val="00DC26CF"/>
    <w:rsid w:val="00DC26E2"/>
    <w:rsid w:val="00DC29D4"/>
    <w:rsid w:val="00DC2A6A"/>
    <w:rsid w:val="00DC2AC6"/>
    <w:rsid w:val="00DC2BA8"/>
    <w:rsid w:val="00DC2BA9"/>
    <w:rsid w:val="00DC2BB8"/>
    <w:rsid w:val="00DC2D10"/>
    <w:rsid w:val="00DC2D56"/>
    <w:rsid w:val="00DC2D7A"/>
    <w:rsid w:val="00DC2DAA"/>
    <w:rsid w:val="00DC2DBD"/>
    <w:rsid w:val="00DC2DE3"/>
    <w:rsid w:val="00DC2E4A"/>
    <w:rsid w:val="00DC31BB"/>
    <w:rsid w:val="00DC31E6"/>
    <w:rsid w:val="00DC3380"/>
    <w:rsid w:val="00DC33D5"/>
    <w:rsid w:val="00DC33E6"/>
    <w:rsid w:val="00DC344E"/>
    <w:rsid w:val="00DC3503"/>
    <w:rsid w:val="00DC352E"/>
    <w:rsid w:val="00DC3AE4"/>
    <w:rsid w:val="00DC3B7D"/>
    <w:rsid w:val="00DC3BE4"/>
    <w:rsid w:val="00DC3CFA"/>
    <w:rsid w:val="00DC3E95"/>
    <w:rsid w:val="00DC3EF2"/>
    <w:rsid w:val="00DC3F57"/>
    <w:rsid w:val="00DC3F76"/>
    <w:rsid w:val="00DC4004"/>
    <w:rsid w:val="00DC409F"/>
    <w:rsid w:val="00DC414D"/>
    <w:rsid w:val="00DC4184"/>
    <w:rsid w:val="00DC4241"/>
    <w:rsid w:val="00DC4248"/>
    <w:rsid w:val="00DC4298"/>
    <w:rsid w:val="00DC42D7"/>
    <w:rsid w:val="00DC4329"/>
    <w:rsid w:val="00DC43CD"/>
    <w:rsid w:val="00DC448B"/>
    <w:rsid w:val="00DC449A"/>
    <w:rsid w:val="00DC4602"/>
    <w:rsid w:val="00DC461E"/>
    <w:rsid w:val="00DC4623"/>
    <w:rsid w:val="00DC46DE"/>
    <w:rsid w:val="00DC4737"/>
    <w:rsid w:val="00DC486E"/>
    <w:rsid w:val="00DC489E"/>
    <w:rsid w:val="00DC4A8A"/>
    <w:rsid w:val="00DC4ADA"/>
    <w:rsid w:val="00DC4C3C"/>
    <w:rsid w:val="00DC4C98"/>
    <w:rsid w:val="00DC4D91"/>
    <w:rsid w:val="00DC4E6C"/>
    <w:rsid w:val="00DC4E8C"/>
    <w:rsid w:val="00DC4EA5"/>
    <w:rsid w:val="00DC4ED9"/>
    <w:rsid w:val="00DC4F40"/>
    <w:rsid w:val="00DC5118"/>
    <w:rsid w:val="00DC523F"/>
    <w:rsid w:val="00DC5341"/>
    <w:rsid w:val="00DC5353"/>
    <w:rsid w:val="00DC5390"/>
    <w:rsid w:val="00DC55FF"/>
    <w:rsid w:val="00DC5608"/>
    <w:rsid w:val="00DC56E6"/>
    <w:rsid w:val="00DC58B6"/>
    <w:rsid w:val="00DC58FE"/>
    <w:rsid w:val="00DC5992"/>
    <w:rsid w:val="00DC5999"/>
    <w:rsid w:val="00DC5A36"/>
    <w:rsid w:val="00DC5B64"/>
    <w:rsid w:val="00DC5BA7"/>
    <w:rsid w:val="00DC5BC2"/>
    <w:rsid w:val="00DC5BC3"/>
    <w:rsid w:val="00DC5C13"/>
    <w:rsid w:val="00DC5D54"/>
    <w:rsid w:val="00DC5E1B"/>
    <w:rsid w:val="00DC5E28"/>
    <w:rsid w:val="00DC5E30"/>
    <w:rsid w:val="00DC5F84"/>
    <w:rsid w:val="00DC5F97"/>
    <w:rsid w:val="00DC5FEF"/>
    <w:rsid w:val="00DC61CB"/>
    <w:rsid w:val="00DC62B9"/>
    <w:rsid w:val="00DC62BF"/>
    <w:rsid w:val="00DC6410"/>
    <w:rsid w:val="00DC6413"/>
    <w:rsid w:val="00DC6414"/>
    <w:rsid w:val="00DC64CE"/>
    <w:rsid w:val="00DC658B"/>
    <w:rsid w:val="00DC65D0"/>
    <w:rsid w:val="00DC6612"/>
    <w:rsid w:val="00DC662E"/>
    <w:rsid w:val="00DC6660"/>
    <w:rsid w:val="00DC683A"/>
    <w:rsid w:val="00DC6878"/>
    <w:rsid w:val="00DC6974"/>
    <w:rsid w:val="00DC6ADB"/>
    <w:rsid w:val="00DC6AE4"/>
    <w:rsid w:val="00DC6B5C"/>
    <w:rsid w:val="00DC6BDF"/>
    <w:rsid w:val="00DC6C96"/>
    <w:rsid w:val="00DC6ED0"/>
    <w:rsid w:val="00DC70B5"/>
    <w:rsid w:val="00DC70B8"/>
    <w:rsid w:val="00DC70F0"/>
    <w:rsid w:val="00DC728E"/>
    <w:rsid w:val="00DC72B6"/>
    <w:rsid w:val="00DC73A5"/>
    <w:rsid w:val="00DC74B7"/>
    <w:rsid w:val="00DC7623"/>
    <w:rsid w:val="00DC76A8"/>
    <w:rsid w:val="00DC78DC"/>
    <w:rsid w:val="00DC79B8"/>
    <w:rsid w:val="00DC79BB"/>
    <w:rsid w:val="00DC7A7B"/>
    <w:rsid w:val="00DC7D8F"/>
    <w:rsid w:val="00DC7DCD"/>
    <w:rsid w:val="00DC7E5F"/>
    <w:rsid w:val="00DC7E6D"/>
    <w:rsid w:val="00DC7F09"/>
    <w:rsid w:val="00DC7FBE"/>
    <w:rsid w:val="00DD003B"/>
    <w:rsid w:val="00DD0073"/>
    <w:rsid w:val="00DD00D2"/>
    <w:rsid w:val="00DD011D"/>
    <w:rsid w:val="00DD0490"/>
    <w:rsid w:val="00DD04C4"/>
    <w:rsid w:val="00DD053B"/>
    <w:rsid w:val="00DD0545"/>
    <w:rsid w:val="00DD060C"/>
    <w:rsid w:val="00DD0798"/>
    <w:rsid w:val="00DD07CB"/>
    <w:rsid w:val="00DD07E7"/>
    <w:rsid w:val="00DD0898"/>
    <w:rsid w:val="00DD09AA"/>
    <w:rsid w:val="00DD09DF"/>
    <w:rsid w:val="00DD0BFE"/>
    <w:rsid w:val="00DD0DDE"/>
    <w:rsid w:val="00DD0F57"/>
    <w:rsid w:val="00DD103C"/>
    <w:rsid w:val="00DD1176"/>
    <w:rsid w:val="00DD1241"/>
    <w:rsid w:val="00DD12A2"/>
    <w:rsid w:val="00DD1347"/>
    <w:rsid w:val="00DD1402"/>
    <w:rsid w:val="00DD1508"/>
    <w:rsid w:val="00DD15D9"/>
    <w:rsid w:val="00DD15E1"/>
    <w:rsid w:val="00DD1714"/>
    <w:rsid w:val="00DD1746"/>
    <w:rsid w:val="00DD177A"/>
    <w:rsid w:val="00DD18D9"/>
    <w:rsid w:val="00DD19B3"/>
    <w:rsid w:val="00DD19F6"/>
    <w:rsid w:val="00DD19F7"/>
    <w:rsid w:val="00DD1B86"/>
    <w:rsid w:val="00DD1C44"/>
    <w:rsid w:val="00DD1D18"/>
    <w:rsid w:val="00DD1D43"/>
    <w:rsid w:val="00DD1E5F"/>
    <w:rsid w:val="00DD1EAD"/>
    <w:rsid w:val="00DD2051"/>
    <w:rsid w:val="00DD2062"/>
    <w:rsid w:val="00DD22FF"/>
    <w:rsid w:val="00DD2311"/>
    <w:rsid w:val="00DD23CC"/>
    <w:rsid w:val="00DD27F4"/>
    <w:rsid w:val="00DD28DE"/>
    <w:rsid w:val="00DD2A19"/>
    <w:rsid w:val="00DD2B17"/>
    <w:rsid w:val="00DD2B29"/>
    <w:rsid w:val="00DD2B84"/>
    <w:rsid w:val="00DD2CD4"/>
    <w:rsid w:val="00DD2F43"/>
    <w:rsid w:val="00DD2F60"/>
    <w:rsid w:val="00DD3054"/>
    <w:rsid w:val="00DD3212"/>
    <w:rsid w:val="00DD3353"/>
    <w:rsid w:val="00DD3395"/>
    <w:rsid w:val="00DD33A2"/>
    <w:rsid w:val="00DD34B4"/>
    <w:rsid w:val="00DD3581"/>
    <w:rsid w:val="00DD358C"/>
    <w:rsid w:val="00DD35C1"/>
    <w:rsid w:val="00DD37FF"/>
    <w:rsid w:val="00DD381C"/>
    <w:rsid w:val="00DD3844"/>
    <w:rsid w:val="00DD39DA"/>
    <w:rsid w:val="00DD3A27"/>
    <w:rsid w:val="00DD3A61"/>
    <w:rsid w:val="00DD3A6F"/>
    <w:rsid w:val="00DD3AE4"/>
    <w:rsid w:val="00DD3B3C"/>
    <w:rsid w:val="00DD3BB8"/>
    <w:rsid w:val="00DD3C24"/>
    <w:rsid w:val="00DD3D69"/>
    <w:rsid w:val="00DD3D76"/>
    <w:rsid w:val="00DD3E1E"/>
    <w:rsid w:val="00DD3F3A"/>
    <w:rsid w:val="00DD400E"/>
    <w:rsid w:val="00DD431C"/>
    <w:rsid w:val="00DD4399"/>
    <w:rsid w:val="00DD446A"/>
    <w:rsid w:val="00DD4669"/>
    <w:rsid w:val="00DD46E8"/>
    <w:rsid w:val="00DD472C"/>
    <w:rsid w:val="00DD473B"/>
    <w:rsid w:val="00DD474C"/>
    <w:rsid w:val="00DD48A8"/>
    <w:rsid w:val="00DD497F"/>
    <w:rsid w:val="00DD49E9"/>
    <w:rsid w:val="00DD4A19"/>
    <w:rsid w:val="00DD4ACF"/>
    <w:rsid w:val="00DD4ADC"/>
    <w:rsid w:val="00DD4B5D"/>
    <w:rsid w:val="00DD4C4F"/>
    <w:rsid w:val="00DD4D01"/>
    <w:rsid w:val="00DD4DFD"/>
    <w:rsid w:val="00DD4E5F"/>
    <w:rsid w:val="00DD4E74"/>
    <w:rsid w:val="00DD5049"/>
    <w:rsid w:val="00DD5151"/>
    <w:rsid w:val="00DD51EA"/>
    <w:rsid w:val="00DD5209"/>
    <w:rsid w:val="00DD53D1"/>
    <w:rsid w:val="00DD53E2"/>
    <w:rsid w:val="00DD54D3"/>
    <w:rsid w:val="00DD5545"/>
    <w:rsid w:val="00DD55A1"/>
    <w:rsid w:val="00DD55BC"/>
    <w:rsid w:val="00DD5659"/>
    <w:rsid w:val="00DD5769"/>
    <w:rsid w:val="00DD5784"/>
    <w:rsid w:val="00DD58D2"/>
    <w:rsid w:val="00DD5983"/>
    <w:rsid w:val="00DD59C8"/>
    <w:rsid w:val="00DD5A1B"/>
    <w:rsid w:val="00DD5A86"/>
    <w:rsid w:val="00DD5AA2"/>
    <w:rsid w:val="00DD5B07"/>
    <w:rsid w:val="00DD5B81"/>
    <w:rsid w:val="00DD5BF8"/>
    <w:rsid w:val="00DD5C06"/>
    <w:rsid w:val="00DD5C70"/>
    <w:rsid w:val="00DD5CB5"/>
    <w:rsid w:val="00DD5DBA"/>
    <w:rsid w:val="00DD5DC8"/>
    <w:rsid w:val="00DD5DDD"/>
    <w:rsid w:val="00DD606D"/>
    <w:rsid w:val="00DD6084"/>
    <w:rsid w:val="00DD6122"/>
    <w:rsid w:val="00DD616B"/>
    <w:rsid w:val="00DD618F"/>
    <w:rsid w:val="00DD61D5"/>
    <w:rsid w:val="00DD655F"/>
    <w:rsid w:val="00DD6572"/>
    <w:rsid w:val="00DD6861"/>
    <w:rsid w:val="00DD69C3"/>
    <w:rsid w:val="00DD69DF"/>
    <w:rsid w:val="00DD6B90"/>
    <w:rsid w:val="00DD6BF1"/>
    <w:rsid w:val="00DD6C19"/>
    <w:rsid w:val="00DD6C55"/>
    <w:rsid w:val="00DD6D94"/>
    <w:rsid w:val="00DD6FD5"/>
    <w:rsid w:val="00DD715C"/>
    <w:rsid w:val="00DD71ED"/>
    <w:rsid w:val="00DD7389"/>
    <w:rsid w:val="00DD73BD"/>
    <w:rsid w:val="00DD7483"/>
    <w:rsid w:val="00DD7625"/>
    <w:rsid w:val="00DD7653"/>
    <w:rsid w:val="00DD7681"/>
    <w:rsid w:val="00DD76D3"/>
    <w:rsid w:val="00DD7734"/>
    <w:rsid w:val="00DD78D8"/>
    <w:rsid w:val="00DD79D1"/>
    <w:rsid w:val="00DD79E7"/>
    <w:rsid w:val="00DD7A0E"/>
    <w:rsid w:val="00DD7BC1"/>
    <w:rsid w:val="00DD7C77"/>
    <w:rsid w:val="00DD7D1F"/>
    <w:rsid w:val="00DD7D47"/>
    <w:rsid w:val="00DE00B0"/>
    <w:rsid w:val="00DE00CC"/>
    <w:rsid w:val="00DE01FE"/>
    <w:rsid w:val="00DE046E"/>
    <w:rsid w:val="00DE04E6"/>
    <w:rsid w:val="00DE0519"/>
    <w:rsid w:val="00DE0546"/>
    <w:rsid w:val="00DE055D"/>
    <w:rsid w:val="00DE05DD"/>
    <w:rsid w:val="00DE05EA"/>
    <w:rsid w:val="00DE0673"/>
    <w:rsid w:val="00DE0766"/>
    <w:rsid w:val="00DE07A2"/>
    <w:rsid w:val="00DE0839"/>
    <w:rsid w:val="00DE0859"/>
    <w:rsid w:val="00DE0954"/>
    <w:rsid w:val="00DE09CB"/>
    <w:rsid w:val="00DE09DD"/>
    <w:rsid w:val="00DE0A3B"/>
    <w:rsid w:val="00DE0A87"/>
    <w:rsid w:val="00DE0C57"/>
    <w:rsid w:val="00DE0D29"/>
    <w:rsid w:val="00DE0D70"/>
    <w:rsid w:val="00DE0DD2"/>
    <w:rsid w:val="00DE0EEA"/>
    <w:rsid w:val="00DE0F23"/>
    <w:rsid w:val="00DE0FA6"/>
    <w:rsid w:val="00DE1230"/>
    <w:rsid w:val="00DE124D"/>
    <w:rsid w:val="00DE125E"/>
    <w:rsid w:val="00DE128D"/>
    <w:rsid w:val="00DE12A3"/>
    <w:rsid w:val="00DE1352"/>
    <w:rsid w:val="00DE18BC"/>
    <w:rsid w:val="00DE19C4"/>
    <w:rsid w:val="00DE1A78"/>
    <w:rsid w:val="00DE1ABF"/>
    <w:rsid w:val="00DE1BAA"/>
    <w:rsid w:val="00DE1BB8"/>
    <w:rsid w:val="00DE1CC1"/>
    <w:rsid w:val="00DE1DE4"/>
    <w:rsid w:val="00DE1E24"/>
    <w:rsid w:val="00DE1EAE"/>
    <w:rsid w:val="00DE2005"/>
    <w:rsid w:val="00DE2193"/>
    <w:rsid w:val="00DE2244"/>
    <w:rsid w:val="00DE228A"/>
    <w:rsid w:val="00DE239F"/>
    <w:rsid w:val="00DE2413"/>
    <w:rsid w:val="00DE2523"/>
    <w:rsid w:val="00DE2555"/>
    <w:rsid w:val="00DE2569"/>
    <w:rsid w:val="00DE25C6"/>
    <w:rsid w:val="00DE25D6"/>
    <w:rsid w:val="00DE2B0B"/>
    <w:rsid w:val="00DE2C78"/>
    <w:rsid w:val="00DE2C87"/>
    <w:rsid w:val="00DE2CB2"/>
    <w:rsid w:val="00DE2D15"/>
    <w:rsid w:val="00DE2DAA"/>
    <w:rsid w:val="00DE2EEB"/>
    <w:rsid w:val="00DE303F"/>
    <w:rsid w:val="00DE3131"/>
    <w:rsid w:val="00DE321A"/>
    <w:rsid w:val="00DE3253"/>
    <w:rsid w:val="00DE32D1"/>
    <w:rsid w:val="00DE3375"/>
    <w:rsid w:val="00DE3394"/>
    <w:rsid w:val="00DE33BE"/>
    <w:rsid w:val="00DE3459"/>
    <w:rsid w:val="00DE35AB"/>
    <w:rsid w:val="00DE35C9"/>
    <w:rsid w:val="00DE3600"/>
    <w:rsid w:val="00DE3770"/>
    <w:rsid w:val="00DE3BA6"/>
    <w:rsid w:val="00DE3C50"/>
    <w:rsid w:val="00DE3DA4"/>
    <w:rsid w:val="00DE3DB1"/>
    <w:rsid w:val="00DE3DDE"/>
    <w:rsid w:val="00DE3E15"/>
    <w:rsid w:val="00DE403B"/>
    <w:rsid w:val="00DE40B2"/>
    <w:rsid w:val="00DE4122"/>
    <w:rsid w:val="00DE412B"/>
    <w:rsid w:val="00DE41AA"/>
    <w:rsid w:val="00DE42AA"/>
    <w:rsid w:val="00DE430E"/>
    <w:rsid w:val="00DE4398"/>
    <w:rsid w:val="00DE4477"/>
    <w:rsid w:val="00DE4557"/>
    <w:rsid w:val="00DE45A4"/>
    <w:rsid w:val="00DE46AA"/>
    <w:rsid w:val="00DE46AE"/>
    <w:rsid w:val="00DE4873"/>
    <w:rsid w:val="00DE4883"/>
    <w:rsid w:val="00DE48CB"/>
    <w:rsid w:val="00DE48D3"/>
    <w:rsid w:val="00DE48F2"/>
    <w:rsid w:val="00DE49D8"/>
    <w:rsid w:val="00DE4A93"/>
    <w:rsid w:val="00DE4AB6"/>
    <w:rsid w:val="00DE4ACD"/>
    <w:rsid w:val="00DE4AEF"/>
    <w:rsid w:val="00DE4BD5"/>
    <w:rsid w:val="00DE4E08"/>
    <w:rsid w:val="00DE4E79"/>
    <w:rsid w:val="00DE4FAC"/>
    <w:rsid w:val="00DE5059"/>
    <w:rsid w:val="00DE5119"/>
    <w:rsid w:val="00DE5364"/>
    <w:rsid w:val="00DE5442"/>
    <w:rsid w:val="00DE54B8"/>
    <w:rsid w:val="00DE563C"/>
    <w:rsid w:val="00DE5647"/>
    <w:rsid w:val="00DE5707"/>
    <w:rsid w:val="00DE577E"/>
    <w:rsid w:val="00DE5998"/>
    <w:rsid w:val="00DE5AD9"/>
    <w:rsid w:val="00DE5ADA"/>
    <w:rsid w:val="00DE5B28"/>
    <w:rsid w:val="00DE5C88"/>
    <w:rsid w:val="00DE5D55"/>
    <w:rsid w:val="00DE5DEB"/>
    <w:rsid w:val="00DE5FC7"/>
    <w:rsid w:val="00DE5FEF"/>
    <w:rsid w:val="00DE601F"/>
    <w:rsid w:val="00DE606B"/>
    <w:rsid w:val="00DE60A1"/>
    <w:rsid w:val="00DE61A1"/>
    <w:rsid w:val="00DE61CB"/>
    <w:rsid w:val="00DE61F6"/>
    <w:rsid w:val="00DE6221"/>
    <w:rsid w:val="00DE6284"/>
    <w:rsid w:val="00DE62E7"/>
    <w:rsid w:val="00DE639B"/>
    <w:rsid w:val="00DE63DB"/>
    <w:rsid w:val="00DE6448"/>
    <w:rsid w:val="00DE64DF"/>
    <w:rsid w:val="00DE64E1"/>
    <w:rsid w:val="00DE65C1"/>
    <w:rsid w:val="00DE65D6"/>
    <w:rsid w:val="00DE6824"/>
    <w:rsid w:val="00DE683B"/>
    <w:rsid w:val="00DE6938"/>
    <w:rsid w:val="00DE69F5"/>
    <w:rsid w:val="00DE6A9C"/>
    <w:rsid w:val="00DE6A9D"/>
    <w:rsid w:val="00DE6C68"/>
    <w:rsid w:val="00DE6D7F"/>
    <w:rsid w:val="00DE6E1A"/>
    <w:rsid w:val="00DE6E4B"/>
    <w:rsid w:val="00DE6FFE"/>
    <w:rsid w:val="00DE708D"/>
    <w:rsid w:val="00DE71DB"/>
    <w:rsid w:val="00DE7200"/>
    <w:rsid w:val="00DE725E"/>
    <w:rsid w:val="00DE74B5"/>
    <w:rsid w:val="00DE752F"/>
    <w:rsid w:val="00DE7685"/>
    <w:rsid w:val="00DE76F0"/>
    <w:rsid w:val="00DE774D"/>
    <w:rsid w:val="00DE77E1"/>
    <w:rsid w:val="00DE78A2"/>
    <w:rsid w:val="00DE78A8"/>
    <w:rsid w:val="00DE7A10"/>
    <w:rsid w:val="00DE7A4B"/>
    <w:rsid w:val="00DE7B90"/>
    <w:rsid w:val="00DE7D03"/>
    <w:rsid w:val="00DE7D77"/>
    <w:rsid w:val="00DE7D93"/>
    <w:rsid w:val="00DE7EFC"/>
    <w:rsid w:val="00DE7FF5"/>
    <w:rsid w:val="00DF010F"/>
    <w:rsid w:val="00DF0139"/>
    <w:rsid w:val="00DF051B"/>
    <w:rsid w:val="00DF0576"/>
    <w:rsid w:val="00DF05D5"/>
    <w:rsid w:val="00DF05DA"/>
    <w:rsid w:val="00DF06AE"/>
    <w:rsid w:val="00DF06E9"/>
    <w:rsid w:val="00DF076B"/>
    <w:rsid w:val="00DF08D9"/>
    <w:rsid w:val="00DF0942"/>
    <w:rsid w:val="00DF0A22"/>
    <w:rsid w:val="00DF0A62"/>
    <w:rsid w:val="00DF0A8B"/>
    <w:rsid w:val="00DF0BB7"/>
    <w:rsid w:val="00DF0CEF"/>
    <w:rsid w:val="00DF0DD6"/>
    <w:rsid w:val="00DF0EFA"/>
    <w:rsid w:val="00DF0F65"/>
    <w:rsid w:val="00DF1032"/>
    <w:rsid w:val="00DF1136"/>
    <w:rsid w:val="00DF1184"/>
    <w:rsid w:val="00DF1218"/>
    <w:rsid w:val="00DF1260"/>
    <w:rsid w:val="00DF14AF"/>
    <w:rsid w:val="00DF152A"/>
    <w:rsid w:val="00DF1549"/>
    <w:rsid w:val="00DF16AC"/>
    <w:rsid w:val="00DF1729"/>
    <w:rsid w:val="00DF1876"/>
    <w:rsid w:val="00DF18B8"/>
    <w:rsid w:val="00DF1915"/>
    <w:rsid w:val="00DF195E"/>
    <w:rsid w:val="00DF19B4"/>
    <w:rsid w:val="00DF19F1"/>
    <w:rsid w:val="00DF19F7"/>
    <w:rsid w:val="00DF1AAC"/>
    <w:rsid w:val="00DF1B18"/>
    <w:rsid w:val="00DF1CF3"/>
    <w:rsid w:val="00DF1DE6"/>
    <w:rsid w:val="00DF1E8A"/>
    <w:rsid w:val="00DF1F9F"/>
    <w:rsid w:val="00DF1FD7"/>
    <w:rsid w:val="00DF1FDF"/>
    <w:rsid w:val="00DF20A0"/>
    <w:rsid w:val="00DF20A1"/>
    <w:rsid w:val="00DF20EB"/>
    <w:rsid w:val="00DF212C"/>
    <w:rsid w:val="00DF21A8"/>
    <w:rsid w:val="00DF2215"/>
    <w:rsid w:val="00DF2240"/>
    <w:rsid w:val="00DF22FA"/>
    <w:rsid w:val="00DF2334"/>
    <w:rsid w:val="00DF23C2"/>
    <w:rsid w:val="00DF24EE"/>
    <w:rsid w:val="00DF27F7"/>
    <w:rsid w:val="00DF286B"/>
    <w:rsid w:val="00DF28BD"/>
    <w:rsid w:val="00DF2924"/>
    <w:rsid w:val="00DF297A"/>
    <w:rsid w:val="00DF2B4E"/>
    <w:rsid w:val="00DF2BEB"/>
    <w:rsid w:val="00DF2C23"/>
    <w:rsid w:val="00DF2F46"/>
    <w:rsid w:val="00DF2FB2"/>
    <w:rsid w:val="00DF306F"/>
    <w:rsid w:val="00DF313B"/>
    <w:rsid w:val="00DF3170"/>
    <w:rsid w:val="00DF3291"/>
    <w:rsid w:val="00DF33B1"/>
    <w:rsid w:val="00DF3434"/>
    <w:rsid w:val="00DF3469"/>
    <w:rsid w:val="00DF3817"/>
    <w:rsid w:val="00DF384F"/>
    <w:rsid w:val="00DF3967"/>
    <w:rsid w:val="00DF396D"/>
    <w:rsid w:val="00DF3A12"/>
    <w:rsid w:val="00DF3A28"/>
    <w:rsid w:val="00DF3A50"/>
    <w:rsid w:val="00DF3AEA"/>
    <w:rsid w:val="00DF3BEA"/>
    <w:rsid w:val="00DF3C03"/>
    <w:rsid w:val="00DF3DA0"/>
    <w:rsid w:val="00DF3F79"/>
    <w:rsid w:val="00DF3FBD"/>
    <w:rsid w:val="00DF3FE1"/>
    <w:rsid w:val="00DF40B2"/>
    <w:rsid w:val="00DF40F8"/>
    <w:rsid w:val="00DF4379"/>
    <w:rsid w:val="00DF43B6"/>
    <w:rsid w:val="00DF43CB"/>
    <w:rsid w:val="00DF441E"/>
    <w:rsid w:val="00DF44B9"/>
    <w:rsid w:val="00DF4515"/>
    <w:rsid w:val="00DF45AB"/>
    <w:rsid w:val="00DF461D"/>
    <w:rsid w:val="00DF47F6"/>
    <w:rsid w:val="00DF48EE"/>
    <w:rsid w:val="00DF48FE"/>
    <w:rsid w:val="00DF4A0C"/>
    <w:rsid w:val="00DF4B62"/>
    <w:rsid w:val="00DF4C14"/>
    <w:rsid w:val="00DF4C4C"/>
    <w:rsid w:val="00DF4C5C"/>
    <w:rsid w:val="00DF4D67"/>
    <w:rsid w:val="00DF4E37"/>
    <w:rsid w:val="00DF4F9E"/>
    <w:rsid w:val="00DF5164"/>
    <w:rsid w:val="00DF5249"/>
    <w:rsid w:val="00DF537A"/>
    <w:rsid w:val="00DF53A3"/>
    <w:rsid w:val="00DF53D7"/>
    <w:rsid w:val="00DF54D7"/>
    <w:rsid w:val="00DF559B"/>
    <w:rsid w:val="00DF55E3"/>
    <w:rsid w:val="00DF56F3"/>
    <w:rsid w:val="00DF5729"/>
    <w:rsid w:val="00DF599C"/>
    <w:rsid w:val="00DF5A22"/>
    <w:rsid w:val="00DF5A47"/>
    <w:rsid w:val="00DF5B06"/>
    <w:rsid w:val="00DF5C0F"/>
    <w:rsid w:val="00DF5C24"/>
    <w:rsid w:val="00DF5CD9"/>
    <w:rsid w:val="00DF5CF7"/>
    <w:rsid w:val="00DF5DD6"/>
    <w:rsid w:val="00DF5E52"/>
    <w:rsid w:val="00DF5F20"/>
    <w:rsid w:val="00DF5F73"/>
    <w:rsid w:val="00DF5FD1"/>
    <w:rsid w:val="00DF6132"/>
    <w:rsid w:val="00DF6198"/>
    <w:rsid w:val="00DF6343"/>
    <w:rsid w:val="00DF6399"/>
    <w:rsid w:val="00DF6443"/>
    <w:rsid w:val="00DF647C"/>
    <w:rsid w:val="00DF6688"/>
    <w:rsid w:val="00DF668F"/>
    <w:rsid w:val="00DF66E6"/>
    <w:rsid w:val="00DF67C4"/>
    <w:rsid w:val="00DF6857"/>
    <w:rsid w:val="00DF69CE"/>
    <w:rsid w:val="00DF6B06"/>
    <w:rsid w:val="00DF6BB7"/>
    <w:rsid w:val="00DF6C06"/>
    <w:rsid w:val="00DF6C1E"/>
    <w:rsid w:val="00DF6CF3"/>
    <w:rsid w:val="00DF6DAD"/>
    <w:rsid w:val="00DF6EC9"/>
    <w:rsid w:val="00DF6FDF"/>
    <w:rsid w:val="00DF70D7"/>
    <w:rsid w:val="00DF71BA"/>
    <w:rsid w:val="00DF71D7"/>
    <w:rsid w:val="00DF7249"/>
    <w:rsid w:val="00DF7254"/>
    <w:rsid w:val="00DF7318"/>
    <w:rsid w:val="00DF7336"/>
    <w:rsid w:val="00DF7391"/>
    <w:rsid w:val="00DF7640"/>
    <w:rsid w:val="00DF7796"/>
    <w:rsid w:val="00DF77C5"/>
    <w:rsid w:val="00DF7808"/>
    <w:rsid w:val="00DF7907"/>
    <w:rsid w:val="00DF791E"/>
    <w:rsid w:val="00DF7979"/>
    <w:rsid w:val="00DF79FD"/>
    <w:rsid w:val="00DF7A9C"/>
    <w:rsid w:val="00DF7AD1"/>
    <w:rsid w:val="00DF7ADA"/>
    <w:rsid w:val="00DF7B5F"/>
    <w:rsid w:val="00DF7CF8"/>
    <w:rsid w:val="00DF7DF0"/>
    <w:rsid w:val="00DF7DF4"/>
    <w:rsid w:val="00DF7E4A"/>
    <w:rsid w:val="00DF7F07"/>
    <w:rsid w:val="00DF7F40"/>
    <w:rsid w:val="00DF7FC0"/>
    <w:rsid w:val="00DF7FE3"/>
    <w:rsid w:val="00E000B0"/>
    <w:rsid w:val="00E000E1"/>
    <w:rsid w:val="00E001D6"/>
    <w:rsid w:val="00E00224"/>
    <w:rsid w:val="00E0023E"/>
    <w:rsid w:val="00E00259"/>
    <w:rsid w:val="00E002D7"/>
    <w:rsid w:val="00E00300"/>
    <w:rsid w:val="00E003E6"/>
    <w:rsid w:val="00E00455"/>
    <w:rsid w:val="00E0046E"/>
    <w:rsid w:val="00E008B9"/>
    <w:rsid w:val="00E008BA"/>
    <w:rsid w:val="00E0097A"/>
    <w:rsid w:val="00E009A2"/>
    <w:rsid w:val="00E00A64"/>
    <w:rsid w:val="00E00ACE"/>
    <w:rsid w:val="00E00BE2"/>
    <w:rsid w:val="00E00D00"/>
    <w:rsid w:val="00E00D2E"/>
    <w:rsid w:val="00E00D51"/>
    <w:rsid w:val="00E00E59"/>
    <w:rsid w:val="00E010D6"/>
    <w:rsid w:val="00E01168"/>
    <w:rsid w:val="00E011EC"/>
    <w:rsid w:val="00E012C6"/>
    <w:rsid w:val="00E0132A"/>
    <w:rsid w:val="00E0135C"/>
    <w:rsid w:val="00E0150E"/>
    <w:rsid w:val="00E01559"/>
    <w:rsid w:val="00E01577"/>
    <w:rsid w:val="00E01766"/>
    <w:rsid w:val="00E01800"/>
    <w:rsid w:val="00E01893"/>
    <w:rsid w:val="00E018E2"/>
    <w:rsid w:val="00E01959"/>
    <w:rsid w:val="00E019AD"/>
    <w:rsid w:val="00E01B89"/>
    <w:rsid w:val="00E01C3C"/>
    <w:rsid w:val="00E01C71"/>
    <w:rsid w:val="00E01D4F"/>
    <w:rsid w:val="00E01DAE"/>
    <w:rsid w:val="00E01DB9"/>
    <w:rsid w:val="00E01EE6"/>
    <w:rsid w:val="00E020BF"/>
    <w:rsid w:val="00E02104"/>
    <w:rsid w:val="00E022ED"/>
    <w:rsid w:val="00E024AC"/>
    <w:rsid w:val="00E024C8"/>
    <w:rsid w:val="00E02528"/>
    <w:rsid w:val="00E02545"/>
    <w:rsid w:val="00E025E1"/>
    <w:rsid w:val="00E025EB"/>
    <w:rsid w:val="00E02642"/>
    <w:rsid w:val="00E026DC"/>
    <w:rsid w:val="00E02705"/>
    <w:rsid w:val="00E0278F"/>
    <w:rsid w:val="00E027DA"/>
    <w:rsid w:val="00E0290F"/>
    <w:rsid w:val="00E0294E"/>
    <w:rsid w:val="00E02955"/>
    <w:rsid w:val="00E029AE"/>
    <w:rsid w:val="00E02B9F"/>
    <w:rsid w:val="00E02C5C"/>
    <w:rsid w:val="00E02CB2"/>
    <w:rsid w:val="00E02D4E"/>
    <w:rsid w:val="00E02D50"/>
    <w:rsid w:val="00E02DAC"/>
    <w:rsid w:val="00E02DB6"/>
    <w:rsid w:val="00E02E6B"/>
    <w:rsid w:val="00E02EF2"/>
    <w:rsid w:val="00E02F6A"/>
    <w:rsid w:val="00E0306E"/>
    <w:rsid w:val="00E0312F"/>
    <w:rsid w:val="00E03241"/>
    <w:rsid w:val="00E03251"/>
    <w:rsid w:val="00E032C8"/>
    <w:rsid w:val="00E03315"/>
    <w:rsid w:val="00E03321"/>
    <w:rsid w:val="00E034E9"/>
    <w:rsid w:val="00E03529"/>
    <w:rsid w:val="00E0361A"/>
    <w:rsid w:val="00E03729"/>
    <w:rsid w:val="00E03776"/>
    <w:rsid w:val="00E03783"/>
    <w:rsid w:val="00E037D2"/>
    <w:rsid w:val="00E037D4"/>
    <w:rsid w:val="00E03837"/>
    <w:rsid w:val="00E038CA"/>
    <w:rsid w:val="00E038CF"/>
    <w:rsid w:val="00E03A84"/>
    <w:rsid w:val="00E03AA7"/>
    <w:rsid w:val="00E03B50"/>
    <w:rsid w:val="00E03B84"/>
    <w:rsid w:val="00E03DF2"/>
    <w:rsid w:val="00E03EDF"/>
    <w:rsid w:val="00E03EE3"/>
    <w:rsid w:val="00E03F78"/>
    <w:rsid w:val="00E03FA1"/>
    <w:rsid w:val="00E04011"/>
    <w:rsid w:val="00E04052"/>
    <w:rsid w:val="00E040A9"/>
    <w:rsid w:val="00E040EB"/>
    <w:rsid w:val="00E04431"/>
    <w:rsid w:val="00E0449F"/>
    <w:rsid w:val="00E04504"/>
    <w:rsid w:val="00E0451F"/>
    <w:rsid w:val="00E045AB"/>
    <w:rsid w:val="00E045B2"/>
    <w:rsid w:val="00E04602"/>
    <w:rsid w:val="00E04657"/>
    <w:rsid w:val="00E046C4"/>
    <w:rsid w:val="00E046E1"/>
    <w:rsid w:val="00E04A21"/>
    <w:rsid w:val="00E04A9C"/>
    <w:rsid w:val="00E04AF1"/>
    <w:rsid w:val="00E04C47"/>
    <w:rsid w:val="00E04C8B"/>
    <w:rsid w:val="00E04CD9"/>
    <w:rsid w:val="00E04EC0"/>
    <w:rsid w:val="00E04FAE"/>
    <w:rsid w:val="00E04FE8"/>
    <w:rsid w:val="00E0517E"/>
    <w:rsid w:val="00E0528B"/>
    <w:rsid w:val="00E052DB"/>
    <w:rsid w:val="00E052FD"/>
    <w:rsid w:val="00E05323"/>
    <w:rsid w:val="00E0532C"/>
    <w:rsid w:val="00E05422"/>
    <w:rsid w:val="00E05496"/>
    <w:rsid w:val="00E055B9"/>
    <w:rsid w:val="00E05700"/>
    <w:rsid w:val="00E05742"/>
    <w:rsid w:val="00E05875"/>
    <w:rsid w:val="00E0595C"/>
    <w:rsid w:val="00E05ABA"/>
    <w:rsid w:val="00E05ACC"/>
    <w:rsid w:val="00E05B11"/>
    <w:rsid w:val="00E05BC3"/>
    <w:rsid w:val="00E05E0E"/>
    <w:rsid w:val="00E05EE5"/>
    <w:rsid w:val="00E05F24"/>
    <w:rsid w:val="00E05F3E"/>
    <w:rsid w:val="00E05FE6"/>
    <w:rsid w:val="00E0609C"/>
    <w:rsid w:val="00E060B4"/>
    <w:rsid w:val="00E060E5"/>
    <w:rsid w:val="00E061FC"/>
    <w:rsid w:val="00E06226"/>
    <w:rsid w:val="00E0622B"/>
    <w:rsid w:val="00E06255"/>
    <w:rsid w:val="00E062DE"/>
    <w:rsid w:val="00E06328"/>
    <w:rsid w:val="00E0663E"/>
    <w:rsid w:val="00E06702"/>
    <w:rsid w:val="00E06803"/>
    <w:rsid w:val="00E068D8"/>
    <w:rsid w:val="00E068F9"/>
    <w:rsid w:val="00E06A1B"/>
    <w:rsid w:val="00E06C1D"/>
    <w:rsid w:val="00E06CC5"/>
    <w:rsid w:val="00E06DE3"/>
    <w:rsid w:val="00E06E4C"/>
    <w:rsid w:val="00E06E5D"/>
    <w:rsid w:val="00E06E93"/>
    <w:rsid w:val="00E06F2E"/>
    <w:rsid w:val="00E06FA3"/>
    <w:rsid w:val="00E07005"/>
    <w:rsid w:val="00E07069"/>
    <w:rsid w:val="00E0713E"/>
    <w:rsid w:val="00E07208"/>
    <w:rsid w:val="00E07315"/>
    <w:rsid w:val="00E073BA"/>
    <w:rsid w:val="00E07614"/>
    <w:rsid w:val="00E07676"/>
    <w:rsid w:val="00E0774E"/>
    <w:rsid w:val="00E07799"/>
    <w:rsid w:val="00E077F8"/>
    <w:rsid w:val="00E07850"/>
    <w:rsid w:val="00E07A1B"/>
    <w:rsid w:val="00E07A36"/>
    <w:rsid w:val="00E07AA6"/>
    <w:rsid w:val="00E07DA6"/>
    <w:rsid w:val="00E07E19"/>
    <w:rsid w:val="00E07EB4"/>
    <w:rsid w:val="00E07EBA"/>
    <w:rsid w:val="00E07FA1"/>
    <w:rsid w:val="00E10151"/>
    <w:rsid w:val="00E10310"/>
    <w:rsid w:val="00E1061C"/>
    <w:rsid w:val="00E10675"/>
    <w:rsid w:val="00E1074A"/>
    <w:rsid w:val="00E108B8"/>
    <w:rsid w:val="00E108D7"/>
    <w:rsid w:val="00E10905"/>
    <w:rsid w:val="00E109A1"/>
    <w:rsid w:val="00E10A99"/>
    <w:rsid w:val="00E10AC0"/>
    <w:rsid w:val="00E10B15"/>
    <w:rsid w:val="00E10B69"/>
    <w:rsid w:val="00E10C3F"/>
    <w:rsid w:val="00E10C5A"/>
    <w:rsid w:val="00E10CD9"/>
    <w:rsid w:val="00E10D9C"/>
    <w:rsid w:val="00E111C7"/>
    <w:rsid w:val="00E1123C"/>
    <w:rsid w:val="00E11343"/>
    <w:rsid w:val="00E1134B"/>
    <w:rsid w:val="00E1134F"/>
    <w:rsid w:val="00E1137A"/>
    <w:rsid w:val="00E11386"/>
    <w:rsid w:val="00E11498"/>
    <w:rsid w:val="00E114C0"/>
    <w:rsid w:val="00E11514"/>
    <w:rsid w:val="00E1165A"/>
    <w:rsid w:val="00E116DE"/>
    <w:rsid w:val="00E11710"/>
    <w:rsid w:val="00E117D1"/>
    <w:rsid w:val="00E118E2"/>
    <w:rsid w:val="00E11929"/>
    <w:rsid w:val="00E11951"/>
    <w:rsid w:val="00E119B5"/>
    <w:rsid w:val="00E11A05"/>
    <w:rsid w:val="00E11A5E"/>
    <w:rsid w:val="00E11A67"/>
    <w:rsid w:val="00E11A6C"/>
    <w:rsid w:val="00E11ADC"/>
    <w:rsid w:val="00E11B76"/>
    <w:rsid w:val="00E11BA4"/>
    <w:rsid w:val="00E11BAC"/>
    <w:rsid w:val="00E11BB1"/>
    <w:rsid w:val="00E11C17"/>
    <w:rsid w:val="00E11C77"/>
    <w:rsid w:val="00E11D1E"/>
    <w:rsid w:val="00E11DEE"/>
    <w:rsid w:val="00E11E3D"/>
    <w:rsid w:val="00E11FD1"/>
    <w:rsid w:val="00E1206C"/>
    <w:rsid w:val="00E1208A"/>
    <w:rsid w:val="00E120BC"/>
    <w:rsid w:val="00E120E4"/>
    <w:rsid w:val="00E1221C"/>
    <w:rsid w:val="00E122A3"/>
    <w:rsid w:val="00E122BD"/>
    <w:rsid w:val="00E122DF"/>
    <w:rsid w:val="00E12355"/>
    <w:rsid w:val="00E12416"/>
    <w:rsid w:val="00E12473"/>
    <w:rsid w:val="00E12475"/>
    <w:rsid w:val="00E12502"/>
    <w:rsid w:val="00E1256E"/>
    <w:rsid w:val="00E126C3"/>
    <w:rsid w:val="00E12745"/>
    <w:rsid w:val="00E127D5"/>
    <w:rsid w:val="00E12893"/>
    <w:rsid w:val="00E12A68"/>
    <w:rsid w:val="00E12B0B"/>
    <w:rsid w:val="00E12C6C"/>
    <w:rsid w:val="00E12ED3"/>
    <w:rsid w:val="00E13183"/>
    <w:rsid w:val="00E1325E"/>
    <w:rsid w:val="00E132CE"/>
    <w:rsid w:val="00E132FF"/>
    <w:rsid w:val="00E13309"/>
    <w:rsid w:val="00E13342"/>
    <w:rsid w:val="00E133B5"/>
    <w:rsid w:val="00E133EB"/>
    <w:rsid w:val="00E134D4"/>
    <w:rsid w:val="00E1351A"/>
    <w:rsid w:val="00E1356A"/>
    <w:rsid w:val="00E1370F"/>
    <w:rsid w:val="00E1372B"/>
    <w:rsid w:val="00E13756"/>
    <w:rsid w:val="00E1385D"/>
    <w:rsid w:val="00E13947"/>
    <w:rsid w:val="00E139CE"/>
    <w:rsid w:val="00E13AFB"/>
    <w:rsid w:val="00E13B2C"/>
    <w:rsid w:val="00E13BD5"/>
    <w:rsid w:val="00E13D9B"/>
    <w:rsid w:val="00E13DA6"/>
    <w:rsid w:val="00E13E10"/>
    <w:rsid w:val="00E13E90"/>
    <w:rsid w:val="00E13F32"/>
    <w:rsid w:val="00E13F5A"/>
    <w:rsid w:val="00E13FD4"/>
    <w:rsid w:val="00E14214"/>
    <w:rsid w:val="00E14270"/>
    <w:rsid w:val="00E142B8"/>
    <w:rsid w:val="00E142DE"/>
    <w:rsid w:val="00E1446C"/>
    <w:rsid w:val="00E145F7"/>
    <w:rsid w:val="00E14676"/>
    <w:rsid w:val="00E146EF"/>
    <w:rsid w:val="00E147DB"/>
    <w:rsid w:val="00E1481D"/>
    <w:rsid w:val="00E14976"/>
    <w:rsid w:val="00E14A29"/>
    <w:rsid w:val="00E14B6F"/>
    <w:rsid w:val="00E14D33"/>
    <w:rsid w:val="00E14E8F"/>
    <w:rsid w:val="00E14EC6"/>
    <w:rsid w:val="00E14F00"/>
    <w:rsid w:val="00E14FE5"/>
    <w:rsid w:val="00E15047"/>
    <w:rsid w:val="00E151A2"/>
    <w:rsid w:val="00E1524F"/>
    <w:rsid w:val="00E1526C"/>
    <w:rsid w:val="00E1540A"/>
    <w:rsid w:val="00E15481"/>
    <w:rsid w:val="00E15537"/>
    <w:rsid w:val="00E15591"/>
    <w:rsid w:val="00E1563C"/>
    <w:rsid w:val="00E15652"/>
    <w:rsid w:val="00E15719"/>
    <w:rsid w:val="00E1593B"/>
    <w:rsid w:val="00E1593E"/>
    <w:rsid w:val="00E15946"/>
    <w:rsid w:val="00E15C92"/>
    <w:rsid w:val="00E15C9F"/>
    <w:rsid w:val="00E15D3D"/>
    <w:rsid w:val="00E15DEF"/>
    <w:rsid w:val="00E15E13"/>
    <w:rsid w:val="00E15E49"/>
    <w:rsid w:val="00E15E4F"/>
    <w:rsid w:val="00E15E99"/>
    <w:rsid w:val="00E15E9E"/>
    <w:rsid w:val="00E16212"/>
    <w:rsid w:val="00E1621C"/>
    <w:rsid w:val="00E1626E"/>
    <w:rsid w:val="00E164E7"/>
    <w:rsid w:val="00E1655A"/>
    <w:rsid w:val="00E16587"/>
    <w:rsid w:val="00E16607"/>
    <w:rsid w:val="00E166A9"/>
    <w:rsid w:val="00E16749"/>
    <w:rsid w:val="00E1675D"/>
    <w:rsid w:val="00E1680F"/>
    <w:rsid w:val="00E16824"/>
    <w:rsid w:val="00E168D5"/>
    <w:rsid w:val="00E168D7"/>
    <w:rsid w:val="00E16976"/>
    <w:rsid w:val="00E16A3B"/>
    <w:rsid w:val="00E16B63"/>
    <w:rsid w:val="00E16B73"/>
    <w:rsid w:val="00E16B7F"/>
    <w:rsid w:val="00E16C30"/>
    <w:rsid w:val="00E16C3A"/>
    <w:rsid w:val="00E16D41"/>
    <w:rsid w:val="00E16EBF"/>
    <w:rsid w:val="00E16F1B"/>
    <w:rsid w:val="00E17044"/>
    <w:rsid w:val="00E1710D"/>
    <w:rsid w:val="00E171E0"/>
    <w:rsid w:val="00E17212"/>
    <w:rsid w:val="00E17340"/>
    <w:rsid w:val="00E173D7"/>
    <w:rsid w:val="00E174C7"/>
    <w:rsid w:val="00E1759E"/>
    <w:rsid w:val="00E17610"/>
    <w:rsid w:val="00E17631"/>
    <w:rsid w:val="00E177D7"/>
    <w:rsid w:val="00E178D1"/>
    <w:rsid w:val="00E179EC"/>
    <w:rsid w:val="00E17A5C"/>
    <w:rsid w:val="00E17BD5"/>
    <w:rsid w:val="00E17C3E"/>
    <w:rsid w:val="00E17E15"/>
    <w:rsid w:val="00E17E6A"/>
    <w:rsid w:val="00E17F37"/>
    <w:rsid w:val="00E17FB9"/>
    <w:rsid w:val="00E20099"/>
    <w:rsid w:val="00E200E4"/>
    <w:rsid w:val="00E200E6"/>
    <w:rsid w:val="00E2037F"/>
    <w:rsid w:val="00E20454"/>
    <w:rsid w:val="00E204AE"/>
    <w:rsid w:val="00E2057C"/>
    <w:rsid w:val="00E20810"/>
    <w:rsid w:val="00E2089B"/>
    <w:rsid w:val="00E209E2"/>
    <w:rsid w:val="00E20A0A"/>
    <w:rsid w:val="00E20B56"/>
    <w:rsid w:val="00E20CC7"/>
    <w:rsid w:val="00E20D31"/>
    <w:rsid w:val="00E20DA9"/>
    <w:rsid w:val="00E20DDF"/>
    <w:rsid w:val="00E20DF0"/>
    <w:rsid w:val="00E20E12"/>
    <w:rsid w:val="00E20E85"/>
    <w:rsid w:val="00E21016"/>
    <w:rsid w:val="00E2108A"/>
    <w:rsid w:val="00E211E2"/>
    <w:rsid w:val="00E21381"/>
    <w:rsid w:val="00E2149B"/>
    <w:rsid w:val="00E215F4"/>
    <w:rsid w:val="00E216AC"/>
    <w:rsid w:val="00E2175F"/>
    <w:rsid w:val="00E218AB"/>
    <w:rsid w:val="00E21984"/>
    <w:rsid w:val="00E21AF7"/>
    <w:rsid w:val="00E21B39"/>
    <w:rsid w:val="00E21BEE"/>
    <w:rsid w:val="00E21C4F"/>
    <w:rsid w:val="00E21CCB"/>
    <w:rsid w:val="00E21D4F"/>
    <w:rsid w:val="00E21DC0"/>
    <w:rsid w:val="00E21E18"/>
    <w:rsid w:val="00E22126"/>
    <w:rsid w:val="00E22131"/>
    <w:rsid w:val="00E2227E"/>
    <w:rsid w:val="00E22535"/>
    <w:rsid w:val="00E225A7"/>
    <w:rsid w:val="00E225B6"/>
    <w:rsid w:val="00E2277D"/>
    <w:rsid w:val="00E22790"/>
    <w:rsid w:val="00E22815"/>
    <w:rsid w:val="00E22850"/>
    <w:rsid w:val="00E22D56"/>
    <w:rsid w:val="00E22EAF"/>
    <w:rsid w:val="00E2306D"/>
    <w:rsid w:val="00E230A0"/>
    <w:rsid w:val="00E231BB"/>
    <w:rsid w:val="00E23364"/>
    <w:rsid w:val="00E233D3"/>
    <w:rsid w:val="00E23434"/>
    <w:rsid w:val="00E234F0"/>
    <w:rsid w:val="00E23556"/>
    <w:rsid w:val="00E2366E"/>
    <w:rsid w:val="00E237B7"/>
    <w:rsid w:val="00E238EC"/>
    <w:rsid w:val="00E238F2"/>
    <w:rsid w:val="00E23ACE"/>
    <w:rsid w:val="00E23B5E"/>
    <w:rsid w:val="00E23CA3"/>
    <w:rsid w:val="00E23D3F"/>
    <w:rsid w:val="00E23DF7"/>
    <w:rsid w:val="00E23F47"/>
    <w:rsid w:val="00E23FCC"/>
    <w:rsid w:val="00E240EF"/>
    <w:rsid w:val="00E24125"/>
    <w:rsid w:val="00E24126"/>
    <w:rsid w:val="00E241BB"/>
    <w:rsid w:val="00E24366"/>
    <w:rsid w:val="00E24417"/>
    <w:rsid w:val="00E24483"/>
    <w:rsid w:val="00E244B8"/>
    <w:rsid w:val="00E24612"/>
    <w:rsid w:val="00E24827"/>
    <w:rsid w:val="00E248D2"/>
    <w:rsid w:val="00E2494A"/>
    <w:rsid w:val="00E249BB"/>
    <w:rsid w:val="00E249E3"/>
    <w:rsid w:val="00E24A1E"/>
    <w:rsid w:val="00E24AEC"/>
    <w:rsid w:val="00E24E3D"/>
    <w:rsid w:val="00E24E7A"/>
    <w:rsid w:val="00E24EA2"/>
    <w:rsid w:val="00E24F85"/>
    <w:rsid w:val="00E24F99"/>
    <w:rsid w:val="00E250B2"/>
    <w:rsid w:val="00E25108"/>
    <w:rsid w:val="00E251ED"/>
    <w:rsid w:val="00E25453"/>
    <w:rsid w:val="00E25562"/>
    <w:rsid w:val="00E25593"/>
    <w:rsid w:val="00E2560F"/>
    <w:rsid w:val="00E2567A"/>
    <w:rsid w:val="00E25697"/>
    <w:rsid w:val="00E256AA"/>
    <w:rsid w:val="00E2572B"/>
    <w:rsid w:val="00E257E8"/>
    <w:rsid w:val="00E257EB"/>
    <w:rsid w:val="00E257EE"/>
    <w:rsid w:val="00E25807"/>
    <w:rsid w:val="00E2583D"/>
    <w:rsid w:val="00E259CC"/>
    <w:rsid w:val="00E25A3A"/>
    <w:rsid w:val="00E25AE6"/>
    <w:rsid w:val="00E25C97"/>
    <w:rsid w:val="00E25C99"/>
    <w:rsid w:val="00E25D3D"/>
    <w:rsid w:val="00E25E53"/>
    <w:rsid w:val="00E25F06"/>
    <w:rsid w:val="00E25F32"/>
    <w:rsid w:val="00E26113"/>
    <w:rsid w:val="00E2615F"/>
    <w:rsid w:val="00E261D0"/>
    <w:rsid w:val="00E261D9"/>
    <w:rsid w:val="00E2623E"/>
    <w:rsid w:val="00E26286"/>
    <w:rsid w:val="00E263DB"/>
    <w:rsid w:val="00E26441"/>
    <w:rsid w:val="00E26444"/>
    <w:rsid w:val="00E2663B"/>
    <w:rsid w:val="00E2668B"/>
    <w:rsid w:val="00E266A4"/>
    <w:rsid w:val="00E26744"/>
    <w:rsid w:val="00E268C6"/>
    <w:rsid w:val="00E26936"/>
    <w:rsid w:val="00E26B54"/>
    <w:rsid w:val="00E26C37"/>
    <w:rsid w:val="00E26D95"/>
    <w:rsid w:val="00E26DF6"/>
    <w:rsid w:val="00E26E24"/>
    <w:rsid w:val="00E26E86"/>
    <w:rsid w:val="00E2700C"/>
    <w:rsid w:val="00E270EC"/>
    <w:rsid w:val="00E2728C"/>
    <w:rsid w:val="00E2731C"/>
    <w:rsid w:val="00E27320"/>
    <w:rsid w:val="00E27419"/>
    <w:rsid w:val="00E275AB"/>
    <w:rsid w:val="00E275AC"/>
    <w:rsid w:val="00E2762E"/>
    <w:rsid w:val="00E27631"/>
    <w:rsid w:val="00E2776C"/>
    <w:rsid w:val="00E278AA"/>
    <w:rsid w:val="00E278E3"/>
    <w:rsid w:val="00E278EB"/>
    <w:rsid w:val="00E27922"/>
    <w:rsid w:val="00E2797F"/>
    <w:rsid w:val="00E27A99"/>
    <w:rsid w:val="00E27AA9"/>
    <w:rsid w:val="00E27B63"/>
    <w:rsid w:val="00E27D14"/>
    <w:rsid w:val="00E27DC0"/>
    <w:rsid w:val="00E27F2A"/>
    <w:rsid w:val="00E27F40"/>
    <w:rsid w:val="00E27F5D"/>
    <w:rsid w:val="00E3000B"/>
    <w:rsid w:val="00E3003D"/>
    <w:rsid w:val="00E301A0"/>
    <w:rsid w:val="00E30249"/>
    <w:rsid w:val="00E30438"/>
    <w:rsid w:val="00E3044E"/>
    <w:rsid w:val="00E3083E"/>
    <w:rsid w:val="00E308BB"/>
    <w:rsid w:val="00E30987"/>
    <w:rsid w:val="00E30B12"/>
    <w:rsid w:val="00E30B59"/>
    <w:rsid w:val="00E30BC8"/>
    <w:rsid w:val="00E30E2A"/>
    <w:rsid w:val="00E30E43"/>
    <w:rsid w:val="00E30FE2"/>
    <w:rsid w:val="00E31054"/>
    <w:rsid w:val="00E310B9"/>
    <w:rsid w:val="00E310E6"/>
    <w:rsid w:val="00E31106"/>
    <w:rsid w:val="00E31301"/>
    <w:rsid w:val="00E31362"/>
    <w:rsid w:val="00E313A9"/>
    <w:rsid w:val="00E313AB"/>
    <w:rsid w:val="00E31479"/>
    <w:rsid w:val="00E3150F"/>
    <w:rsid w:val="00E31565"/>
    <w:rsid w:val="00E315F6"/>
    <w:rsid w:val="00E316CF"/>
    <w:rsid w:val="00E3179B"/>
    <w:rsid w:val="00E317C6"/>
    <w:rsid w:val="00E31802"/>
    <w:rsid w:val="00E31876"/>
    <w:rsid w:val="00E318DD"/>
    <w:rsid w:val="00E31901"/>
    <w:rsid w:val="00E3192C"/>
    <w:rsid w:val="00E319FC"/>
    <w:rsid w:val="00E31A0E"/>
    <w:rsid w:val="00E31A82"/>
    <w:rsid w:val="00E31AF0"/>
    <w:rsid w:val="00E31B01"/>
    <w:rsid w:val="00E31C51"/>
    <w:rsid w:val="00E31C75"/>
    <w:rsid w:val="00E31CE1"/>
    <w:rsid w:val="00E31E21"/>
    <w:rsid w:val="00E31F6A"/>
    <w:rsid w:val="00E32000"/>
    <w:rsid w:val="00E32001"/>
    <w:rsid w:val="00E320C6"/>
    <w:rsid w:val="00E32143"/>
    <w:rsid w:val="00E32166"/>
    <w:rsid w:val="00E3217C"/>
    <w:rsid w:val="00E321D2"/>
    <w:rsid w:val="00E321D5"/>
    <w:rsid w:val="00E322DC"/>
    <w:rsid w:val="00E323A8"/>
    <w:rsid w:val="00E323C8"/>
    <w:rsid w:val="00E32451"/>
    <w:rsid w:val="00E32470"/>
    <w:rsid w:val="00E3256B"/>
    <w:rsid w:val="00E32618"/>
    <w:rsid w:val="00E3269E"/>
    <w:rsid w:val="00E327E3"/>
    <w:rsid w:val="00E32943"/>
    <w:rsid w:val="00E329BE"/>
    <w:rsid w:val="00E32A27"/>
    <w:rsid w:val="00E32ADF"/>
    <w:rsid w:val="00E32B77"/>
    <w:rsid w:val="00E32C48"/>
    <w:rsid w:val="00E32C5C"/>
    <w:rsid w:val="00E32C6B"/>
    <w:rsid w:val="00E32C73"/>
    <w:rsid w:val="00E3308C"/>
    <w:rsid w:val="00E3313A"/>
    <w:rsid w:val="00E33205"/>
    <w:rsid w:val="00E3325A"/>
    <w:rsid w:val="00E333B7"/>
    <w:rsid w:val="00E333C7"/>
    <w:rsid w:val="00E3343A"/>
    <w:rsid w:val="00E33483"/>
    <w:rsid w:val="00E334B2"/>
    <w:rsid w:val="00E334B8"/>
    <w:rsid w:val="00E334D8"/>
    <w:rsid w:val="00E3392D"/>
    <w:rsid w:val="00E33943"/>
    <w:rsid w:val="00E339A3"/>
    <w:rsid w:val="00E33A1F"/>
    <w:rsid w:val="00E33B11"/>
    <w:rsid w:val="00E33B5F"/>
    <w:rsid w:val="00E33B9D"/>
    <w:rsid w:val="00E33C9B"/>
    <w:rsid w:val="00E33DC6"/>
    <w:rsid w:val="00E33FAD"/>
    <w:rsid w:val="00E33FC2"/>
    <w:rsid w:val="00E341B7"/>
    <w:rsid w:val="00E3428A"/>
    <w:rsid w:val="00E3435D"/>
    <w:rsid w:val="00E34398"/>
    <w:rsid w:val="00E343E7"/>
    <w:rsid w:val="00E34482"/>
    <w:rsid w:val="00E3448E"/>
    <w:rsid w:val="00E344D3"/>
    <w:rsid w:val="00E345ED"/>
    <w:rsid w:val="00E3479B"/>
    <w:rsid w:val="00E34867"/>
    <w:rsid w:val="00E348D3"/>
    <w:rsid w:val="00E3493C"/>
    <w:rsid w:val="00E349B1"/>
    <w:rsid w:val="00E34AEE"/>
    <w:rsid w:val="00E34B2A"/>
    <w:rsid w:val="00E34B7E"/>
    <w:rsid w:val="00E34BBF"/>
    <w:rsid w:val="00E34D0A"/>
    <w:rsid w:val="00E34D0E"/>
    <w:rsid w:val="00E34D3E"/>
    <w:rsid w:val="00E34D53"/>
    <w:rsid w:val="00E34DC1"/>
    <w:rsid w:val="00E34DC4"/>
    <w:rsid w:val="00E34EFF"/>
    <w:rsid w:val="00E35001"/>
    <w:rsid w:val="00E3517D"/>
    <w:rsid w:val="00E35306"/>
    <w:rsid w:val="00E353A7"/>
    <w:rsid w:val="00E35548"/>
    <w:rsid w:val="00E355A2"/>
    <w:rsid w:val="00E355B5"/>
    <w:rsid w:val="00E355F8"/>
    <w:rsid w:val="00E35751"/>
    <w:rsid w:val="00E3577F"/>
    <w:rsid w:val="00E357A2"/>
    <w:rsid w:val="00E357A3"/>
    <w:rsid w:val="00E35830"/>
    <w:rsid w:val="00E35847"/>
    <w:rsid w:val="00E35927"/>
    <w:rsid w:val="00E3599B"/>
    <w:rsid w:val="00E35A5F"/>
    <w:rsid w:val="00E35AD4"/>
    <w:rsid w:val="00E35ADD"/>
    <w:rsid w:val="00E35C2A"/>
    <w:rsid w:val="00E35C87"/>
    <w:rsid w:val="00E35CA8"/>
    <w:rsid w:val="00E35D8F"/>
    <w:rsid w:val="00E35DA4"/>
    <w:rsid w:val="00E35FB9"/>
    <w:rsid w:val="00E36021"/>
    <w:rsid w:val="00E36036"/>
    <w:rsid w:val="00E3642A"/>
    <w:rsid w:val="00E364FA"/>
    <w:rsid w:val="00E36836"/>
    <w:rsid w:val="00E36865"/>
    <w:rsid w:val="00E36881"/>
    <w:rsid w:val="00E3695A"/>
    <w:rsid w:val="00E36A62"/>
    <w:rsid w:val="00E36ACF"/>
    <w:rsid w:val="00E36C7A"/>
    <w:rsid w:val="00E36E00"/>
    <w:rsid w:val="00E36E71"/>
    <w:rsid w:val="00E36EBF"/>
    <w:rsid w:val="00E37082"/>
    <w:rsid w:val="00E37096"/>
    <w:rsid w:val="00E370A4"/>
    <w:rsid w:val="00E3714F"/>
    <w:rsid w:val="00E371ED"/>
    <w:rsid w:val="00E37202"/>
    <w:rsid w:val="00E3728B"/>
    <w:rsid w:val="00E37367"/>
    <w:rsid w:val="00E373CA"/>
    <w:rsid w:val="00E37412"/>
    <w:rsid w:val="00E376DD"/>
    <w:rsid w:val="00E377FC"/>
    <w:rsid w:val="00E37837"/>
    <w:rsid w:val="00E3788E"/>
    <w:rsid w:val="00E37897"/>
    <w:rsid w:val="00E37AEA"/>
    <w:rsid w:val="00E37B7B"/>
    <w:rsid w:val="00E37C15"/>
    <w:rsid w:val="00E37D26"/>
    <w:rsid w:val="00E37F6F"/>
    <w:rsid w:val="00E37FBD"/>
    <w:rsid w:val="00E40002"/>
    <w:rsid w:val="00E40042"/>
    <w:rsid w:val="00E400B8"/>
    <w:rsid w:val="00E4022B"/>
    <w:rsid w:val="00E402AF"/>
    <w:rsid w:val="00E402EE"/>
    <w:rsid w:val="00E405A6"/>
    <w:rsid w:val="00E4063E"/>
    <w:rsid w:val="00E406C9"/>
    <w:rsid w:val="00E40753"/>
    <w:rsid w:val="00E40837"/>
    <w:rsid w:val="00E409C2"/>
    <w:rsid w:val="00E40A39"/>
    <w:rsid w:val="00E40C54"/>
    <w:rsid w:val="00E40D2A"/>
    <w:rsid w:val="00E40DB7"/>
    <w:rsid w:val="00E40E49"/>
    <w:rsid w:val="00E40F89"/>
    <w:rsid w:val="00E40F94"/>
    <w:rsid w:val="00E40FC1"/>
    <w:rsid w:val="00E40FD0"/>
    <w:rsid w:val="00E4101A"/>
    <w:rsid w:val="00E4102A"/>
    <w:rsid w:val="00E4104E"/>
    <w:rsid w:val="00E410D5"/>
    <w:rsid w:val="00E41109"/>
    <w:rsid w:val="00E41212"/>
    <w:rsid w:val="00E41232"/>
    <w:rsid w:val="00E4151C"/>
    <w:rsid w:val="00E41535"/>
    <w:rsid w:val="00E41620"/>
    <w:rsid w:val="00E4185A"/>
    <w:rsid w:val="00E418BC"/>
    <w:rsid w:val="00E41909"/>
    <w:rsid w:val="00E419AD"/>
    <w:rsid w:val="00E419C8"/>
    <w:rsid w:val="00E41F8C"/>
    <w:rsid w:val="00E41FE1"/>
    <w:rsid w:val="00E41FE2"/>
    <w:rsid w:val="00E42017"/>
    <w:rsid w:val="00E420A1"/>
    <w:rsid w:val="00E420A3"/>
    <w:rsid w:val="00E420EE"/>
    <w:rsid w:val="00E420FC"/>
    <w:rsid w:val="00E42106"/>
    <w:rsid w:val="00E4229C"/>
    <w:rsid w:val="00E422B9"/>
    <w:rsid w:val="00E4248F"/>
    <w:rsid w:val="00E425B6"/>
    <w:rsid w:val="00E4271E"/>
    <w:rsid w:val="00E427A4"/>
    <w:rsid w:val="00E429FA"/>
    <w:rsid w:val="00E42A98"/>
    <w:rsid w:val="00E42AA8"/>
    <w:rsid w:val="00E42BCC"/>
    <w:rsid w:val="00E42BCD"/>
    <w:rsid w:val="00E42D49"/>
    <w:rsid w:val="00E42DC3"/>
    <w:rsid w:val="00E42E39"/>
    <w:rsid w:val="00E42F7A"/>
    <w:rsid w:val="00E42FAA"/>
    <w:rsid w:val="00E42FC9"/>
    <w:rsid w:val="00E4333F"/>
    <w:rsid w:val="00E4348E"/>
    <w:rsid w:val="00E434AB"/>
    <w:rsid w:val="00E4356E"/>
    <w:rsid w:val="00E435AA"/>
    <w:rsid w:val="00E435F6"/>
    <w:rsid w:val="00E43625"/>
    <w:rsid w:val="00E4362E"/>
    <w:rsid w:val="00E4363C"/>
    <w:rsid w:val="00E436B3"/>
    <w:rsid w:val="00E4370D"/>
    <w:rsid w:val="00E4375C"/>
    <w:rsid w:val="00E4379A"/>
    <w:rsid w:val="00E438DD"/>
    <w:rsid w:val="00E4397B"/>
    <w:rsid w:val="00E43A9A"/>
    <w:rsid w:val="00E43AB6"/>
    <w:rsid w:val="00E43AFE"/>
    <w:rsid w:val="00E43DA9"/>
    <w:rsid w:val="00E4401D"/>
    <w:rsid w:val="00E440C2"/>
    <w:rsid w:val="00E440D9"/>
    <w:rsid w:val="00E441DE"/>
    <w:rsid w:val="00E4424A"/>
    <w:rsid w:val="00E44594"/>
    <w:rsid w:val="00E445C5"/>
    <w:rsid w:val="00E445C6"/>
    <w:rsid w:val="00E445DA"/>
    <w:rsid w:val="00E44603"/>
    <w:rsid w:val="00E44660"/>
    <w:rsid w:val="00E446F6"/>
    <w:rsid w:val="00E4485C"/>
    <w:rsid w:val="00E44887"/>
    <w:rsid w:val="00E4488D"/>
    <w:rsid w:val="00E44ABA"/>
    <w:rsid w:val="00E44B2A"/>
    <w:rsid w:val="00E44BA7"/>
    <w:rsid w:val="00E44BAA"/>
    <w:rsid w:val="00E44C20"/>
    <w:rsid w:val="00E44CB2"/>
    <w:rsid w:val="00E44EA3"/>
    <w:rsid w:val="00E44F97"/>
    <w:rsid w:val="00E45007"/>
    <w:rsid w:val="00E4514B"/>
    <w:rsid w:val="00E451D4"/>
    <w:rsid w:val="00E4531D"/>
    <w:rsid w:val="00E45346"/>
    <w:rsid w:val="00E4554D"/>
    <w:rsid w:val="00E45558"/>
    <w:rsid w:val="00E455A6"/>
    <w:rsid w:val="00E45618"/>
    <w:rsid w:val="00E4565F"/>
    <w:rsid w:val="00E456A0"/>
    <w:rsid w:val="00E4571C"/>
    <w:rsid w:val="00E457C4"/>
    <w:rsid w:val="00E45B42"/>
    <w:rsid w:val="00E45B56"/>
    <w:rsid w:val="00E45B72"/>
    <w:rsid w:val="00E45EE9"/>
    <w:rsid w:val="00E45FDE"/>
    <w:rsid w:val="00E46154"/>
    <w:rsid w:val="00E46176"/>
    <w:rsid w:val="00E461D9"/>
    <w:rsid w:val="00E46260"/>
    <w:rsid w:val="00E463C6"/>
    <w:rsid w:val="00E463CC"/>
    <w:rsid w:val="00E46454"/>
    <w:rsid w:val="00E465F1"/>
    <w:rsid w:val="00E465FD"/>
    <w:rsid w:val="00E46630"/>
    <w:rsid w:val="00E46638"/>
    <w:rsid w:val="00E46776"/>
    <w:rsid w:val="00E46840"/>
    <w:rsid w:val="00E468DE"/>
    <w:rsid w:val="00E46925"/>
    <w:rsid w:val="00E46A8E"/>
    <w:rsid w:val="00E46A98"/>
    <w:rsid w:val="00E46B21"/>
    <w:rsid w:val="00E46BFD"/>
    <w:rsid w:val="00E46D0E"/>
    <w:rsid w:val="00E46D37"/>
    <w:rsid w:val="00E46DE6"/>
    <w:rsid w:val="00E46E8B"/>
    <w:rsid w:val="00E46F2F"/>
    <w:rsid w:val="00E46FBA"/>
    <w:rsid w:val="00E47140"/>
    <w:rsid w:val="00E47192"/>
    <w:rsid w:val="00E47361"/>
    <w:rsid w:val="00E473B6"/>
    <w:rsid w:val="00E475AC"/>
    <w:rsid w:val="00E475E3"/>
    <w:rsid w:val="00E47790"/>
    <w:rsid w:val="00E47803"/>
    <w:rsid w:val="00E47B42"/>
    <w:rsid w:val="00E47C13"/>
    <w:rsid w:val="00E47C17"/>
    <w:rsid w:val="00E47CB5"/>
    <w:rsid w:val="00E47D75"/>
    <w:rsid w:val="00E47E4D"/>
    <w:rsid w:val="00E47F8F"/>
    <w:rsid w:val="00E50080"/>
    <w:rsid w:val="00E500F5"/>
    <w:rsid w:val="00E5017C"/>
    <w:rsid w:val="00E5023A"/>
    <w:rsid w:val="00E503C1"/>
    <w:rsid w:val="00E504F7"/>
    <w:rsid w:val="00E504F8"/>
    <w:rsid w:val="00E50512"/>
    <w:rsid w:val="00E505BD"/>
    <w:rsid w:val="00E50646"/>
    <w:rsid w:val="00E5068D"/>
    <w:rsid w:val="00E50690"/>
    <w:rsid w:val="00E506BD"/>
    <w:rsid w:val="00E50820"/>
    <w:rsid w:val="00E50892"/>
    <w:rsid w:val="00E508B0"/>
    <w:rsid w:val="00E5093A"/>
    <w:rsid w:val="00E509D9"/>
    <w:rsid w:val="00E50B19"/>
    <w:rsid w:val="00E50CDC"/>
    <w:rsid w:val="00E50D6F"/>
    <w:rsid w:val="00E50DF4"/>
    <w:rsid w:val="00E50E04"/>
    <w:rsid w:val="00E50E44"/>
    <w:rsid w:val="00E50F42"/>
    <w:rsid w:val="00E50F99"/>
    <w:rsid w:val="00E5108F"/>
    <w:rsid w:val="00E51099"/>
    <w:rsid w:val="00E5109C"/>
    <w:rsid w:val="00E510B8"/>
    <w:rsid w:val="00E5115F"/>
    <w:rsid w:val="00E51173"/>
    <w:rsid w:val="00E511F0"/>
    <w:rsid w:val="00E51277"/>
    <w:rsid w:val="00E51318"/>
    <w:rsid w:val="00E513DC"/>
    <w:rsid w:val="00E514AF"/>
    <w:rsid w:val="00E51605"/>
    <w:rsid w:val="00E5161A"/>
    <w:rsid w:val="00E51636"/>
    <w:rsid w:val="00E51657"/>
    <w:rsid w:val="00E51694"/>
    <w:rsid w:val="00E51762"/>
    <w:rsid w:val="00E51945"/>
    <w:rsid w:val="00E519E7"/>
    <w:rsid w:val="00E51A3F"/>
    <w:rsid w:val="00E51A55"/>
    <w:rsid w:val="00E51ACD"/>
    <w:rsid w:val="00E51B5A"/>
    <w:rsid w:val="00E51B6C"/>
    <w:rsid w:val="00E51C33"/>
    <w:rsid w:val="00E51E90"/>
    <w:rsid w:val="00E5200A"/>
    <w:rsid w:val="00E5214F"/>
    <w:rsid w:val="00E52223"/>
    <w:rsid w:val="00E52399"/>
    <w:rsid w:val="00E524B1"/>
    <w:rsid w:val="00E52616"/>
    <w:rsid w:val="00E5270D"/>
    <w:rsid w:val="00E52793"/>
    <w:rsid w:val="00E5280A"/>
    <w:rsid w:val="00E5286D"/>
    <w:rsid w:val="00E529E0"/>
    <w:rsid w:val="00E52A5B"/>
    <w:rsid w:val="00E52B39"/>
    <w:rsid w:val="00E52BFA"/>
    <w:rsid w:val="00E52CAA"/>
    <w:rsid w:val="00E52CF1"/>
    <w:rsid w:val="00E52D04"/>
    <w:rsid w:val="00E52F6D"/>
    <w:rsid w:val="00E53031"/>
    <w:rsid w:val="00E530CE"/>
    <w:rsid w:val="00E531BE"/>
    <w:rsid w:val="00E531EA"/>
    <w:rsid w:val="00E533BC"/>
    <w:rsid w:val="00E53A7A"/>
    <w:rsid w:val="00E53B7B"/>
    <w:rsid w:val="00E53BF2"/>
    <w:rsid w:val="00E53C87"/>
    <w:rsid w:val="00E53D38"/>
    <w:rsid w:val="00E53D6E"/>
    <w:rsid w:val="00E53D7C"/>
    <w:rsid w:val="00E53D85"/>
    <w:rsid w:val="00E53DB0"/>
    <w:rsid w:val="00E54126"/>
    <w:rsid w:val="00E54153"/>
    <w:rsid w:val="00E542A3"/>
    <w:rsid w:val="00E5431D"/>
    <w:rsid w:val="00E54369"/>
    <w:rsid w:val="00E543DA"/>
    <w:rsid w:val="00E544CD"/>
    <w:rsid w:val="00E5456E"/>
    <w:rsid w:val="00E5456F"/>
    <w:rsid w:val="00E545FE"/>
    <w:rsid w:val="00E54713"/>
    <w:rsid w:val="00E54715"/>
    <w:rsid w:val="00E54727"/>
    <w:rsid w:val="00E54735"/>
    <w:rsid w:val="00E5486E"/>
    <w:rsid w:val="00E54986"/>
    <w:rsid w:val="00E54A58"/>
    <w:rsid w:val="00E54B4F"/>
    <w:rsid w:val="00E54BEF"/>
    <w:rsid w:val="00E54C71"/>
    <w:rsid w:val="00E54D1F"/>
    <w:rsid w:val="00E54DA6"/>
    <w:rsid w:val="00E54F3C"/>
    <w:rsid w:val="00E54F7B"/>
    <w:rsid w:val="00E55091"/>
    <w:rsid w:val="00E55171"/>
    <w:rsid w:val="00E55182"/>
    <w:rsid w:val="00E55201"/>
    <w:rsid w:val="00E552F2"/>
    <w:rsid w:val="00E55438"/>
    <w:rsid w:val="00E55474"/>
    <w:rsid w:val="00E554EF"/>
    <w:rsid w:val="00E5576B"/>
    <w:rsid w:val="00E5581E"/>
    <w:rsid w:val="00E55989"/>
    <w:rsid w:val="00E559C2"/>
    <w:rsid w:val="00E55A14"/>
    <w:rsid w:val="00E55AEA"/>
    <w:rsid w:val="00E55B8C"/>
    <w:rsid w:val="00E55BD0"/>
    <w:rsid w:val="00E55CC6"/>
    <w:rsid w:val="00E55D8B"/>
    <w:rsid w:val="00E55DB9"/>
    <w:rsid w:val="00E55DD0"/>
    <w:rsid w:val="00E55E68"/>
    <w:rsid w:val="00E55F69"/>
    <w:rsid w:val="00E55FB9"/>
    <w:rsid w:val="00E560C2"/>
    <w:rsid w:val="00E560C9"/>
    <w:rsid w:val="00E5613D"/>
    <w:rsid w:val="00E5616A"/>
    <w:rsid w:val="00E56224"/>
    <w:rsid w:val="00E5626A"/>
    <w:rsid w:val="00E562EE"/>
    <w:rsid w:val="00E56405"/>
    <w:rsid w:val="00E5643E"/>
    <w:rsid w:val="00E564C1"/>
    <w:rsid w:val="00E564F7"/>
    <w:rsid w:val="00E56622"/>
    <w:rsid w:val="00E567DC"/>
    <w:rsid w:val="00E56810"/>
    <w:rsid w:val="00E56868"/>
    <w:rsid w:val="00E56993"/>
    <w:rsid w:val="00E569C2"/>
    <w:rsid w:val="00E56A24"/>
    <w:rsid w:val="00E56AA2"/>
    <w:rsid w:val="00E56BB9"/>
    <w:rsid w:val="00E56BD7"/>
    <w:rsid w:val="00E56C28"/>
    <w:rsid w:val="00E56E0B"/>
    <w:rsid w:val="00E56E39"/>
    <w:rsid w:val="00E56EA1"/>
    <w:rsid w:val="00E56F4A"/>
    <w:rsid w:val="00E56F97"/>
    <w:rsid w:val="00E56FD2"/>
    <w:rsid w:val="00E571AD"/>
    <w:rsid w:val="00E571F4"/>
    <w:rsid w:val="00E57208"/>
    <w:rsid w:val="00E5727B"/>
    <w:rsid w:val="00E574F9"/>
    <w:rsid w:val="00E5761D"/>
    <w:rsid w:val="00E5763E"/>
    <w:rsid w:val="00E57801"/>
    <w:rsid w:val="00E57878"/>
    <w:rsid w:val="00E5798D"/>
    <w:rsid w:val="00E57A1F"/>
    <w:rsid w:val="00E57A66"/>
    <w:rsid w:val="00E57B9A"/>
    <w:rsid w:val="00E57BD4"/>
    <w:rsid w:val="00E57C0F"/>
    <w:rsid w:val="00E57C3B"/>
    <w:rsid w:val="00E57D18"/>
    <w:rsid w:val="00E600E5"/>
    <w:rsid w:val="00E60103"/>
    <w:rsid w:val="00E60109"/>
    <w:rsid w:val="00E60313"/>
    <w:rsid w:val="00E603F7"/>
    <w:rsid w:val="00E604EA"/>
    <w:rsid w:val="00E60655"/>
    <w:rsid w:val="00E606A7"/>
    <w:rsid w:val="00E606E6"/>
    <w:rsid w:val="00E607CD"/>
    <w:rsid w:val="00E60867"/>
    <w:rsid w:val="00E60AD1"/>
    <w:rsid w:val="00E60B5C"/>
    <w:rsid w:val="00E60CF7"/>
    <w:rsid w:val="00E60D86"/>
    <w:rsid w:val="00E60DC3"/>
    <w:rsid w:val="00E60EEE"/>
    <w:rsid w:val="00E61055"/>
    <w:rsid w:val="00E6123B"/>
    <w:rsid w:val="00E612B1"/>
    <w:rsid w:val="00E614F3"/>
    <w:rsid w:val="00E615B3"/>
    <w:rsid w:val="00E616AD"/>
    <w:rsid w:val="00E616E5"/>
    <w:rsid w:val="00E61A28"/>
    <w:rsid w:val="00E61A63"/>
    <w:rsid w:val="00E61AE5"/>
    <w:rsid w:val="00E61C8C"/>
    <w:rsid w:val="00E61CF4"/>
    <w:rsid w:val="00E61F0C"/>
    <w:rsid w:val="00E61F25"/>
    <w:rsid w:val="00E6210E"/>
    <w:rsid w:val="00E622E3"/>
    <w:rsid w:val="00E62440"/>
    <w:rsid w:val="00E6249C"/>
    <w:rsid w:val="00E624E8"/>
    <w:rsid w:val="00E62505"/>
    <w:rsid w:val="00E62538"/>
    <w:rsid w:val="00E62625"/>
    <w:rsid w:val="00E62B80"/>
    <w:rsid w:val="00E62C67"/>
    <w:rsid w:val="00E630F7"/>
    <w:rsid w:val="00E63188"/>
    <w:rsid w:val="00E632B4"/>
    <w:rsid w:val="00E633C1"/>
    <w:rsid w:val="00E6343A"/>
    <w:rsid w:val="00E63462"/>
    <w:rsid w:val="00E63685"/>
    <w:rsid w:val="00E6375E"/>
    <w:rsid w:val="00E6383C"/>
    <w:rsid w:val="00E63872"/>
    <w:rsid w:val="00E63A0B"/>
    <w:rsid w:val="00E63A0E"/>
    <w:rsid w:val="00E63A13"/>
    <w:rsid w:val="00E63A4C"/>
    <w:rsid w:val="00E63AC3"/>
    <w:rsid w:val="00E63B2C"/>
    <w:rsid w:val="00E63BA2"/>
    <w:rsid w:val="00E63C4E"/>
    <w:rsid w:val="00E63CB4"/>
    <w:rsid w:val="00E63CC8"/>
    <w:rsid w:val="00E63D45"/>
    <w:rsid w:val="00E63D90"/>
    <w:rsid w:val="00E63F3F"/>
    <w:rsid w:val="00E64050"/>
    <w:rsid w:val="00E640A5"/>
    <w:rsid w:val="00E640CC"/>
    <w:rsid w:val="00E641A8"/>
    <w:rsid w:val="00E641DD"/>
    <w:rsid w:val="00E643A3"/>
    <w:rsid w:val="00E644BE"/>
    <w:rsid w:val="00E645E5"/>
    <w:rsid w:val="00E64641"/>
    <w:rsid w:val="00E6468D"/>
    <w:rsid w:val="00E646FA"/>
    <w:rsid w:val="00E64860"/>
    <w:rsid w:val="00E648FD"/>
    <w:rsid w:val="00E649AB"/>
    <w:rsid w:val="00E64AB2"/>
    <w:rsid w:val="00E64AE1"/>
    <w:rsid w:val="00E64BCF"/>
    <w:rsid w:val="00E64D85"/>
    <w:rsid w:val="00E64ECA"/>
    <w:rsid w:val="00E64F63"/>
    <w:rsid w:val="00E6504F"/>
    <w:rsid w:val="00E650AC"/>
    <w:rsid w:val="00E650B3"/>
    <w:rsid w:val="00E65111"/>
    <w:rsid w:val="00E65173"/>
    <w:rsid w:val="00E65228"/>
    <w:rsid w:val="00E65291"/>
    <w:rsid w:val="00E652C1"/>
    <w:rsid w:val="00E652CF"/>
    <w:rsid w:val="00E6539C"/>
    <w:rsid w:val="00E65812"/>
    <w:rsid w:val="00E6583C"/>
    <w:rsid w:val="00E65913"/>
    <w:rsid w:val="00E65917"/>
    <w:rsid w:val="00E6593C"/>
    <w:rsid w:val="00E65AE2"/>
    <w:rsid w:val="00E65C94"/>
    <w:rsid w:val="00E65DF9"/>
    <w:rsid w:val="00E65F0E"/>
    <w:rsid w:val="00E65F54"/>
    <w:rsid w:val="00E6603F"/>
    <w:rsid w:val="00E660DA"/>
    <w:rsid w:val="00E663CC"/>
    <w:rsid w:val="00E665FC"/>
    <w:rsid w:val="00E66630"/>
    <w:rsid w:val="00E666BA"/>
    <w:rsid w:val="00E66713"/>
    <w:rsid w:val="00E6689D"/>
    <w:rsid w:val="00E6696F"/>
    <w:rsid w:val="00E66BB1"/>
    <w:rsid w:val="00E66CBD"/>
    <w:rsid w:val="00E66D02"/>
    <w:rsid w:val="00E66DFA"/>
    <w:rsid w:val="00E66F98"/>
    <w:rsid w:val="00E66FD8"/>
    <w:rsid w:val="00E67082"/>
    <w:rsid w:val="00E67089"/>
    <w:rsid w:val="00E670B5"/>
    <w:rsid w:val="00E67343"/>
    <w:rsid w:val="00E6740A"/>
    <w:rsid w:val="00E67473"/>
    <w:rsid w:val="00E675ED"/>
    <w:rsid w:val="00E67605"/>
    <w:rsid w:val="00E6760B"/>
    <w:rsid w:val="00E6762A"/>
    <w:rsid w:val="00E6763E"/>
    <w:rsid w:val="00E67776"/>
    <w:rsid w:val="00E6797E"/>
    <w:rsid w:val="00E679C8"/>
    <w:rsid w:val="00E679DF"/>
    <w:rsid w:val="00E67A0A"/>
    <w:rsid w:val="00E67AAE"/>
    <w:rsid w:val="00E67AD1"/>
    <w:rsid w:val="00E67BE3"/>
    <w:rsid w:val="00E67D03"/>
    <w:rsid w:val="00E67D27"/>
    <w:rsid w:val="00E67EBC"/>
    <w:rsid w:val="00E67EDA"/>
    <w:rsid w:val="00E67F65"/>
    <w:rsid w:val="00E67FC9"/>
    <w:rsid w:val="00E700F7"/>
    <w:rsid w:val="00E703DB"/>
    <w:rsid w:val="00E7043C"/>
    <w:rsid w:val="00E7051C"/>
    <w:rsid w:val="00E70676"/>
    <w:rsid w:val="00E70788"/>
    <w:rsid w:val="00E7085F"/>
    <w:rsid w:val="00E70998"/>
    <w:rsid w:val="00E70A18"/>
    <w:rsid w:val="00E70C79"/>
    <w:rsid w:val="00E70CFD"/>
    <w:rsid w:val="00E70D6A"/>
    <w:rsid w:val="00E70DCA"/>
    <w:rsid w:val="00E70E20"/>
    <w:rsid w:val="00E70EE7"/>
    <w:rsid w:val="00E70F93"/>
    <w:rsid w:val="00E7109C"/>
    <w:rsid w:val="00E7127F"/>
    <w:rsid w:val="00E712B1"/>
    <w:rsid w:val="00E71496"/>
    <w:rsid w:val="00E71501"/>
    <w:rsid w:val="00E71506"/>
    <w:rsid w:val="00E71552"/>
    <w:rsid w:val="00E71770"/>
    <w:rsid w:val="00E717D0"/>
    <w:rsid w:val="00E718B5"/>
    <w:rsid w:val="00E718E1"/>
    <w:rsid w:val="00E71A30"/>
    <w:rsid w:val="00E71A5C"/>
    <w:rsid w:val="00E71B23"/>
    <w:rsid w:val="00E71C0D"/>
    <w:rsid w:val="00E71E0C"/>
    <w:rsid w:val="00E71E95"/>
    <w:rsid w:val="00E721DA"/>
    <w:rsid w:val="00E7224E"/>
    <w:rsid w:val="00E72446"/>
    <w:rsid w:val="00E72545"/>
    <w:rsid w:val="00E72546"/>
    <w:rsid w:val="00E726C5"/>
    <w:rsid w:val="00E726DD"/>
    <w:rsid w:val="00E7293C"/>
    <w:rsid w:val="00E72C4D"/>
    <w:rsid w:val="00E72E66"/>
    <w:rsid w:val="00E72F1F"/>
    <w:rsid w:val="00E732A3"/>
    <w:rsid w:val="00E73499"/>
    <w:rsid w:val="00E73593"/>
    <w:rsid w:val="00E7359D"/>
    <w:rsid w:val="00E73988"/>
    <w:rsid w:val="00E73CA6"/>
    <w:rsid w:val="00E73E2C"/>
    <w:rsid w:val="00E73E82"/>
    <w:rsid w:val="00E73EAC"/>
    <w:rsid w:val="00E73F57"/>
    <w:rsid w:val="00E73F94"/>
    <w:rsid w:val="00E74315"/>
    <w:rsid w:val="00E7431E"/>
    <w:rsid w:val="00E743A8"/>
    <w:rsid w:val="00E7459A"/>
    <w:rsid w:val="00E74608"/>
    <w:rsid w:val="00E7462A"/>
    <w:rsid w:val="00E7479C"/>
    <w:rsid w:val="00E747A7"/>
    <w:rsid w:val="00E747C0"/>
    <w:rsid w:val="00E74932"/>
    <w:rsid w:val="00E7498F"/>
    <w:rsid w:val="00E74A37"/>
    <w:rsid w:val="00E74B44"/>
    <w:rsid w:val="00E74D50"/>
    <w:rsid w:val="00E74DD5"/>
    <w:rsid w:val="00E74F6E"/>
    <w:rsid w:val="00E7502A"/>
    <w:rsid w:val="00E75066"/>
    <w:rsid w:val="00E75194"/>
    <w:rsid w:val="00E751B8"/>
    <w:rsid w:val="00E75216"/>
    <w:rsid w:val="00E75239"/>
    <w:rsid w:val="00E7526B"/>
    <w:rsid w:val="00E752E5"/>
    <w:rsid w:val="00E75366"/>
    <w:rsid w:val="00E754B5"/>
    <w:rsid w:val="00E754BF"/>
    <w:rsid w:val="00E75524"/>
    <w:rsid w:val="00E75536"/>
    <w:rsid w:val="00E756AF"/>
    <w:rsid w:val="00E75745"/>
    <w:rsid w:val="00E75A52"/>
    <w:rsid w:val="00E75AF7"/>
    <w:rsid w:val="00E75B81"/>
    <w:rsid w:val="00E75BC6"/>
    <w:rsid w:val="00E75D64"/>
    <w:rsid w:val="00E75DBB"/>
    <w:rsid w:val="00E75DE8"/>
    <w:rsid w:val="00E75E69"/>
    <w:rsid w:val="00E75F03"/>
    <w:rsid w:val="00E76068"/>
    <w:rsid w:val="00E760E3"/>
    <w:rsid w:val="00E761F7"/>
    <w:rsid w:val="00E76479"/>
    <w:rsid w:val="00E7649B"/>
    <w:rsid w:val="00E764BC"/>
    <w:rsid w:val="00E764C3"/>
    <w:rsid w:val="00E76551"/>
    <w:rsid w:val="00E7659E"/>
    <w:rsid w:val="00E766D1"/>
    <w:rsid w:val="00E76733"/>
    <w:rsid w:val="00E767B8"/>
    <w:rsid w:val="00E76813"/>
    <w:rsid w:val="00E76827"/>
    <w:rsid w:val="00E7686F"/>
    <w:rsid w:val="00E76895"/>
    <w:rsid w:val="00E768F2"/>
    <w:rsid w:val="00E768F3"/>
    <w:rsid w:val="00E7690E"/>
    <w:rsid w:val="00E7696A"/>
    <w:rsid w:val="00E76C53"/>
    <w:rsid w:val="00E76D09"/>
    <w:rsid w:val="00E76DE9"/>
    <w:rsid w:val="00E76E56"/>
    <w:rsid w:val="00E76E8E"/>
    <w:rsid w:val="00E76EAE"/>
    <w:rsid w:val="00E76F40"/>
    <w:rsid w:val="00E76FAB"/>
    <w:rsid w:val="00E76FC0"/>
    <w:rsid w:val="00E7703F"/>
    <w:rsid w:val="00E770EB"/>
    <w:rsid w:val="00E77210"/>
    <w:rsid w:val="00E7730B"/>
    <w:rsid w:val="00E774D4"/>
    <w:rsid w:val="00E77536"/>
    <w:rsid w:val="00E77553"/>
    <w:rsid w:val="00E776E2"/>
    <w:rsid w:val="00E777E7"/>
    <w:rsid w:val="00E7781A"/>
    <w:rsid w:val="00E778EB"/>
    <w:rsid w:val="00E77A5F"/>
    <w:rsid w:val="00E77ACB"/>
    <w:rsid w:val="00E77B71"/>
    <w:rsid w:val="00E77B9C"/>
    <w:rsid w:val="00E77D31"/>
    <w:rsid w:val="00E77DAB"/>
    <w:rsid w:val="00E77F76"/>
    <w:rsid w:val="00E8009B"/>
    <w:rsid w:val="00E800C0"/>
    <w:rsid w:val="00E80194"/>
    <w:rsid w:val="00E802C5"/>
    <w:rsid w:val="00E80303"/>
    <w:rsid w:val="00E8044B"/>
    <w:rsid w:val="00E80480"/>
    <w:rsid w:val="00E80498"/>
    <w:rsid w:val="00E806B1"/>
    <w:rsid w:val="00E8091E"/>
    <w:rsid w:val="00E8099F"/>
    <w:rsid w:val="00E80A27"/>
    <w:rsid w:val="00E80D2E"/>
    <w:rsid w:val="00E80D82"/>
    <w:rsid w:val="00E80DC1"/>
    <w:rsid w:val="00E80E6C"/>
    <w:rsid w:val="00E80ECD"/>
    <w:rsid w:val="00E80EF3"/>
    <w:rsid w:val="00E811E0"/>
    <w:rsid w:val="00E8129E"/>
    <w:rsid w:val="00E813C3"/>
    <w:rsid w:val="00E81447"/>
    <w:rsid w:val="00E81451"/>
    <w:rsid w:val="00E81594"/>
    <w:rsid w:val="00E81620"/>
    <w:rsid w:val="00E816D0"/>
    <w:rsid w:val="00E81716"/>
    <w:rsid w:val="00E8172D"/>
    <w:rsid w:val="00E81765"/>
    <w:rsid w:val="00E817FF"/>
    <w:rsid w:val="00E81844"/>
    <w:rsid w:val="00E818AA"/>
    <w:rsid w:val="00E818F8"/>
    <w:rsid w:val="00E8192D"/>
    <w:rsid w:val="00E81AAC"/>
    <w:rsid w:val="00E81B3C"/>
    <w:rsid w:val="00E81B95"/>
    <w:rsid w:val="00E81BDF"/>
    <w:rsid w:val="00E81CF1"/>
    <w:rsid w:val="00E81D08"/>
    <w:rsid w:val="00E81D11"/>
    <w:rsid w:val="00E81DD1"/>
    <w:rsid w:val="00E81E09"/>
    <w:rsid w:val="00E82042"/>
    <w:rsid w:val="00E821B3"/>
    <w:rsid w:val="00E822FE"/>
    <w:rsid w:val="00E8242F"/>
    <w:rsid w:val="00E824A9"/>
    <w:rsid w:val="00E8250C"/>
    <w:rsid w:val="00E825FB"/>
    <w:rsid w:val="00E826DD"/>
    <w:rsid w:val="00E82740"/>
    <w:rsid w:val="00E82755"/>
    <w:rsid w:val="00E8275F"/>
    <w:rsid w:val="00E82807"/>
    <w:rsid w:val="00E82968"/>
    <w:rsid w:val="00E829CC"/>
    <w:rsid w:val="00E82AF2"/>
    <w:rsid w:val="00E82B80"/>
    <w:rsid w:val="00E82BD9"/>
    <w:rsid w:val="00E82C1A"/>
    <w:rsid w:val="00E82C5C"/>
    <w:rsid w:val="00E82EE9"/>
    <w:rsid w:val="00E82FAF"/>
    <w:rsid w:val="00E830B1"/>
    <w:rsid w:val="00E8322E"/>
    <w:rsid w:val="00E8340F"/>
    <w:rsid w:val="00E83694"/>
    <w:rsid w:val="00E836FF"/>
    <w:rsid w:val="00E83731"/>
    <w:rsid w:val="00E837B0"/>
    <w:rsid w:val="00E837C6"/>
    <w:rsid w:val="00E837D2"/>
    <w:rsid w:val="00E837DC"/>
    <w:rsid w:val="00E83917"/>
    <w:rsid w:val="00E83AE6"/>
    <w:rsid w:val="00E83B1D"/>
    <w:rsid w:val="00E83BE4"/>
    <w:rsid w:val="00E83D22"/>
    <w:rsid w:val="00E83DF1"/>
    <w:rsid w:val="00E83E2F"/>
    <w:rsid w:val="00E83E55"/>
    <w:rsid w:val="00E83F6B"/>
    <w:rsid w:val="00E83FF1"/>
    <w:rsid w:val="00E84049"/>
    <w:rsid w:val="00E84131"/>
    <w:rsid w:val="00E84304"/>
    <w:rsid w:val="00E84310"/>
    <w:rsid w:val="00E8432A"/>
    <w:rsid w:val="00E8433C"/>
    <w:rsid w:val="00E8441D"/>
    <w:rsid w:val="00E84559"/>
    <w:rsid w:val="00E845E6"/>
    <w:rsid w:val="00E84657"/>
    <w:rsid w:val="00E84747"/>
    <w:rsid w:val="00E848EE"/>
    <w:rsid w:val="00E8499E"/>
    <w:rsid w:val="00E84E6F"/>
    <w:rsid w:val="00E84EC6"/>
    <w:rsid w:val="00E84F9A"/>
    <w:rsid w:val="00E84FEF"/>
    <w:rsid w:val="00E8523A"/>
    <w:rsid w:val="00E852FF"/>
    <w:rsid w:val="00E85309"/>
    <w:rsid w:val="00E85476"/>
    <w:rsid w:val="00E85499"/>
    <w:rsid w:val="00E8549B"/>
    <w:rsid w:val="00E856AE"/>
    <w:rsid w:val="00E857D1"/>
    <w:rsid w:val="00E85838"/>
    <w:rsid w:val="00E85908"/>
    <w:rsid w:val="00E85919"/>
    <w:rsid w:val="00E859A9"/>
    <w:rsid w:val="00E85A6E"/>
    <w:rsid w:val="00E85B9A"/>
    <w:rsid w:val="00E85BAD"/>
    <w:rsid w:val="00E85BBA"/>
    <w:rsid w:val="00E85CBF"/>
    <w:rsid w:val="00E85D11"/>
    <w:rsid w:val="00E85DC1"/>
    <w:rsid w:val="00E85F45"/>
    <w:rsid w:val="00E85F9B"/>
    <w:rsid w:val="00E861A0"/>
    <w:rsid w:val="00E862B4"/>
    <w:rsid w:val="00E8631F"/>
    <w:rsid w:val="00E8637E"/>
    <w:rsid w:val="00E8637F"/>
    <w:rsid w:val="00E86384"/>
    <w:rsid w:val="00E86391"/>
    <w:rsid w:val="00E8639A"/>
    <w:rsid w:val="00E8644A"/>
    <w:rsid w:val="00E864D8"/>
    <w:rsid w:val="00E865AA"/>
    <w:rsid w:val="00E867D7"/>
    <w:rsid w:val="00E867E7"/>
    <w:rsid w:val="00E8686D"/>
    <w:rsid w:val="00E868A3"/>
    <w:rsid w:val="00E86952"/>
    <w:rsid w:val="00E869C9"/>
    <w:rsid w:val="00E86AD2"/>
    <w:rsid w:val="00E86B9B"/>
    <w:rsid w:val="00E86BCA"/>
    <w:rsid w:val="00E86D31"/>
    <w:rsid w:val="00E86E15"/>
    <w:rsid w:val="00E86ED8"/>
    <w:rsid w:val="00E86FDA"/>
    <w:rsid w:val="00E87004"/>
    <w:rsid w:val="00E8702A"/>
    <w:rsid w:val="00E870FC"/>
    <w:rsid w:val="00E87108"/>
    <w:rsid w:val="00E87320"/>
    <w:rsid w:val="00E87368"/>
    <w:rsid w:val="00E873AA"/>
    <w:rsid w:val="00E873B8"/>
    <w:rsid w:val="00E87432"/>
    <w:rsid w:val="00E87551"/>
    <w:rsid w:val="00E878B0"/>
    <w:rsid w:val="00E87B3F"/>
    <w:rsid w:val="00E87C53"/>
    <w:rsid w:val="00E87D48"/>
    <w:rsid w:val="00E87DE1"/>
    <w:rsid w:val="00E87EBD"/>
    <w:rsid w:val="00E90035"/>
    <w:rsid w:val="00E9003E"/>
    <w:rsid w:val="00E90047"/>
    <w:rsid w:val="00E9004F"/>
    <w:rsid w:val="00E90207"/>
    <w:rsid w:val="00E902ED"/>
    <w:rsid w:val="00E90370"/>
    <w:rsid w:val="00E90564"/>
    <w:rsid w:val="00E90567"/>
    <w:rsid w:val="00E905DC"/>
    <w:rsid w:val="00E9062D"/>
    <w:rsid w:val="00E907C5"/>
    <w:rsid w:val="00E90913"/>
    <w:rsid w:val="00E90925"/>
    <w:rsid w:val="00E90935"/>
    <w:rsid w:val="00E909A5"/>
    <w:rsid w:val="00E909C8"/>
    <w:rsid w:val="00E909D0"/>
    <w:rsid w:val="00E90CFD"/>
    <w:rsid w:val="00E910DE"/>
    <w:rsid w:val="00E91107"/>
    <w:rsid w:val="00E9124C"/>
    <w:rsid w:val="00E91329"/>
    <w:rsid w:val="00E91365"/>
    <w:rsid w:val="00E9147F"/>
    <w:rsid w:val="00E914CF"/>
    <w:rsid w:val="00E915FC"/>
    <w:rsid w:val="00E91690"/>
    <w:rsid w:val="00E916DE"/>
    <w:rsid w:val="00E91720"/>
    <w:rsid w:val="00E917C7"/>
    <w:rsid w:val="00E91A8C"/>
    <w:rsid w:val="00E91DEB"/>
    <w:rsid w:val="00E92063"/>
    <w:rsid w:val="00E9211A"/>
    <w:rsid w:val="00E92149"/>
    <w:rsid w:val="00E921BF"/>
    <w:rsid w:val="00E92378"/>
    <w:rsid w:val="00E923C1"/>
    <w:rsid w:val="00E923EA"/>
    <w:rsid w:val="00E9242A"/>
    <w:rsid w:val="00E9244A"/>
    <w:rsid w:val="00E92496"/>
    <w:rsid w:val="00E924A6"/>
    <w:rsid w:val="00E9273F"/>
    <w:rsid w:val="00E9274F"/>
    <w:rsid w:val="00E92763"/>
    <w:rsid w:val="00E92870"/>
    <w:rsid w:val="00E928AC"/>
    <w:rsid w:val="00E92992"/>
    <w:rsid w:val="00E92997"/>
    <w:rsid w:val="00E92ABE"/>
    <w:rsid w:val="00E92AF5"/>
    <w:rsid w:val="00E92B66"/>
    <w:rsid w:val="00E92D9D"/>
    <w:rsid w:val="00E92DDA"/>
    <w:rsid w:val="00E92E9D"/>
    <w:rsid w:val="00E92F12"/>
    <w:rsid w:val="00E92F9F"/>
    <w:rsid w:val="00E93039"/>
    <w:rsid w:val="00E93176"/>
    <w:rsid w:val="00E93240"/>
    <w:rsid w:val="00E933E8"/>
    <w:rsid w:val="00E933F3"/>
    <w:rsid w:val="00E936A0"/>
    <w:rsid w:val="00E93713"/>
    <w:rsid w:val="00E93735"/>
    <w:rsid w:val="00E93774"/>
    <w:rsid w:val="00E937C4"/>
    <w:rsid w:val="00E9389B"/>
    <w:rsid w:val="00E93938"/>
    <w:rsid w:val="00E93ABB"/>
    <w:rsid w:val="00E93B0A"/>
    <w:rsid w:val="00E93B7D"/>
    <w:rsid w:val="00E94029"/>
    <w:rsid w:val="00E9411D"/>
    <w:rsid w:val="00E9430F"/>
    <w:rsid w:val="00E943B8"/>
    <w:rsid w:val="00E94462"/>
    <w:rsid w:val="00E94477"/>
    <w:rsid w:val="00E946A2"/>
    <w:rsid w:val="00E946F2"/>
    <w:rsid w:val="00E94811"/>
    <w:rsid w:val="00E94A15"/>
    <w:rsid w:val="00E94AF6"/>
    <w:rsid w:val="00E94C20"/>
    <w:rsid w:val="00E94C83"/>
    <w:rsid w:val="00E94E12"/>
    <w:rsid w:val="00E94FC1"/>
    <w:rsid w:val="00E95065"/>
    <w:rsid w:val="00E951A5"/>
    <w:rsid w:val="00E9532E"/>
    <w:rsid w:val="00E95383"/>
    <w:rsid w:val="00E9538C"/>
    <w:rsid w:val="00E95436"/>
    <w:rsid w:val="00E95494"/>
    <w:rsid w:val="00E95800"/>
    <w:rsid w:val="00E95840"/>
    <w:rsid w:val="00E95876"/>
    <w:rsid w:val="00E95A1A"/>
    <w:rsid w:val="00E95A6E"/>
    <w:rsid w:val="00E95B90"/>
    <w:rsid w:val="00E95CE1"/>
    <w:rsid w:val="00E95D48"/>
    <w:rsid w:val="00E95E4A"/>
    <w:rsid w:val="00E96065"/>
    <w:rsid w:val="00E96154"/>
    <w:rsid w:val="00E961B9"/>
    <w:rsid w:val="00E961C1"/>
    <w:rsid w:val="00E9621D"/>
    <w:rsid w:val="00E964E8"/>
    <w:rsid w:val="00E9688F"/>
    <w:rsid w:val="00E968B2"/>
    <w:rsid w:val="00E9692E"/>
    <w:rsid w:val="00E9692F"/>
    <w:rsid w:val="00E9696F"/>
    <w:rsid w:val="00E96A51"/>
    <w:rsid w:val="00E96B19"/>
    <w:rsid w:val="00E96BBE"/>
    <w:rsid w:val="00E96BED"/>
    <w:rsid w:val="00E96C73"/>
    <w:rsid w:val="00E96C8E"/>
    <w:rsid w:val="00E96F7D"/>
    <w:rsid w:val="00E97203"/>
    <w:rsid w:val="00E97210"/>
    <w:rsid w:val="00E9736D"/>
    <w:rsid w:val="00E97380"/>
    <w:rsid w:val="00E9739B"/>
    <w:rsid w:val="00E973EB"/>
    <w:rsid w:val="00E97474"/>
    <w:rsid w:val="00E97513"/>
    <w:rsid w:val="00E9752D"/>
    <w:rsid w:val="00E97A16"/>
    <w:rsid w:val="00E97A5A"/>
    <w:rsid w:val="00E97B26"/>
    <w:rsid w:val="00E97B39"/>
    <w:rsid w:val="00E97C13"/>
    <w:rsid w:val="00E97C6F"/>
    <w:rsid w:val="00E97CF8"/>
    <w:rsid w:val="00E97D3A"/>
    <w:rsid w:val="00E97E87"/>
    <w:rsid w:val="00E97E9B"/>
    <w:rsid w:val="00E97F34"/>
    <w:rsid w:val="00E97FF6"/>
    <w:rsid w:val="00EA002E"/>
    <w:rsid w:val="00EA006D"/>
    <w:rsid w:val="00EA0098"/>
    <w:rsid w:val="00EA009C"/>
    <w:rsid w:val="00EA00BF"/>
    <w:rsid w:val="00EA00D6"/>
    <w:rsid w:val="00EA0114"/>
    <w:rsid w:val="00EA01F4"/>
    <w:rsid w:val="00EA0285"/>
    <w:rsid w:val="00EA0347"/>
    <w:rsid w:val="00EA03C8"/>
    <w:rsid w:val="00EA0470"/>
    <w:rsid w:val="00EA050B"/>
    <w:rsid w:val="00EA067F"/>
    <w:rsid w:val="00EA068C"/>
    <w:rsid w:val="00EA0734"/>
    <w:rsid w:val="00EA084D"/>
    <w:rsid w:val="00EA086B"/>
    <w:rsid w:val="00EA08B5"/>
    <w:rsid w:val="00EA090A"/>
    <w:rsid w:val="00EA0918"/>
    <w:rsid w:val="00EA0945"/>
    <w:rsid w:val="00EA099A"/>
    <w:rsid w:val="00EA0B21"/>
    <w:rsid w:val="00EA0DA6"/>
    <w:rsid w:val="00EA114C"/>
    <w:rsid w:val="00EA1166"/>
    <w:rsid w:val="00EA1196"/>
    <w:rsid w:val="00EA11A8"/>
    <w:rsid w:val="00EA12D5"/>
    <w:rsid w:val="00EA134C"/>
    <w:rsid w:val="00EA13C1"/>
    <w:rsid w:val="00EA15BB"/>
    <w:rsid w:val="00EA1635"/>
    <w:rsid w:val="00EA163A"/>
    <w:rsid w:val="00EA189C"/>
    <w:rsid w:val="00EA195A"/>
    <w:rsid w:val="00EA19BD"/>
    <w:rsid w:val="00EA19F8"/>
    <w:rsid w:val="00EA1A4E"/>
    <w:rsid w:val="00EA1B36"/>
    <w:rsid w:val="00EA1BFD"/>
    <w:rsid w:val="00EA1C5F"/>
    <w:rsid w:val="00EA1D6B"/>
    <w:rsid w:val="00EA1EC6"/>
    <w:rsid w:val="00EA1F09"/>
    <w:rsid w:val="00EA1F4A"/>
    <w:rsid w:val="00EA2268"/>
    <w:rsid w:val="00EA22BE"/>
    <w:rsid w:val="00EA2344"/>
    <w:rsid w:val="00EA2360"/>
    <w:rsid w:val="00EA2364"/>
    <w:rsid w:val="00EA241E"/>
    <w:rsid w:val="00EA249A"/>
    <w:rsid w:val="00EA285A"/>
    <w:rsid w:val="00EA2874"/>
    <w:rsid w:val="00EA295A"/>
    <w:rsid w:val="00EA29A6"/>
    <w:rsid w:val="00EA2A66"/>
    <w:rsid w:val="00EA2A70"/>
    <w:rsid w:val="00EA2B1B"/>
    <w:rsid w:val="00EA2C67"/>
    <w:rsid w:val="00EA2D14"/>
    <w:rsid w:val="00EA2E89"/>
    <w:rsid w:val="00EA2E91"/>
    <w:rsid w:val="00EA2F04"/>
    <w:rsid w:val="00EA30AD"/>
    <w:rsid w:val="00EA328D"/>
    <w:rsid w:val="00EA3380"/>
    <w:rsid w:val="00EA33DD"/>
    <w:rsid w:val="00EA34DE"/>
    <w:rsid w:val="00EA351B"/>
    <w:rsid w:val="00EA3565"/>
    <w:rsid w:val="00EA3586"/>
    <w:rsid w:val="00EA3591"/>
    <w:rsid w:val="00EA35E5"/>
    <w:rsid w:val="00EA36D6"/>
    <w:rsid w:val="00EA3706"/>
    <w:rsid w:val="00EA3764"/>
    <w:rsid w:val="00EA39BB"/>
    <w:rsid w:val="00EA3A3D"/>
    <w:rsid w:val="00EA3A7E"/>
    <w:rsid w:val="00EA3B54"/>
    <w:rsid w:val="00EA3BA5"/>
    <w:rsid w:val="00EA3CA3"/>
    <w:rsid w:val="00EA3D30"/>
    <w:rsid w:val="00EA3DD5"/>
    <w:rsid w:val="00EA3E62"/>
    <w:rsid w:val="00EA4108"/>
    <w:rsid w:val="00EA41D8"/>
    <w:rsid w:val="00EA430D"/>
    <w:rsid w:val="00EA43AC"/>
    <w:rsid w:val="00EA4746"/>
    <w:rsid w:val="00EA4770"/>
    <w:rsid w:val="00EA47B3"/>
    <w:rsid w:val="00EA4928"/>
    <w:rsid w:val="00EA498A"/>
    <w:rsid w:val="00EA4A5D"/>
    <w:rsid w:val="00EA4ACE"/>
    <w:rsid w:val="00EA4AF8"/>
    <w:rsid w:val="00EA4B08"/>
    <w:rsid w:val="00EA4B2D"/>
    <w:rsid w:val="00EA4B90"/>
    <w:rsid w:val="00EA4CA1"/>
    <w:rsid w:val="00EA4E6E"/>
    <w:rsid w:val="00EA4E7C"/>
    <w:rsid w:val="00EA4FE9"/>
    <w:rsid w:val="00EA5018"/>
    <w:rsid w:val="00EA5042"/>
    <w:rsid w:val="00EA50D4"/>
    <w:rsid w:val="00EA513F"/>
    <w:rsid w:val="00EA5173"/>
    <w:rsid w:val="00EA5192"/>
    <w:rsid w:val="00EA546B"/>
    <w:rsid w:val="00EA54A9"/>
    <w:rsid w:val="00EA5596"/>
    <w:rsid w:val="00EA55DB"/>
    <w:rsid w:val="00EA55E6"/>
    <w:rsid w:val="00EA5669"/>
    <w:rsid w:val="00EA5747"/>
    <w:rsid w:val="00EA579C"/>
    <w:rsid w:val="00EA57A2"/>
    <w:rsid w:val="00EA57AE"/>
    <w:rsid w:val="00EA585A"/>
    <w:rsid w:val="00EA58B1"/>
    <w:rsid w:val="00EA5912"/>
    <w:rsid w:val="00EA5918"/>
    <w:rsid w:val="00EA5DCC"/>
    <w:rsid w:val="00EA5DE9"/>
    <w:rsid w:val="00EA60CE"/>
    <w:rsid w:val="00EA60DF"/>
    <w:rsid w:val="00EA60F3"/>
    <w:rsid w:val="00EA61C1"/>
    <w:rsid w:val="00EA621F"/>
    <w:rsid w:val="00EA6385"/>
    <w:rsid w:val="00EA63E0"/>
    <w:rsid w:val="00EA651B"/>
    <w:rsid w:val="00EA6522"/>
    <w:rsid w:val="00EA6561"/>
    <w:rsid w:val="00EA66B2"/>
    <w:rsid w:val="00EA6742"/>
    <w:rsid w:val="00EA67E1"/>
    <w:rsid w:val="00EA6970"/>
    <w:rsid w:val="00EA69E7"/>
    <w:rsid w:val="00EA6A07"/>
    <w:rsid w:val="00EA6AF7"/>
    <w:rsid w:val="00EA6B2A"/>
    <w:rsid w:val="00EA6B6C"/>
    <w:rsid w:val="00EA6C70"/>
    <w:rsid w:val="00EA6CE8"/>
    <w:rsid w:val="00EA6E2D"/>
    <w:rsid w:val="00EA6E62"/>
    <w:rsid w:val="00EA6ECC"/>
    <w:rsid w:val="00EA71FC"/>
    <w:rsid w:val="00EA7228"/>
    <w:rsid w:val="00EA7419"/>
    <w:rsid w:val="00EA7492"/>
    <w:rsid w:val="00EA7515"/>
    <w:rsid w:val="00EA75BC"/>
    <w:rsid w:val="00EA75C2"/>
    <w:rsid w:val="00EA75D1"/>
    <w:rsid w:val="00EA78BE"/>
    <w:rsid w:val="00EA78DD"/>
    <w:rsid w:val="00EA797A"/>
    <w:rsid w:val="00EA79F3"/>
    <w:rsid w:val="00EA7A39"/>
    <w:rsid w:val="00EA7AC5"/>
    <w:rsid w:val="00EA7B01"/>
    <w:rsid w:val="00EA7D28"/>
    <w:rsid w:val="00EA7D6F"/>
    <w:rsid w:val="00EA7D97"/>
    <w:rsid w:val="00EA7E87"/>
    <w:rsid w:val="00EA7F15"/>
    <w:rsid w:val="00EA7F2F"/>
    <w:rsid w:val="00EA7FA3"/>
    <w:rsid w:val="00EB0039"/>
    <w:rsid w:val="00EB00E3"/>
    <w:rsid w:val="00EB030B"/>
    <w:rsid w:val="00EB031F"/>
    <w:rsid w:val="00EB0329"/>
    <w:rsid w:val="00EB032E"/>
    <w:rsid w:val="00EB0481"/>
    <w:rsid w:val="00EB04FF"/>
    <w:rsid w:val="00EB05BF"/>
    <w:rsid w:val="00EB0759"/>
    <w:rsid w:val="00EB0846"/>
    <w:rsid w:val="00EB084A"/>
    <w:rsid w:val="00EB08A6"/>
    <w:rsid w:val="00EB0918"/>
    <w:rsid w:val="00EB09B2"/>
    <w:rsid w:val="00EB09C9"/>
    <w:rsid w:val="00EB09DC"/>
    <w:rsid w:val="00EB0A6B"/>
    <w:rsid w:val="00EB0AAA"/>
    <w:rsid w:val="00EB0C05"/>
    <w:rsid w:val="00EB0C44"/>
    <w:rsid w:val="00EB0C85"/>
    <w:rsid w:val="00EB0D06"/>
    <w:rsid w:val="00EB0D25"/>
    <w:rsid w:val="00EB0EAA"/>
    <w:rsid w:val="00EB0FC8"/>
    <w:rsid w:val="00EB128F"/>
    <w:rsid w:val="00EB12BE"/>
    <w:rsid w:val="00EB1340"/>
    <w:rsid w:val="00EB1423"/>
    <w:rsid w:val="00EB146E"/>
    <w:rsid w:val="00EB1500"/>
    <w:rsid w:val="00EB15F8"/>
    <w:rsid w:val="00EB178F"/>
    <w:rsid w:val="00EB17C4"/>
    <w:rsid w:val="00EB1957"/>
    <w:rsid w:val="00EB19B6"/>
    <w:rsid w:val="00EB1A8B"/>
    <w:rsid w:val="00EB1BA0"/>
    <w:rsid w:val="00EB1E92"/>
    <w:rsid w:val="00EB1FA9"/>
    <w:rsid w:val="00EB1FFB"/>
    <w:rsid w:val="00EB2043"/>
    <w:rsid w:val="00EB209E"/>
    <w:rsid w:val="00EB210F"/>
    <w:rsid w:val="00EB238D"/>
    <w:rsid w:val="00EB2432"/>
    <w:rsid w:val="00EB259B"/>
    <w:rsid w:val="00EB25C0"/>
    <w:rsid w:val="00EB261F"/>
    <w:rsid w:val="00EB2654"/>
    <w:rsid w:val="00EB2666"/>
    <w:rsid w:val="00EB2751"/>
    <w:rsid w:val="00EB281F"/>
    <w:rsid w:val="00EB2838"/>
    <w:rsid w:val="00EB28AA"/>
    <w:rsid w:val="00EB29A9"/>
    <w:rsid w:val="00EB2A3C"/>
    <w:rsid w:val="00EB2A6B"/>
    <w:rsid w:val="00EB2B15"/>
    <w:rsid w:val="00EB2D86"/>
    <w:rsid w:val="00EB2DAE"/>
    <w:rsid w:val="00EB2DE7"/>
    <w:rsid w:val="00EB3030"/>
    <w:rsid w:val="00EB30B9"/>
    <w:rsid w:val="00EB30D9"/>
    <w:rsid w:val="00EB30F5"/>
    <w:rsid w:val="00EB31DF"/>
    <w:rsid w:val="00EB33BB"/>
    <w:rsid w:val="00EB33D6"/>
    <w:rsid w:val="00EB3481"/>
    <w:rsid w:val="00EB3840"/>
    <w:rsid w:val="00EB39CF"/>
    <w:rsid w:val="00EB39D8"/>
    <w:rsid w:val="00EB3A5B"/>
    <w:rsid w:val="00EB3A7F"/>
    <w:rsid w:val="00EB3ADC"/>
    <w:rsid w:val="00EB3AF8"/>
    <w:rsid w:val="00EB3AFF"/>
    <w:rsid w:val="00EB3B30"/>
    <w:rsid w:val="00EB3B3D"/>
    <w:rsid w:val="00EB3C46"/>
    <w:rsid w:val="00EB3C64"/>
    <w:rsid w:val="00EB3CAC"/>
    <w:rsid w:val="00EB3D1A"/>
    <w:rsid w:val="00EB3D8A"/>
    <w:rsid w:val="00EB3E29"/>
    <w:rsid w:val="00EB3F45"/>
    <w:rsid w:val="00EB3F55"/>
    <w:rsid w:val="00EB4047"/>
    <w:rsid w:val="00EB40EA"/>
    <w:rsid w:val="00EB40F0"/>
    <w:rsid w:val="00EB4140"/>
    <w:rsid w:val="00EB41B2"/>
    <w:rsid w:val="00EB434A"/>
    <w:rsid w:val="00EB4551"/>
    <w:rsid w:val="00EB45A9"/>
    <w:rsid w:val="00EB45F2"/>
    <w:rsid w:val="00EB4784"/>
    <w:rsid w:val="00EB481F"/>
    <w:rsid w:val="00EB4865"/>
    <w:rsid w:val="00EB48D0"/>
    <w:rsid w:val="00EB4A29"/>
    <w:rsid w:val="00EB4B04"/>
    <w:rsid w:val="00EB4BC2"/>
    <w:rsid w:val="00EB4C50"/>
    <w:rsid w:val="00EB4CD1"/>
    <w:rsid w:val="00EB4E4B"/>
    <w:rsid w:val="00EB4E53"/>
    <w:rsid w:val="00EB4EB6"/>
    <w:rsid w:val="00EB4F2B"/>
    <w:rsid w:val="00EB50E1"/>
    <w:rsid w:val="00EB5104"/>
    <w:rsid w:val="00EB525E"/>
    <w:rsid w:val="00EB536C"/>
    <w:rsid w:val="00EB5373"/>
    <w:rsid w:val="00EB547B"/>
    <w:rsid w:val="00EB5494"/>
    <w:rsid w:val="00EB54C1"/>
    <w:rsid w:val="00EB552B"/>
    <w:rsid w:val="00EB55EF"/>
    <w:rsid w:val="00EB5718"/>
    <w:rsid w:val="00EB5883"/>
    <w:rsid w:val="00EB589B"/>
    <w:rsid w:val="00EB5AA1"/>
    <w:rsid w:val="00EB5AF8"/>
    <w:rsid w:val="00EB5B0D"/>
    <w:rsid w:val="00EB5B11"/>
    <w:rsid w:val="00EB5B22"/>
    <w:rsid w:val="00EB5B81"/>
    <w:rsid w:val="00EB5BF0"/>
    <w:rsid w:val="00EB5CA7"/>
    <w:rsid w:val="00EB5CD1"/>
    <w:rsid w:val="00EB5D05"/>
    <w:rsid w:val="00EB5DBF"/>
    <w:rsid w:val="00EB5E4D"/>
    <w:rsid w:val="00EB5F36"/>
    <w:rsid w:val="00EB5FBF"/>
    <w:rsid w:val="00EB6005"/>
    <w:rsid w:val="00EB6049"/>
    <w:rsid w:val="00EB60CD"/>
    <w:rsid w:val="00EB6457"/>
    <w:rsid w:val="00EB6466"/>
    <w:rsid w:val="00EB64F9"/>
    <w:rsid w:val="00EB6541"/>
    <w:rsid w:val="00EB6557"/>
    <w:rsid w:val="00EB65AD"/>
    <w:rsid w:val="00EB673A"/>
    <w:rsid w:val="00EB6825"/>
    <w:rsid w:val="00EB6866"/>
    <w:rsid w:val="00EB68F1"/>
    <w:rsid w:val="00EB6A68"/>
    <w:rsid w:val="00EB6AC2"/>
    <w:rsid w:val="00EB6B1C"/>
    <w:rsid w:val="00EB6B6F"/>
    <w:rsid w:val="00EB6BE4"/>
    <w:rsid w:val="00EB6C99"/>
    <w:rsid w:val="00EB7292"/>
    <w:rsid w:val="00EB7345"/>
    <w:rsid w:val="00EB73A1"/>
    <w:rsid w:val="00EB751F"/>
    <w:rsid w:val="00EB7566"/>
    <w:rsid w:val="00EB75F5"/>
    <w:rsid w:val="00EB7624"/>
    <w:rsid w:val="00EB7658"/>
    <w:rsid w:val="00EB76B8"/>
    <w:rsid w:val="00EB76EB"/>
    <w:rsid w:val="00EB771B"/>
    <w:rsid w:val="00EB7720"/>
    <w:rsid w:val="00EB7741"/>
    <w:rsid w:val="00EB78CC"/>
    <w:rsid w:val="00EB7949"/>
    <w:rsid w:val="00EB7A1A"/>
    <w:rsid w:val="00EB7AA7"/>
    <w:rsid w:val="00EB7B0F"/>
    <w:rsid w:val="00EB7BC7"/>
    <w:rsid w:val="00EB7C1C"/>
    <w:rsid w:val="00EB7F39"/>
    <w:rsid w:val="00EC0119"/>
    <w:rsid w:val="00EC0121"/>
    <w:rsid w:val="00EC012B"/>
    <w:rsid w:val="00EC0143"/>
    <w:rsid w:val="00EC0227"/>
    <w:rsid w:val="00EC0358"/>
    <w:rsid w:val="00EC03DD"/>
    <w:rsid w:val="00EC0476"/>
    <w:rsid w:val="00EC0566"/>
    <w:rsid w:val="00EC06D1"/>
    <w:rsid w:val="00EC0751"/>
    <w:rsid w:val="00EC0AC9"/>
    <w:rsid w:val="00EC0BF8"/>
    <w:rsid w:val="00EC0C48"/>
    <w:rsid w:val="00EC0E5F"/>
    <w:rsid w:val="00EC0FD8"/>
    <w:rsid w:val="00EC10CA"/>
    <w:rsid w:val="00EC10E2"/>
    <w:rsid w:val="00EC1241"/>
    <w:rsid w:val="00EC12B7"/>
    <w:rsid w:val="00EC13CE"/>
    <w:rsid w:val="00EC1483"/>
    <w:rsid w:val="00EC1504"/>
    <w:rsid w:val="00EC1562"/>
    <w:rsid w:val="00EC164E"/>
    <w:rsid w:val="00EC17A9"/>
    <w:rsid w:val="00EC17BD"/>
    <w:rsid w:val="00EC180A"/>
    <w:rsid w:val="00EC1865"/>
    <w:rsid w:val="00EC18AD"/>
    <w:rsid w:val="00EC194E"/>
    <w:rsid w:val="00EC197C"/>
    <w:rsid w:val="00EC1A8B"/>
    <w:rsid w:val="00EC1AC4"/>
    <w:rsid w:val="00EC1B33"/>
    <w:rsid w:val="00EC1BFA"/>
    <w:rsid w:val="00EC1D10"/>
    <w:rsid w:val="00EC1D4B"/>
    <w:rsid w:val="00EC1D59"/>
    <w:rsid w:val="00EC1E67"/>
    <w:rsid w:val="00EC1FBB"/>
    <w:rsid w:val="00EC21E8"/>
    <w:rsid w:val="00EC21E9"/>
    <w:rsid w:val="00EC2229"/>
    <w:rsid w:val="00EC22F4"/>
    <w:rsid w:val="00EC2410"/>
    <w:rsid w:val="00EC247F"/>
    <w:rsid w:val="00EC25B4"/>
    <w:rsid w:val="00EC25F0"/>
    <w:rsid w:val="00EC2635"/>
    <w:rsid w:val="00EC265F"/>
    <w:rsid w:val="00EC26D7"/>
    <w:rsid w:val="00EC27AD"/>
    <w:rsid w:val="00EC2934"/>
    <w:rsid w:val="00EC29DA"/>
    <w:rsid w:val="00EC29EA"/>
    <w:rsid w:val="00EC2A8F"/>
    <w:rsid w:val="00EC2BB9"/>
    <w:rsid w:val="00EC2CBA"/>
    <w:rsid w:val="00EC2D1B"/>
    <w:rsid w:val="00EC2E3F"/>
    <w:rsid w:val="00EC307D"/>
    <w:rsid w:val="00EC30BE"/>
    <w:rsid w:val="00EC3103"/>
    <w:rsid w:val="00EC3301"/>
    <w:rsid w:val="00EC33DF"/>
    <w:rsid w:val="00EC34F4"/>
    <w:rsid w:val="00EC3683"/>
    <w:rsid w:val="00EC36A2"/>
    <w:rsid w:val="00EC3776"/>
    <w:rsid w:val="00EC37B4"/>
    <w:rsid w:val="00EC384E"/>
    <w:rsid w:val="00EC392E"/>
    <w:rsid w:val="00EC39D7"/>
    <w:rsid w:val="00EC3A02"/>
    <w:rsid w:val="00EC3AC9"/>
    <w:rsid w:val="00EC3B41"/>
    <w:rsid w:val="00EC3C64"/>
    <w:rsid w:val="00EC3D07"/>
    <w:rsid w:val="00EC3E11"/>
    <w:rsid w:val="00EC3F29"/>
    <w:rsid w:val="00EC3FFE"/>
    <w:rsid w:val="00EC4029"/>
    <w:rsid w:val="00EC40BD"/>
    <w:rsid w:val="00EC418E"/>
    <w:rsid w:val="00EC428C"/>
    <w:rsid w:val="00EC43D4"/>
    <w:rsid w:val="00EC43EE"/>
    <w:rsid w:val="00EC4504"/>
    <w:rsid w:val="00EC46A0"/>
    <w:rsid w:val="00EC4705"/>
    <w:rsid w:val="00EC47CC"/>
    <w:rsid w:val="00EC47E6"/>
    <w:rsid w:val="00EC498A"/>
    <w:rsid w:val="00EC4A48"/>
    <w:rsid w:val="00EC4AAE"/>
    <w:rsid w:val="00EC4B46"/>
    <w:rsid w:val="00EC4C41"/>
    <w:rsid w:val="00EC4D43"/>
    <w:rsid w:val="00EC4E22"/>
    <w:rsid w:val="00EC4EC5"/>
    <w:rsid w:val="00EC4F1E"/>
    <w:rsid w:val="00EC4F8E"/>
    <w:rsid w:val="00EC5103"/>
    <w:rsid w:val="00EC5150"/>
    <w:rsid w:val="00EC5186"/>
    <w:rsid w:val="00EC5268"/>
    <w:rsid w:val="00EC529D"/>
    <w:rsid w:val="00EC52DD"/>
    <w:rsid w:val="00EC5350"/>
    <w:rsid w:val="00EC55AF"/>
    <w:rsid w:val="00EC5620"/>
    <w:rsid w:val="00EC5865"/>
    <w:rsid w:val="00EC5990"/>
    <w:rsid w:val="00EC59C2"/>
    <w:rsid w:val="00EC5AC4"/>
    <w:rsid w:val="00EC5C9B"/>
    <w:rsid w:val="00EC5CB6"/>
    <w:rsid w:val="00EC5D4D"/>
    <w:rsid w:val="00EC5D74"/>
    <w:rsid w:val="00EC5F29"/>
    <w:rsid w:val="00EC5FBF"/>
    <w:rsid w:val="00EC6094"/>
    <w:rsid w:val="00EC618E"/>
    <w:rsid w:val="00EC6250"/>
    <w:rsid w:val="00EC62CE"/>
    <w:rsid w:val="00EC6666"/>
    <w:rsid w:val="00EC6739"/>
    <w:rsid w:val="00EC68AD"/>
    <w:rsid w:val="00EC68C2"/>
    <w:rsid w:val="00EC6931"/>
    <w:rsid w:val="00EC6AC5"/>
    <w:rsid w:val="00EC6B19"/>
    <w:rsid w:val="00EC6BF7"/>
    <w:rsid w:val="00EC6CC9"/>
    <w:rsid w:val="00EC6CE7"/>
    <w:rsid w:val="00EC6DE5"/>
    <w:rsid w:val="00EC6E77"/>
    <w:rsid w:val="00EC6E9B"/>
    <w:rsid w:val="00EC6EFE"/>
    <w:rsid w:val="00EC6F5A"/>
    <w:rsid w:val="00EC70C9"/>
    <w:rsid w:val="00EC70D4"/>
    <w:rsid w:val="00EC71F3"/>
    <w:rsid w:val="00EC726A"/>
    <w:rsid w:val="00EC72CE"/>
    <w:rsid w:val="00EC72E1"/>
    <w:rsid w:val="00EC7320"/>
    <w:rsid w:val="00EC73B7"/>
    <w:rsid w:val="00EC73E7"/>
    <w:rsid w:val="00EC74E4"/>
    <w:rsid w:val="00EC7532"/>
    <w:rsid w:val="00EC7591"/>
    <w:rsid w:val="00EC75E6"/>
    <w:rsid w:val="00EC775D"/>
    <w:rsid w:val="00EC784F"/>
    <w:rsid w:val="00EC7864"/>
    <w:rsid w:val="00EC7898"/>
    <w:rsid w:val="00EC7927"/>
    <w:rsid w:val="00EC7970"/>
    <w:rsid w:val="00EC7AA9"/>
    <w:rsid w:val="00EC7B96"/>
    <w:rsid w:val="00EC7D1C"/>
    <w:rsid w:val="00ED0217"/>
    <w:rsid w:val="00ED02C5"/>
    <w:rsid w:val="00ED0307"/>
    <w:rsid w:val="00ED044B"/>
    <w:rsid w:val="00ED05E8"/>
    <w:rsid w:val="00ED06B1"/>
    <w:rsid w:val="00ED078C"/>
    <w:rsid w:val="00ED07BA"/>
    <w:rsid w:val="00ED07F3"/>
    <w:rsid w:val="00ED0859"/>
    <w:rsid w:val="00ED0874"/>
    <w:rsid w:val="00ED08B6"/>
    <w:rsid w:val="00ED092F"/>
    <w:rsid w:val="00ED0973"/>
    <w:rsid w:val="00ED097D"/>
    <w:rsid w:val="00ED0A4B"/>
    <w:rsid w:val="00ED0B95"/>
    <w:rsid w:val="00ED0C2F"/>
    <w:rsid w:val="00ED0DE8"/>
    <w:rsid w:val="00ED0DF3"/>
    <w:rsid w:val="00ED0E34"/>
    <w:rsid w:val="00ED0ED6"/>
    <w:rsid w:val="00ED0EDB"/>
    <w:rsid w:val="00ED0F44"/>
    <w:rsid w:val="00ED0FA4"/>
    <w:rsid w:val="00ED1100"/>
    <w:rsid w:val="00ED119B"/>
    <w:rsid w:val="00ED11FA"/>
    <w:rsid w:val="00ED124D"/>
    <w:rsid w:val="00ED12ED"/>
    <w:rsid w:val="00ED132B"/>
    <w:rsid w:val="00ED1432"/>
    <w:rsid w:val="00ED143D"/>
    <w:rsid w:val="00ED145B"/>
    <w:rsid w:val="00ED15A8"/>
    <w:rsid w:val="00ED15FB"/>
    <w:rsid w:val="00ED160D"/>
    <w:rsid w:val="00ED160F"/>
    <w:rsid w:val="00ED1753"/>
    <w:rsid w:val="00ED179E"/>
    <w:rsid w:val="00ED184B"/>
    <w:rsid w:val="00ED1991"/>
    <w:rsid w:val="00ED1A38"/>
    <w:rsid w:val="00ED1ABC"/>
    <w:rsid w:val="00ED1B52"/>
    <w:rsid w:val="00ED1CC4"/>
    <w:rsid w:val="00ED1F1C"/>
    <w:rsid w:val="00ED1FCE"/>
    <w:rsid w:val="00ED2047"/>
    <w:rsid w:val="00ED2052"/>
    <w:rsid w:val="00ED2072"/>
    <w:rsid w:val="00ED2078"/>
    <w:rsid w:val="00ED2125"/>
    <w:rsid w:val="00ED21D5"/>
    <w:rsid w:val="00ED22B7"/>
    <w:rsid w:val="00ED2390"/>
    <w:rsid w:val="00ED24C2"/>
    <w:rsid w:val="00ED2598"/>
    <w:rsid w:val="00ED264A"/>
    <w:rsid w:val="00ED275B"/>
    <w:rsid w:val="00ED287B"/>
    <w:rsid w:val="00ED29C6"/>
    <w:rsid w:val="00ED29E1"/>
    <w:rsid w:val="00ED2A77"/>
    <w:rsid w:val="00ED2C6D"/>
    <w:rsid w:val="00ED2CD7"/>
    <w:rsid w:val="00ED2D18"/>
    <w:rsid w:val="00ED2D87"/>
    <w:rsid w:val="00ED2F89"/>
    <w:rsid w:val="00ED2FAE"/>
    <w:rsid w:val="00ED2FFE"/>
    <w:rsid w:val="00ED3097"/>
    <w:rsid w:val="00ED30F8"/>
    <w:rsid w:val="00ED311E"/>
    <w:rsid w:val="00ED32FB"/>
    <w:rsid w:val="00ED33A6"/>
    <w:rsid w:val="00ED33D1"/>
    <w:rsid w:val="00ED34CC"/>
    <w:rsid w:val="00ED3534"/>
    <w:rsid w:val="00ED358C"/>
    <w:rsid w:val="00ED361D"/>
    <w:rsid w:val="00ED368C"/>
    <w:rsid w:val="00ED3701"/>
    <w:rsid w:val="00ED3712"/>
    <w:rsid w:val="00ED3783"/>
    <w:rsid w:val="00ED38F0"/>
    <w:rsid w:val="00ED3986"/>
    <w:rsid w:val="00ED39C7"/>
    <w:rsid w:val="00ED3E0E"/>
    <w:rsid w:val="00ED3EDE"/>
    <w:rsid w:val="00ED3F17"/>
    <w:rsid w:val="00ED40FB"/>
    <w:rsid w:val="00ED4142"/>
    <w:rsid w:val="00ED42A4"/>
    <w:rsid w:val="00ED42D3"/>
    <w:rsid w:val="00ED43AE"/>
    <w:rsid w:val="00ED43E0"/>
    <w:rsid w:val="00ED43EF"/>
    <w:rsid w:val="00ED4488"/>
    <w:rsid w:val="00ED45B6"/>
    <w:rsid w:val="00ED45D2"/>
    <w:rsid w:val="00ED46A8"/>
    <w:rsid w:val="00ED46B3"/>
    <w:rsid w:val="00ED4882"/>
    <w:rsid w:val="00ED48FD"/>
    <w:rsid w:val="00ED495B"/>
    <w:rsid w:val="00ED4AA5"/>
    <w:rsid w:val="00ED4ADE"/>
    <w:rsid w:val="00ED4BCA"/>
    <w:rsid w:val="00ED4D05"/>
    <w:rsid w:val="00ED4D6F"/>
    <w:rsid w:val="00ED4DA6"/>
    <w:rsid w:val="00ED4E28"/>
    <w:rsid w:val="00ED4F13"/>
    <w:rsid w:val="00ED4F15"/>
    <w:rsid w:val="00ED4F9F"/>
    <w:rsid w:val="00ED4FA2"/>
    <w:rsid w:val="00ED50D2"/>
    <w:rsid w:val="00ED50D8"/>
    <w:rsid w:val="00ED518B"/>
    <w:rsid w:val="00ED51D4"/>
    <w:rsid w:val="00ED51ED"/>
    <w:rsid w:val="00ED521F"/>
    <w:rsid w:val="00ED5336"/>
    <w:rsid w:val="00ED5581"/>
    <w:rsid w:val="00ED55FC"/>
    <w:rsid w:val="00ED5675"/>
    <w:rsid w:val="00ED5826"/>
    <w:rsid w:val="00ED588E"/>
    <w:rsid w:val="00ED5966"/>
    <w:rsid w:val="00ED5986"/>
    <w:rsid w:val="00ED59AC"/>
    <w:rsid w:val="00ED5A4F"/>
    <w:rsid w:val="00ED5B4D"/>
    <w:rsid w:val="00ED5CBB"/>
    <w:rsid w:val="00ED5D0B"/>
    <w:rsid w:val="00ED5DA6"/>
    <w:rsid w:val="00ED5DE8"/>
    <w:rsid w:val="00ED5DF0"/>
    <w:rsid w:val="00ED5EAC"/>
    <w:rsid w:val="00ED5F3C"/>
    <w:rsid w:val="00ED5FB0"/>
    <w:rsid w:val="00ED5FF2"/>
    <w:rsid w:val="00ED605C"/>
    <w:rsid w:val="00ED6104"/>
    <w:rsid w:val="00ED6177"/>
    <w:rsid w:val="00ED6212"/>
    <w:rsid w:val="00ED6240"/>
    <w:rsid w:val="00ED629E"/>
    <w:rsid w:val="00ED6393"/>
    <w:rsid w:val="00ED63CF"/>
    <w:rsid w:val="00ED64B7"/>
    <w:rsid w:val="00ED67E9"/>
    <w:rsid w:val="00ED6868"/>
    <w:rsid w:val="00ED68A2"/>
    <w:rsid w:val="00ED6ACD"/>
    <w:rsid w:val="00ED6B0F"/>
    <w:rsid w:val="00ED6D0F"/>
    <w:rsid w:val="00ED6D64"/>
    <w:rsid w:val="00ED6E27"/>
    <w:rsid w:val="00ED6E78"/>
    <w:rsid w:val="00ED6FB8"/>
    <w:rsid w:val="00ED6FCB"/>
    <w:rsid w:val="00ED6FDD"/>
    <w:rsid w:val="00ED7176"/>
    <w:rsid w:val="00ED7197"/>
    <w:rsid w:val="00ED71C8"/>
    <w:rsid w:val="00ED720E"/>
    <w:rsid w:val="00ED7427"/>
    <w:rsid w:val="00ED7452"/>
    <w:rsid w:val="00ED74DD"/>
    <w:rsid w:val="00ED7519"/>
    <w:rsid w:val="00ED7587"/>
    <w:rsid w:val="00ED766B"/>
    <w:rsid w:val="00ED769E"/>
    <w:rsid w:val="00ED76EB"/>
    <w:rsid w:val="00ED7797"/>
    <w:rsid w:val="00ED7959"/>
    <w:rsid w:val="00ED7995"/>
    <w:rsid w:val="00ED7A32"/>
    <w:rsid w:val="00ED7C15"/>
    <w:rsid w:val="00ED7CF1"/>
    <w:rsid w:val="00ED7D8A"/>
    <w:rsid w:val="00ED7E71"/>
    <w:rsid w:val="00ED7F25"/>
    <w:rsid w:val="00ED7F37"/>
    <w:rsid w:val="00ED7F53"/>
    <w:rsid w:val="00ED7F5B"/>
    <w:rsid w:val="00EE0027"/>
    <w:rsid w:val="00EE007C"/>
    <w:rsid w:val="00EE0118"/>
    <w:rsid w:val="00EE0151"/>
    <w:rsid w:val="00EE01B5"/>
    <w:rsid w:val="00EE01F9"/>
    <w:rsid w:val="00EE02F3"/>
    <w:rsid w:val="00EE0309"/>
    <w:rsid w:val="00EE037E"/>
    <w:rsid w:val="00EE04CF"/>
    <w:rsid w:val="00EE0551"/>
    <w:rsid w:val="00EE0621"/>
    <w:rsid w:val="00EE0629"/>
    <w:rsid w:val="00EE07D3"/>
    <w:rsid w:val="00EE0A07"/>
    <w:rsid w:val="00EE0C6B"/>
    <w:rsid w:val="00EE0C99"/>
    <w:rsid w:val="00EE0CD0"/>
    <w:rsid w:val="00EE0DCE"/>
    <w:rsid w:val="00EE0E03"/>
    <w:rsid w:val="00EE0E84"/>
    <w:rsid w:val="00EE0EAD"/>
    <w:rsid w:val="00EE0EB1"/>
    <w:rsid w:val="00EE0FF9"/>
    <w:rsid w:val="00EE105F"/>
    <w:rsid w:val="00EE1076"/>
    <w:rsid w:val="00EE11CF"/>
    <w:rsid w:val="00EE120F"/>
    <w:rsid w:val="00EE12AB"/>
    <w:rsid w:val="00EE1300"/>
    <w:rsid w:val="00EE1346"/>
    <w:rsid w:val="00EE138D"/>
    <w:rsid w:val="00EE13F9"/>
    <w:rsid w:val="00EE148E"/>
    <w:rsid w:val="00EE1524"/>
    <w:rsid w:val="00EE15A2"/>
    <w:rsid w:val="00EE165F"/>
    <w:rsid w:val="00EE16D4"/>
    <w:rsid w:val="00EE18CA"/>
    <w:rsid w:val="00EE18D5"/>
    <w:rsid w:val="00EE1A1A"/>
    <w:rsid w:val="00EE1A37"/>
    <w:rsid w:val="00EE1A8F"/>
    <w:rsid w:val="00EE1B25"/>
    <w:rsid w:val="00EE1C4F"/>
    <w:rsid w:val="00EE1CD2"/>
    <w:rsid w:val="00EE1D66"/>
    <w:rsid w:val="00EE1DAC"/>
    <w:rsid w:val="00EE1DF6"/>
    <w:rsid w:val="00EE1E7D"/>
    <w:rsid w:val="00EE1FD2"/>
    <w:rsid w:val="00EE2115"/>
    <w:rsid w:val="00EE2117"/>
    <w:rsid w:val="00EE2322"/>
    <w:rsid w:val="00EE246F"/>
    <w:rsid w:val="00EE2511"/>
    <w:rsid w:val="00EE255B"/>
    <w:rsid w:val="00EE25B9"/>
    <w:rsid w:val="00EE25E9"/>
    <w:rsid w:val="00EE2688"/>
    <w:rsid w:val="00EE2797"/>
    <w:rsid w:val="00EE2823"/>
    <w:rsid w:val="00EE29B4"/>
    <w:rsid w:val="00EE2BEB"/>
    <w:rsid w:val="00EE2BFA"/>
    <w:rsid w:val="00EE2C52"/>
    <w:rsid w:val="00EE2C87"/>
    <w:rsid w:val="00EE2E18"/>
    <w:rsid w:val="00EE2E56"/>
    <w:rsid w:val="00EE2E72"/>
    <w:rsid w:val="00EE2EA6"/>
    <w:rsid w:val="00EE303A"/>
    <w:rsid w:val="00EE3183"/>
    <w:rsid w:val="00EE3245"/>
    <w:rsid w:val="00EE3483"/>
    <w:rsid w:val="00EE34E1"/>
    <w:rsid w:val="00EE35A0"/>
    <w:rsid w:val="00EE382B"/>
    <w:rsid w:val="00EE3833"/>
    <w:rsid w:val="00EE39E5"/>
    <w:rsid w:val="00EE39EE"/>
    <w:rsid w:val="00EE3A0A"/>
    <w:rsid w:val="00EE3B82"/>
    <w:rsid w:val="00EE3BAE"/>
    <w:rsid w:val="00EE3BBA"/>
    <w:rsid w:val="00EE3BC8"/>
    <w:rsid w:val="00EE3C50"/>
    <w:rsid w:val="00EE3DF9"/>
    <w:rsid w:val="00EE3EAF"/>
    <w:rsid w:val="00EE3F04"/>
    <w:rsid w:val="00EE3F68"/>
    <w:rsid w:val="00EE4098"/>
    <w:rsid w:val="00EE40F1"/>
    <w:rsid w:val="00EE41D7"/>
    <w:rsid w:val="00EE4225"/>
    <w:rsid w:val="00EE42C3"/>
    <w:rsid w:val="00EE4418"/>
    <w:rsid w:val="00EE44F4"/>
    <w:rsid w:val="00EE4625"/>
    <w:rsid w:val="00EE479B"/>
    <w:rsid w:val="00EE4846"/>
    <w:rsid w:val="00EE4853"/>
    <w:rsid w:val="00EE493A"/>
    <w:rsid w:val="00EE49BD"/>
    <w:rsid w:val="00EE4CB9"/>
    <w:rsid w:val="00EE4E16"/>
    <w:rsid w:val="00EE4F5B"/>
    <w:rsid w:val="00EE4F91"/>
    <w:rsid w:val="00EE503C"/>
    <w:rsid w:val="00EE5108"/>
    <w:rsid w:val="00EE51B6"/>
    <w:rsid w:val="00EE5299"/>
    <w:rsid w:val="00EE54C4"/>
    <w:rsid w:val="00EE5556"/>
    <w:rsid w:val="00EE5697"/>
    <w:rsid w:val="00EE56DA"/>
    <w:rsid w:val="00EE57B6"/>
    <w:rsid w:val="00EE586F"/>
    <w:rsid w:val="00EE5917"/>
    <w:rsid w:val="00EE59A0"/>
    <w:rsid w:val="00EE5A09"/>
    <w:rsid w:val="00EE5A33"/>
    <w:rsid w:val="00EE5B6D"/>
    <w:rsid w:val="00EE5DF4"/>
    <w:rsid w:val="00EE5E07"/>
    <w:rsid w:val="00EE5E30"/>
    <w:rsid w:val="00EE5E32"/>
    <w:rsid w:val="00EE5E90"/>
    <w:rsid w:val="00EE5F49"/>
    <w:rsid w:val="00EE604A"/>
    <w:rsid w:val="00EE61A2"/>
    <w:rsid w:val="00EE6238"/>
    <w:rsid w:val="00EE6277"/>
    <w:rsid w:val="00EE637A"/>
    <w:rsid w:val="00EE64B4"/>
    <w:rsid w:val="00EE6645"/>
    <w:rsid w:val="00EE6653"/>
    <w:rsid w:val="00EE67E0"/>
    <w:rsid w:val="00EE68E7"/>
    <w:rsid w:val="00EE6AB0"/>
    <w:rsid w:val="00EE6C67"/>
    <w:rsid w:val="00EE6C84"/>
    <w:rsid w:val="00EE6DE6"/>
    <w:rsid w:val="00EE6F57"/>
    <w:rsid w:val="00EE7008"/>
    <w:rsid w:val="00EE70BE"/>
    <w:rsid w:val="00EE70E3"/>
    <w:rsid w:val="00EE7149"/>
    <w:rsid w:val="00EE71D9"/>
    <w:rsid w:val="00EE7204"/>
    <w:rsid w:val="00EE73EC"/>
    <w:rsid w:val="00EE73F8"/>
    <w:rsid w:val="00EE74E4"/>
    <w:rsid w:val="00EE751F"/>
    <w:rsid w:val="00EE77C0"/>
    <w:rsid w:val="00EE77C1"/>
    <w:rsid w:val="00EE7877"/>
    <w:rsid w:val="00EE7885"/>
    <w:rsid w:val="00EE78AA"/>
    <w:rsid w:val="00EE78C8"/>
    <w:rsid w:val="00EE796F"/>
    <w:rsid w:val="00EE79CE"/>
    <w:rsid w:val="00EE7B1E"/>
    <w:rsid w:val="00EE7C3D"/>
    <w:rsid w:val="00EE7CA3"/>
    <w:rsid w:val="00EE7E73"/>
    <w:rsid w:val="00EE7E82"/>
    <w:rsid w:val="00EF015E"/>
    <w:rsid w:val="00EF019A"/>
    <w:rsid w:val="00EF043E"/>
    <w:rsid w:val="00EF05AE"/>
    <w:rsid w:val="00EF05CC"/>
    <w:rsid w:val="00EF0638"/>
    <w:rsid w:val="00EF0664"/>
    <w:rsid w:val="00EF0755"/>
    <w:rsid w:val="00EF08E7"/>
    <w:rsid w:val="00EF0925"/>
    <w:rsid w:val="00EF0967"/>
    <w:rsid w:val="00EF0B68"/>
    <w:rsid w:val="00EF0DBC"/>
    <w:rsid w:val="00EF0DF8"/>
    <w:rsid w:val="00EF1083"/>
    <w:rsid w:val="00EF1127"/>
    <w:rsid w:val="00EF1182"/>
    <w:rsid w:val="00EF1206"/>
    <w:rsid w:val="00EF145F"/>
    <w:rsid w:val="00EF14BA"/>
    <w:rsid w:val="00EF1672"/>
    <w:rsid w:val="00EF16A4"/>
    <w:rsid w:val="00EF185F"/>
    <w:rsid w:val="00EF18D2"/>
    <w:rsid w:val="00EF190B"/>
    <w:rsid w:val="00EF1A42"/>
    <w:rsid w:val="00EF1A6C"/>
    <w:rsid w:val="00EF1A89"/>
    <w:rsid w:val="00EF1AB2"/>
    <w:rsid w:val="00EF1AB5"/>
    <w:rsid w:val="00EF1B0F"/>
    <w:rsid w:val="00EF1B4C"/>
    <w:rsid w:val="00EF1C1A"/>
    <w:rsid w:val="00EF1C3E"/>
    <w:rsid w:val="00EF1C96"/>
    <w:rsid w:val="00EF1E7E"/>
    <w:rsid w:val="00EF1F4D"/>
    <w:rsid w:val="00EF1F50"/>
    <w:rsid w:val="00EF1F7D"/>
    <w:rsid w:val="00EF1FDA"/>
    <w:rsid w:val="00EF2084"/>
    <w:rsid w:val="00EF2295"/>
    <w:rsid w:val="00EF22DF"/>
    <w:rsid w:val="00EF2339"/>
    <w:rsid w:val="00EF24F9"/>
    <w:rsid w:val="00EF2562"/>
    <w:rsid w:val="00EF2573"/>
    <w:rsid w:val="00EF25AE"/>
    <w:rsid w:val="00EF2800"/>
    <w:rsid w:val="00EF2841"/>
    <w:rsid w:val="00EF2886"/>
    <w:rsid w:val="00EF2A2D"/>
    <w:rsid w:val="00EF2A73"/>
    <w:rsid w:val="00EF2BAC"/>
    <w:rsid w:val="00EF2CBF"/>
    <w:rsid w:val="00EF2CD6"/>
    <w:rsid w:val="00EF2D71"/>
    <w:rsid w:val="00EF2DCC"/>
    <w:rsid w:val="00EF2F1F"/>
    <w:rsid w:val="00EF2FF7"/>
    <w:rsid w:val="00EF3000"/>
    <w:rsid w:val="00EF3088"/>
    <w:rsid w:val="00EF30A3"/>
    <w:rsid w:val="00EF30D4"/>
    <w:rsid w:val="00EF323E"/>
    <w:rsid w:val="00EF32AA"/>
    <w:rsid w:val="00EF3317"/>
    <w:rsid w:val="00EF3325"/>
    <w:rsid w:val="00EF3435"/>
    <w:rsid w:val="00EF346C"/>
    <w:rsid w:val="00EF3522"/>
    <w:rsid w:val="00EF35EB"/>
    <w:rsid w:val="00EF3858"/>
    <w:rsid w:val="00EF39B9"/>
    <w:rsid w:val="00EF3BAF"/>
    <w:rsid w:val="00EF3C2D"/>
    <w:rsid w:val="00EF3D53"/>
    <w:rsid w:val="00EF3E2B"/>
    <w:rsid w:val="00EF3E5E"/>
    <w:rsid w:val="00EF3E65"/>
    <w:rsid w:val="00EF3F58"/>
    <w:rsid w:val="00EF405F"/>
    <w:rsid w:val="00EF4086"/>
    <w:rsid w:val="00EF40A4"/>
    <w:rsid w:val="00EF41A4"/>
    <w:rsid w:val="00EF4234"/>
    <w:rsid w:val="00EF42B1"/>
    <w:rsid w:val="00EF439E"/>
    <w:rsid w:val="00EF4438"/>
    <w:rsid w:val="00EF4584"/>
    <w:rsid w:val="00EF45CA"/>
    <w:rsid w:val="00EF45F8"/>
    <w:rsid w:val="00EF46E6"/>
    <w:rsid w:val="00EF4712"/>
    <w:rsid w:val="00EF472A"/>
    <w:rsid w:val="00EF4788"/>
    <w:rsid w:val="00EF4897"/>
    <w:rsid w:val="00EF48D4"/>
    <w:rsid w:val="00EF497C"/>
    <w:rsid w:val="00EF4AFD"/>
    <w:rsid w:val="00EF4BDD"/>
    <w:rsid w:val="00EF4D0D"/>
    <w:rsid w:val="00EF4D54"/>
    <w:rsid w:val="00EF4DA5"/>
    <w:rsid w:val="00EF4DE2"/>
    <w:rsid w:val="00EF51C4"/>
    <w:rsid w:val="00EF52E4"/>
    <w:rsid w:val="00EF5481"/>
    <w:rsid w:val="00EF549E"/>
    <w:rsid w:val="00EF5564"/>
    <w:rsid w:val="00EF57EB"/>
    <w:rsid w:val="00EF5961"/>
    <w:rsid w:val="00EF59F4"/>
    <w:rsid w:val="00EF5AA0"/>
    <w:rsid w:val="00EF5B29"/>
    <w:rsid w:val="00EF5B82"/>
    <w:rsid w:val="00EF5C74"/>
    <w:rsid w:val="00EF5CA5"/>
    <w:rsid w:val="00EF5E05"/>
    <w:rsid w:val="00EF5E98"/>
    <w:rsid w:val="00EF5EBC"/>
    <w:rsid w:val="00EF5F99"/>
    <w:rsid w:val="00EF5FB0"/>
    <w:rsid w:val="00EF6018"/>
    <w:rsid w:val="00EF609A"/>
    <w:rsid w:val="00EF6262"/>
    <w:rsid w:val="00EF62C7"/>
    <w:rsid w:val="00EF64B3"/>
    <w:rsid w:val="00EF6511"/>
    <w:rsid w:val="00EF6520"/>
    <w:rsid w:val="00EF6643"/>
    <w:rsid w:val="00EF66E0"/>
    <w:rsid w:val="00EF6766"/>
    <w:rsid w:val="00EF67DF"/>
    <w:rsid w:val="00EF6846"/>
    <w:rsid w:val="00EF684E"/>
    <w:rsid w:val="00EF6865"/>
    <w:rsid w:val="00EF695F"/>
    <w:rsid w:val="00EF69D7"/>
    <w:rsid w:val="00EF6B75"/>
    <w:rsid w:val="00EF6BAF"/>
    <w:rsid w:val="00EF6C2B"/>
    <w:rsid w:val="00EF6C44"/>
    <w:rsid w:val="00EF6D1C"/>
    <w:rsid w:val="00EF6E3E"/>
    <w:rsid w:val="00EF6EBF"/>
    <w:rsid w:val="00EF71AE"/>
    <w:rsid w:val="00EF71CD"/>
    <w:rsid w:val="00EF7365"/>
    <w:rsid w:val="00EF7442"/>
    <w:rsid w:val="00EF7545"/>
    <w:rsid w:val="00EF75BF"/>
    <w:rsid w:val="00EF763A"/>
    <w:rsid w:val="00EF7734"/>
    <w:rsid w:val="00EF7A0C"/>
    <w:rsid w:val="00EF7A91"/>
    <w:rsid w:val="00EF7AB5"/>
    <w:rsid w:val="00EF7B1A"/>
    <w:rsid w:val="00EF7B91"/>
    <w:rsid w:val="00EF7CF4"/>
    <w:rsid w:val="00EF7E5C"/>
    <w:rsid w:val="00EF7E9C"/>
    <w:rsid w:val="00F00060"/>
    <w:rsid w:val="00F000B8"/>
    <w:rsid w:val="00F000BC"/>
    <w:rsid w:val="00F0015A"/>
    <w:rsid w:val="00F00261"/>
    <w:rsid w:val="00F00304"/>
    <w:rsid w:val="00F00366"/>
    <w:rsid w:val="00F003B2"/>
    <w:rsid w:val="00F003D9"/>
    <w:rsid w:val="00F00478"/>
    <w:rsid w:val="00F004D0"/>
    <w:rsid w:val="00F007DF"/>
    <w:rsid w:val="00F0086F"/>
    <w:rsid w:val="00F00BD4"/>
    <w:rsid w:val="00F00D2D"/>
    <w:rsid w:val="00F00E5A"/>
    <w:rsid w:val="00F0107E"/>
    <w:rsid w:val="00F01281"/>
    <w:rsid w:val="00F014B7"/>
    <w:rsid w:val="00F014EC"/>
    <w:rsid w:val="00F0181A"/>
    <w:rsid w:val="00F01829"/>
    <w:rsid w:val="00F01972"/>
    <w:rsid w:val="00F01BC0"/>
    <w:rsid w:val="00F01D3A"/>
    <w:rsid w:val="00F0206B"/>
    <w:rsid w:val="00F02097"/>
    <w:rsid w:val="00F0214F"/>
    <w:rsid w:val="00F02209"/>
    <w:rsid w:val="00F022E0"/>
    <w:rsid w:val="00F0232D"/>
    <w:rsid w:val="00F02420"/>
    <w:rsid w:val="00F02458"/>
    <w:rsid w:val="00F0266F"/>
    <w:rsid w:val="00F02711"/>
    <w:rsid w:val="00F0283E"/>
    <w:rsid w:val="00F02A2E"/>
    <w:rsid w:val="00F02B14"/>
    <w:rsid w:val="00F02D77"/>
    <w:rsid w:val="00F02E80"/>
    <w:rsid w:val="00F02F62"/>
    <w:rsid w:val="00F02F71"/>
    <w:rsid w:val="00F030E4"/>
    <w:rsid w:val="00F03290"/>
    <w:rsid w:val="00F032A5"/>
    <w:rsid w:val="00F0334B"/>
    <w:rsid w:val="00F0336B"/>
    <w:rsid w:val="00F03384"/>
    <w:rsid w:val="00F03463"/>
    <w:rsid w:val="00F034D7"/>
    <w:rsid w:val="00F035DC"/>
    <w:rsid w:val="00F03712"/>
    <w:rsid w:val="00F037CA"/>
    <w:rsid w:val="00F0385A"/>
    <w:rsid w:val="00F038DE"/>
    <w:rsid w:val="00F0396B"/>
    <w:rsid w:val="00F039AF"/>
    <w:rsid w:val="00F03AAB"/>
    <w:rsid w:val="00F03C7C"/>
    <w:rsid w:val="00F03D0C"/>
    <w:rsid w:val="00F04065"/>
    <w:rsid w:val="00F0414A"/>
    <w:rsid w:val="00F04261"/>
    <w:rsid w:val="00F0439F"/>
    <w:rsid w:val="00F043C9"/>
    <w:rsid w:val="00F043CB"/>
    <w:rsid w:val="00F04452"/>
    <w:rsid w:val="00F044C1"/>
    <w:rsid w:val="00F044DB"/>
    <w:rsid w:val="00F045B9"/>
    <w:rsid w:val="00F0463E"/>
    <w:rsid w:val="00F046AF"/>
    <w:rsid w:val="00F046C6"/>
    <w:rsid w:val="00F0477E"/>
    <w:rsid w:val="00F047C7"/>
    <w:rsid w:val="00F04801"/>
    <w:rsid w:val="00F04999"/>
    <w:rsid w:val="00F049DF"/>
    <w:rsid w:val="00F049E9"/>
    <w:rsid w:val="00F04BD2"/>
    <w:rsid w:val="00F04BD9"/>
    <w:rsid w:val="00F04BE6"/>
    <w:rsid w:val="00F04BFA"/>
    <w:rsid w:val="00F04ED5"/>
    <w:rsid w:val="00F04FDA"/>
    <w:rsid w:val="00F050AE"/>
    <w:rsid w:val="00F050C0"/>
    <w:rsid w:val="00F050E0"/>
    <w:rsid w:val="00F0529D"/>
    <w:rsid w:val="00F052C5"/>
    <w:rsid w:val="00F052EC"/>
    <w:rsid w:val="00F05313"/>
    <w:rsid w:val="00F053C4"/>
    <w:rsid w:val="00F054B9"/>
    <w:rsid w:val="00F05548"/>
    <w:rsid w:val="00F055EB"/>
    <w:rsid w:val="00F056AE"/>
    <w:rsid w:val="00F05756"/>
    <w:rsid w:val="00F058DA"/>
    <w:rsid w:val="00F05A4D"/>
    <w:rsid w:val="00F05A55"/>
    <w:rsid w:val="00F05A5A"/>
    <w:rsid w:val="00F05A7D"/>
    <w:rsid w:val="00F05B72"/>
    <w:rsid w:val="00F05B88"/>
    <w:rsid w:val="00F05B8F"/>
    <w:rsid w:val="00F05C26"/>
    <w:rsid w:val="00F05DD4"/>
    <w:rsid w:val="00F05E8D"/>
    <w:rsid w:val="00F05FCB"/>
    <w:rsid w:val="00F060C2"/>
    <w:rsid w:val="00F0616E"/>
    <w:rsid w:val="00F0623C"/>
    <w:rsid w:val="00F0626D"/>
    <w:rsid w:val="00F06393"/>
    <w:rsid w:val="00F063AF"/>
    <w:rsid w:val="00F0660D"/>
    <w:rsid w:val="00F06664"/>
    <w:rsid w:val="00F06688"/>
    <w:rsid w:val="00F06703"/>
    <w:rsid w:val="00F067A1"/>
    <w:rsid w:val="00F067E8"/>
    <w:rsid w:val="00F06867"/>
    <w:rsid w:val="00F06AF3"/>
    <w:rsid w:val="00F06B96"/>
    <w:rsid w:val="00F06C77"/>
    <w:rsid w:val="00F06D37"/>
    <w:rsid w:val="00F06D90"/>
    <w:rsid w:val="00F06DD0"/>
    <w:rsid w:val="00F06E61"/>
    <w:rsid w:val="00F06F82"/>
    <w:rsid w:val="00F07011"/>
    <w:rsid w:val="00F07076"/>
    <w:rsid w:val="00F07208"/>
    <w:rsid w:val="00F0730D"/>
    <w:rsid w:val="00F07414"/>
    <w:rsid w:val="00F07471"/>
    <w:rsid w:val="00F07573"/>
    <w:rsid w:val="00F07782"/>
    <w:rsid w:val="00F07866"/>
    <w:rsid w:val="00F0790C"/>
    <w:rsid w:val="00F07B8C"/>
    <w:rsid w:val="00F07C22"/>
    <w:rsid w:val="00F07CC7"/>
    <w:rsid w:val="00F07D1C"/>
    <w:rsid w:val="00F07DC5"/>
    <w:rsid w:val="00F07F1F"/>
    <w:rsid w:val="00F07F98"/>
    <w:rsid w:val="00F10233"/>
    <w:rsid w:val="00F10243"/>
    <w:rsid w:val="00F1024C"/>
    <w:rsid w:val="00F102F6"/>
    <w:rsid w:val="00F1031B"/>
    <w:rsid w:val="00F1032E"/>
    <w:rsid w:val="00F10381"/>
    <w:rsid w:val="00F10449"/>
    <w:rsid w:val="00F104B9"/>
    <w:rsid w:val="00F1051B"/>
    <w:rsid w:val="00F10557"/>
    <w:rsid w:val="00F105CB"/>
    <w:rsid w:val="00F10612"/>
    <w:rsid w:val="00F10760"/>
    <w:rsid w:val="00F10764"/>
    <w:rsid w:val="00F107E5"/>
    <w:rsid w:val="00F10A20"/>
    <w:rsid w:val="00F10AC0"/>
    <w:rsid w:val="00F10AD4"/>
    <w:rsid w:val="00F10BE6"/>
    <w:rsid w:val="00F10D05"/>
    <w:rsid w:val="00F10D06"/>
    <w:rsid w:val="00F10D1F"/>
    <w:rsid w:val="00F10D42"/>
    <w:rsid w:val="00F10FDF"/>
    <w:rsid w:val="00F10FF4"/>
    <w:rsid w:val="00F11139"/>
    <w:rsid w:val="00F1116D"/>
    <w:rsid w:val="00F11170"/>
    <w:rsid w:val="00F11255"/>
    <w:rsid w:val="00F112DC"/>
    <w:rsid w:val="00F1137A"/>
    <w:rsid w:val="00F114C7"/>
    <w:rsid w:val="00F11520"/>
    <w:rsid w:val="00F11566"/>
    <w:rsid w:val="00F11728"/>
    <w:rsid w:val="00F11767"/>
    <w:rsid w:val="00F118D8"/>
    <w:rsid w:val="00F118FB"/>
    <w:rsid w:val="00F1192D"/>
    <w:rsid w:val="00F11A40"/>
    <w:rsid w:val="00F11A4B"/>
    <w:rsid w:val="00F11B3C"/>
    <w:rsid w:val="00F11B79"/>
    <w:rsid w:val="00F11BF7"/>
    <w:rsid w:val="00F11F10"/>
    <w:rsid w:val="00F12288"/>
    <w:rsid w:val="00F122E7"/>
    <w:rsid w:val="00F123DA"/>
    <w:rsid w:val="00F12530"/>
    <w:rsid w:val="00F125CF"/>
    <w:rsid w:val="00F125F5"/>
    <w:rsid w:val="00F12605"/>
    <w:rsid w:val="00F12693"/>
    <w:rsid w:val="00F1269F"/>
    <w:rsid w:val="00F1275B"/>
    <w:rsid w:val="00F1277E"/>
    <w:rsid w:val="00F12799"/>
    <w:rsid w:val="00F129D2"/>
    <w:rsid w:val="00F12A5D"/>
    <w:rsid w:val="00F12B3D"/>
    <w:rsid w:val="00F12C77"/>
    <w:rsid w:val="00F12D40"/>
    <w:rsid w:val="00F12DFB"/>
    <w:rsid w:val="00F12EB6"/>
    <w:rsid w:val="00F12EFB"/>
    <w:rsid w:val="00F13109"/>
    <w:rsid w:val="00F1310B"/>
    <w:rsid w:val="00F13119"/>
    <w:rsid w:val="00F132BA"/>
    <w:rsid w:val="00F1332A"/>
    <w:rsid w:val="00F133B9"/>
    <w:rsid w:val="00F13458"/>
    <w:rsid w:val="00F136E6"/>
    <w:rsid w:val="00F13728"/>
    <w:rsid w:val="00F1391E"/>
    <w:rsid w:val="00F13977"/>
    <w:rsid w:val="00F1398F"/>
    <w:rsid w:val="00F13AD6"/>
    <w:rsid w:val="00F13B81"/>
    <w:rsid w:val="00F13B9C"/>
    <w:rsid w:val="00F13C2C"/>
    <w:rsid w:val="00F13C4C"/>
    <w:rsid w:val="00F13D32"/>
    <w:rsid w:val="00F13DEB"/>
    <w:rsid w:val="00F13E59"/>
    <w:rsid w:val="00F13E67"/>
    <w:rsid w:val="00F13F2E"/>
    <w:rsid w:val="00F13F44"/>
    <w:rsid w:val="00F13F9E"/>
    <w:rsid w:val="00F14045"/>
    <w:rsid w:val="00F140F9"/>
    <w:rsid w:val="00F14124"/>
    <w:rsid w:val="00F1426E"/>
    <w:rsid w:val="00F142D4"/>
    <w:rsid w:val="00F143E4"/>
    <w:rsid w:val="00F14404"/>
    <w:rsid w:val="00F14589"/>
    <w:rsid w:val="00F14646"/>
    <w:rsid w:val="00F14810"/>
    <w:rsid w:val="00F14888"/>
    <w:rsid w:val="00F148E2"/>
    <w:rsid w:val="00F14962"/>
    <w:rsid w:val="00F14986"/>
    <w:rsid w:val="00F14BE0"/>
    <w:rsid w:val="00F14BEC"/>
    <w:rsid w:val="00F14D18"/>
    <w:rsid w:val="00F14EC7"/>
    <w:rsid w:val="00F14F6C"/>
    <w:rsid w:val="00F14F85"/>
    <w:rsid w:val="00F14FBD"/>
    <w:rsid w:val="00F14FF6"/>
    <w:rsid w:val="00F150D9"/>
    <w:rsid w:val="00F150E1"/>
    <w:rsid w:val="00F15139"/>
    <w:rsid w:val="00F1518C"/>
    <w:rsid w:val="00F1525E"/>
    <w:rsid w:val="00F1528F"/>
    <w:rsid w:val="00F15335"/>
    <w:rsid w:val="00F153C8"/>
    <w:rsid w:val="00F153CE"/>
    <w:rsid w:val="00F15462"/>
    <w:rsid w:val="00F15474"/>
    <w:rsid w:val="00F154FC"/>
    <w:rsid w:val="00F1558F"/>
    <w:rsid w:val="00F155A8"/>
    <w:rsid w:val="00F1568D"/>
    <w:rsid w:val="00F1568E"/>
    <w:rsid w:val="00F157AB"/>
    <w:rsid w:val="00F15816"/>
    <w:rsid w:val="00F15898"/>
    <w:rsid w:val="00F158FB"/>
    <w:rsid w:val="00F15A4C"/>
    <w:rsid w:val="00F15B1E"/>
    <w:rsid w:val="00F15B85"/>
    <w:rsid w:val="00F15BB0"/>
    <w:rsid w:val="00F15C54"/>
    <w:rsid w:val="00F15CFD"/>
    <w:rsid w:val="00F15DC3"/>
    <w:rsid w:val="00F15DFD"/>
    <w:rsid w:val="00F15EAA"/>
    <w:rsid w:val="00F15F5C"/>
    <w:rsid w:val="00F1613B"/>
    <w:rsid w:val="00F161CD"/>
    <w:rsid w:val="00F161E5"/>
    <w:rsid w:val="00F16300"/>
    <w:rsid w:val="00F163C8"/>
    <w:rsid w:val="00F164C9"/>
    <w:rsid w:val="00F1676D"/>
    <w:rsid w:val="00F16993"/>
    <w:rsid w:val="00F16CB5"/>
    <w:rsid w:val="00F16CE7"/>
    <w:rsid w:val="00F16D1C"/>
    <w:rsid w:val="00F16D27"/>
    <w:rsid w:val="00F16D56"/>
    <w:rsid w:val="00F16DAD"/>
    <w:rsid w:val="00F16F07"/>
    <w:rsid w:val="00F16F0B"/>
    <w:rsid w:val="00F16F33"/>
    <w:rsid w:val="00F1709D"/>
    <w:rsid w:val="00F170CE"/>
    <w:rsid w:val="00F170FF"/>
    <w:rsid w:val="00F17109"/>
    <w:rsid w:val="00F17219"/>
    <w:rsid w:val="00F172EB"/>
    <w:rsid w:val="00F17318"/>
    <w:rsid w:val="00F17357"/>
    <w:rsid w:val="00F1735E"/>
    <w:rsid w:val="00F1736E"/>
    <w:rsid w:val="00F1749C"/>
    <w:rsid w:val="00F1754F"/>
    <w:rsid w:val="00F175E2"/>
    <w:rsid w:val="00F1775C"/>
    <w:rsid w:val="00F177FA"/>
    <w:rsid w:val="00F17882"/>
    <w:rsid w:val="00F178DD"/>
    <w:rsid w:val="00F17927"/>
    <w:rsid w:val="00F17A15"/>
    <w:rsid w:val="00F17A16"/>
    <w:rsid w:val="00F17B7E"/>
    <w:rsid w:val="00F17C95"/>
    <w:rsid w:val="00F17D3C"/>
    <w:rsid w:val="00F17D78"/>
    <w:rsid w:val="00F2006A"/>
    <w:rsid w:val="00F20071"/>
    <w:rsid w:val="00F20155"/>
    <w:rsid w:val="00F20286"/>
    <w:rsid w:val="00F202E1"/>
    <w:rsid w:val="00F2032E"/>
    <w:rsid w:val="00F203CB"/>
    <w:rsid w:val="00F203E6"/>
    <w:rsid w:val="00F20487"/>
    <w:rsid w:val="00F204B5"/>
    <w:rsid w:val="00F2079C"/>
    <w:rsid w:val="00F20853"/>
    <w:rsid w:val="00F2085F"/>
    <w:rsid w:val="00F208EC"/>
    <w:rsid w:val="00F2092B"/>
    <w:rsid w:val="00F20988"/>
    <w:rsid w:val="00F209C1"/>
    <w:rsid w:val="00F20C3F"/>
    <w:rsid w:val="00F20CB3"/>
    <w:rsid w:val="00F20D1F"/>
    <w:rsid w:val="00F20DB2"/>
    <w:rsid w:val="00F20E8A"/>
    <w:rsid w:val="00F20E8B"/>
    <w:rsid w:val="00F20EAC"/>
    <w:rsid w:val="00F20EE0"/>
    <w:rsid w:val="00F20F4C"/>
    <w:rsid w:val="00F21063"/>
    <w:rsid w:val="00F21158"/>
    <w:rsid w:val="00F211AC"/>
    <w:rsid w:val="00F211E4"/>
    <w:rsid w:val="00F2121F"/>
    <w:rsid w:val="00F21247"/>
    <w:rsid w:val="00F212BB"/>
    <w:rsid w:val="00F2133A"/>
    <w:rsid w:val="00F214E3"/>
    <w:rsid w:val="00F2161D"/>
    <w:rsid w:val="00F216C6"/>
    <w:rsid w:val="00F21784"/>
    <w:rsid w:val="00F21830"/>
    <w:rsid w:val="00F21901"/>
    <w:rsid w:val="00F21A50"/>
    <w:rsid w:val="00F21B73"/>
    <w:rsid w:val="00F21BED"/>
    <w:rsid w:val="00F21C3A"/>
    <w:rsid w:val="00F21E4F"/>
    <w:rsid w:val="00F21F17"/>
    <w:rsid w:val="00F21F7B"/>
    <w:rsid w:val="00F22047"/>
    <w:rsid w:val="00F22211"/>
    <w:rsid w:val="00F22224"/>
    <w:rsid w:val="00F22254"/>
    <w:rsid w:val="00F22387"/>
    <w:rsid w:val="00F223A2"/>
    <w:rsid w:val="00F223ED"/>
    <w:rsid w:val="00F224DE"/>
    <w:rsid w:val="00F22763"/>
    <w:rsid w:val="00F2283D"/>
    <w:rsid w:val="00F22893"/>
    <w:rsid w:val="00F22A26"/>
    <w:rsid w:val="00F22A9A"/>
    <w:rsid w:val="00F22B4D"/>
    <w:rsid w:val="00F22B98"/>
    <w:rsid w:val="00F22BEF"/>
    <w:rsid w:val="00F22DD6"/>
    <w:rsid w:val="00F22DD7"/>
    <w:rsid w:val="00F22DF8"/>
    <w:rsid w:val="00F22E1A"/>
    <w:rsid w:val="00F22F6B"/>
    <w:rsid w:val="00F22FA5"/>
    <w:rsid w:val="00F2300E"/>
    <w:rsid w:val="00F23077"/>
    <w:rsid w:val="00F231CF"/>
    <w:rsid w:val="00F23266"/>
    <w:rsid w:val="00F23337"/>
    <w:rsid w:val="00F2333C"/>
    <w:rsid w:val="00F233BA"/>
    <w:rsid w:val="00F23426"/>
    <w:rsid w:val="00F236C3"/>
    <w:rsid w:val="00F237A9"/>
    <w:rsid w:val="00F237D4"/>
    <w:rsid w:val="00F239F4"/>
    <w:rsid w:val="00F23AA8"/>
    <w:rsid w:val="00F23B14"/>
    <w:rsid w:val="00F23CCD"/>
    <w:rsid w:val="00F23E4C"/>
    <w:rsid w:val="00F23E6D"/>
    <w:rsid w:val="00F23F5E"/>
    <w:rsid w:val="00F23FCA"/>
    <w:rsid w:val="00F23FF9"/>
    <w:rsid w:val="00F24003"/>
    <w:rsid w:val="00F240CA"/>
    <w:rsid w:val="00F24129"/>
    <w:rsid w:val="00F2416A"/>
    <w:rsid w:val="00F24216"/>
    <w:rsid w:val="00F24244"/>
    <w:rsid w:val="00F24288"/>
    <w:rsid w:val="00F24382"/>
    <w:rsid w:val="00F2449F"/>
    <w:rsid w:val="00F24665"/>
    <w:rsid w:val="00F24778"/>
    <w:rsid w:val="00F2488F"/>
    <w:rsid w:val="00F2489D"/>
    <w:rsid w:val="00F24BE0"/>
    <w:rsid w:val="00F24BF3"/>
    <w:rsid w:val="00F24C17"/>
    <w:rsid w:val="00F24CA4"/>
    <w:rsid w:val="00F24D5B"/>
    <w:rsid w:val="00F24DAE"/>
    <w:rsid w:val="00F24E31"/>
    <w:rsid w:val="00F24E54"/>
    <w:rsid w:val="00F24EA8"/>
    <w:rsid w:val="00F24F58"/>
    <w:rsid w:val="00F24FA1"/>
    <w:rsid w:val="00F25027"/>
    <w:rsid w:val="00F2508D"/>
    <w:rsid w:val="00F250C4"/>
    <w:rsid w:val="00F250EA"/>
    <w:rsid w:val="00F25220"/>
    <w:rsid w:val="00F252EC"/>
    <w:rsid w:val="00F2531C"/>
    <w:rsid w:val="00F253F5"/>
    <w:rsid w:val="00F2548C"/>
    <w:rsid w:val="00F254CB"/>
    <w:rsid w:val="00F2559F"/>
    <w:rsid w:val="00F255EF"/>
    <w:rsid w:val="00F25730"/>
    <w:rsid w:val="00F2578B"/>
    <w:rsid w:val="00F25825"/>
    <w:rsid w:val="00F2583B"/>
    <w:rsid w:val="00F258ED"/>
    <w:rsid w:val="00F25947"/>
    <w:rsid w:val="00F25AE4"/>
    <w:rsid w:val="00F25BAD"/>
    <w:rsid w:val="00F25C6F"/>
    <w:rsid w:val="00F25E00"/>
    <w:rsid w:val="00F25E6D"/>
    <w:rsid w:val="00F25EF8"/>
    <w:rsid w:val="00F25FC7"/>
    <w:rsid w:val="00F2602C"/>
    <w:rsid w:val="00F260F6"/>
    <w:rsid w:val="00F264E6"/>
    <w:rsid w:val="00F2655A"/>
    <w:rsid w:val="00F2657B"/>
    <w:rsid w:val="00F26675"/>
    <w:rsid w:val="00F266F4"/>
    <w:rsid w:val="00F26740"/>
    <w:rsid w:val="00F267B7"/>
    <w:rsid w:val="00F26A04"/>
    <w:rsid w:val="00F26A0A"/>
    <w:rsid w:val="00F26AE7"/>
    <w:rsid w:val="00F26B2A"/>
    <w:rsid w:val="00F26B43"/>
    <w:rsid w:val="00F26CE9"/>
    <w:rsid w:val="00F26DC3"/>
    <w:rsid w:val="00F26EB5"/>
    <w:rsid w:val="00F270DA"/>
    <w:rsid w:val="00F271B3"/>
    <w:rsid w:val="00F27350"/>
    <w:rsid w:val="00F273BD"/>
    <w:rsid w:val="00F273FF"/>
    <w:rsid w:val="00F274EC"/>
    <w:rsid w:val="00F275C8"/>
    <w:rsid w:val="00F275D5"/>
    <w:rsid w:val="00F27653"/>
    <w:rsid w:val="00F276E6"/>
    <w:rsid w:val="00F277A6"/>
    <w:rsid w:val="00F277B9"/>
    <w:rsid w:val="00F278A0"/>
    <w:rsid w:val="00F278E0"/>
    <w:rsid w:val="00F278FD"/>
    <w:rsid w:val="00F279F7"/>
    <w:rsid w:val="00F279F8"/>
    <w:rsid w:val="00F27ACD"/>
    <w:rsid w:val="00F27B7E"/>
    <w:rsid w:val="00F27B81"/>
    <w:rsid w:val="00F27BB8"/>
    <w:rsid w:val="00F27BBA"/>
    <w:rsid w:val="00F27E89"/>
    <w:rsid w:val="00F27F11"/>
    <w:rsid w:val="00F27F1E"/>
    <w:rsid w:val="00F27F7F"/>
    <w:rsid w:val="00F27FB4"/>
    <w:rsid w:val="00F300D4"/>
    <w:rsid w:val="00F300F7"/>
    <w:rsid w:val="00F301F8"/>
    <w:rsid w:val="00F3043B"/>
    <w:rsid w:val="00F30565"/>
    <w:rsid w:val="00F30599"/>
    <w:rsid w:val="00F30650"/>
    <w:rsid w:val="00F3076D"/>
    <w:rsid w:val="00F3079A"/>
    <w:rsid w:val="00F3081C"/>
    <w:rsid w:val="00F308A9"/>
    <w:rsid w:val="00F30949"/>
    <w:rsid w:val="00F30A9C"/>
    <w:rsid w:val="00F30AB2"/>
    <w:rsid w:val="00F30AE2"/>
    <w:rsid w:val="00F30B29"/>
    <w:rsid w:val="00F30CF0"/>
    <w:rsid w:val="00F30D12"/>
    <w:rsid w:val="00F30D17"/>
    <w:rsid w:val="00F30D7D"/>
    <w:rsid w:val="00F30DA1"/>
    <w:rsid w:val="00F30E30"/>
    <w:rsid w:val="00F30E56"/>
    <w:rsid w:val="00F30FF0"/>
    <w:rsid w:val="00F30FFF"/>
    <w:rsid w:val="00F31087"/>
    <w:rsid w:val="00F310ED"/>
    <w:rsid w:val="00F3128E"/>
    <w:rsid w:val="00F3150F"/>
    <w:rsid w:val="00F31569"/>
    <w:rsid w:val="00F315DA"/>
    <w:rsid w:val="00F31603"/>
    <w:rsid w:val="00F31644"/>
    <w:rsid w:val="00F31710"/>
    <w:rsid w:val="00F31746"/>
    <w:rsid w:val="00F31772"/>
    <w:rsid w:val="00F319B5"/>
    <w:rsid w:val="00F31D19"/>
    <w:rsid w:val="00F31F97"/>
    <w:rsid w:val="00F32376"/>
    <w:rsid w:val="00F32586"/>
    <w:rsid w:val="00F325A1"/>
    <w:rsid w:val="00F3261C"/>
    <w:rsid w:val="00F3271C"/>
    <w:rsid w:val="00F32A1C"/>
    <w:rsid w:val="00F32A41"/>
    <w:rsid w:val="00F32A47"/>
    <w:rsid w:val="00F32AD7"/>
    <w:rsid w:val="00F32B56"/>
    <w:rsid w:val="00F32CC7"/>
    <w:rsid w:val="00F32DB7"/>
    <w:rsid w:val="00F32DCB"/>
    <w:rsid w:val="00F32E90"/>
    <w:rsid w:val="00F32ED7"/>
    <w:rsid w:val="00F32F13"/>
    <w:rsid w:val="00F32F8D"/>
    <w:rsid w:val="00F32FA6"/>
    <w:rsid w:val="00F33137"/>
    <w:rsid w:val="00F33171"/>
    <w:rsid w:val="00F3324D"/>
    <w:rsid w:val="00F3349A"/>
    <w:rsid w:val="00F33505"/>
    <w:rsid w:val="00F33551"/>
    <w:rsid w:val="00F33625"/>
    <w:rsid w:val="00F33715"/>
    <w:rsid w:val="00F33837"/>
    <w:rsid w:val="00F338FA"/>
    <w:rsid w:val="00F3395E"/>
    <w:rsid w:val="00F33970"/>
    <w:rsid w:val="00F33A18"/>
    <w:rsid w:val="00F33A35"/>
    <w:rsid w:val="00F33AE1"/>
    <w:rsid w:val="00F33C9A"/>
    <w:rsid w:val="00F33E61"/>
    <w:rsid w:val="00F33E86"/>
    <w:rsid w:val="00F33EF0"/>
    <w:rsid w:val="00F3413D"/>
    <w:rsid w:val="00F34181"/>
    <w:rsid w:val="00F3427E"/>
    <w:rsid w:val="00F34318"/>
    <w:rsid w:val="00F34459"/>
    <w:rsid w:val="00F344A6"/>
    <w:rsid w:val="00F3458A"/>
    <w:rsid w:val="00F345E8"/>
    <w:rsid w:val="00F34669"/>
    <w:rsid w:val="00F346E0"/>
    <w:rsid w:val="00F34727"/>
    <w:rsid w:val="00F3494D"/>
    <w:rsid w:val="00F34A2E"/>
    <w:rsid w:val="00F34A39"/>
    <w:rsid w:val="00F34A3C"/>
    <w:rsid w:val="00F34BF3"/>
    <w:rsid w:val="00F34D64"/>
    <w:rsid w:val="00F34D88"/>
    <w:rsid w:val="00F34E15"/>
    <w:rsid w:val="00F34E90"/>
    <w:rsid w:val="00F34F19"/>
    <w:rsid w:val="00F35111"/>
    <w:rsid w:val="00F35150"/>
    <w:rsid w:val="00F351CA"/>
    <w:rsid w:val="00F3529D"/>
    <w:rsid w:val="00F352E1"/>
    <w:rsid w:val="00F3531B"/>
    <w:rsid w:val="00F3537C"/>
    <w:rsid w:val="00F35494"/>
    <w:rsid w:val="00F35584"/>
    <w:rsid w:val="00F3564F"/>
    <w:rsid w:val="00F35679"/>
    <w:rsid w:val="00F356F2"/>
    <w:rsid w:val="00F35740"/>
    <w:rsid w:val="00F357EC"/>
    <w:rsid w:val="00F357EE"/>
    <w:rsid w:val="00F3597F"/>
    <w:rsid w:val="00F359E3"/>
    <w:rsid w:val="00F35A09"/>
    <w:rsid w:val="00F35A1D"/>
    <w:rsid w:val="00F35A7A"/>
    <w:rsid w:val="00F35B14"/>
    <w:rsid w:val="00F35B5E"/>
    <w:rsid w:val="00F35C8B"/>
    <w:rsid w:val="00F35D4A"/>
    <w:rsid w:val="00F35DC6"/>
    <w:rsid w:val="00F36077"/>
    <w:rsid w:val="00F360A2"/>
    <w:rsid w:val="00F360ED"/>
    <w:rsid w:val="00F36148"/>
    <w:rsid w:val="00F3617C"/>
    <w:rsid w:val="00F3617D"/>
    <w:rsid w:val="00F36190"/>
    <w:rsid w:val="00F36463"/>
    <w:rsid w:val="00F36499"/>
    <w:rsid w:val="00F3661A"/>
    <w:rsid w:val="00F36654"/>
    <w:rsid w:val="00F36667"/>
    <w:rsid w:val="00F366B4"/>
    <w:rsid w:val="00F366FA"/>
    <w:rsid w:val="00F368A1"/>
    <w:rsid w:val="00F369F6"/>
    <w:rsid w:val="00F36AAD"/>
    <w:rsid w:val="00F36B6D"/>
    <w:rsid w:val="00F36B81"/>
    <w:rsid w:val="00F36C7A"/>
    <w:rsid w:val="00F36EA7"/>
    <w:rsid w:val="00F36F6B"/>
    <w:rsid w:val="00F3716F"/>
    <w:rsid w:val="00F372AD"/>
    <w:rsid w:val="00F372FD"/>
    <w:rsid w:val="00F37475"/>
    <w:rsid w:val="00F374F3"/>
    <w:rsid w:val="00F37662"/>
    <w:rsid w:val="00F37668"/>
    <w:rsid w:val="00F376EE"/>
    <w:rsid w:val="00F377CD"/>
    <w:rsid w:val="00F377DF"/>
    <w:rsid w:val="00F37896"/>
    <w:rsid w:val="00F37ADD"/>
    <w:rsid w:val="00F37B77"/>
    <w:rsid w:val="00F37BD6"/>
    <w:rsid w:val="00F37BEB"/>
    <w:rsid w:val="00F37CFF"/>
    <w:rsid w:val="00F37D09"/>
    <w:rsid w:val="00F37DA6"/>
    <w:rsid w:val="00F37DCD"/>
    <w:rsid w:val="00F37EC2"/>
    <w:rsid w:val="00F403AE"/>
    <w:rsid w:val="00F4042F"/>
    <w:rsid w:val="00F40486"/>
    <w:rsid w:val="00F404A1"/>
    <w:rsid w:val="00F404AB"/>
    <w:rsid w:val="00F40549"/>
    <w:rsid w:val="00F40595"/>
    <w:rsid w:val="00F40698"/>
    <w:rsid w:val="00F406FB"/>
    <w:rsid w:val="00F40718"/>
    <w:rsid w:val="00F40719"/>
    <w:rsid w:val="00F4074F"/>
    <w:rsid w:val="00F40B2C"/>
    <w:rsid w:val="00F40BFC"/>
    <w:rsid w:val="00F40CED"/>
    <w:rsid w:val="00F40E8F"/>
    <w:rsid w:val="00F40EE0"/>
    <w:rsid w:val="00F40F18"/>
    <w:rsid w:val="00F410FE"/>
    <w:rsid w:val="00F411ED"/>
    <w:rsid w:val="00F4131B"/>
    <w:rsid w:val="00F4134D"/>
    <w:rsid w:val="00F4150D"/>
    <w:rsid w:val="00F41598"/>
    <w:rsid w:val="00F415D3"/>
    <w:rsid w:val="00F415E3"/>
    <w:rsid w:val="00F4160F"/>
    <w:rsid w:val="00F4161A"/>
    <w:rsid w:val="00F416E0"/>
    <w:rsid w:val="00F41744"/>
    <w:rsid w:val="00F41754"/>
    <w:rsid w:val="00F41862"/>
    <w:rsid w:val="00F4188C"/>
    <w:rsid w:val="00F4192B"/>
    <w:rsid w:val="00F41933"/>
    <w:rsid w:val="00F419E5"/>
    <w:rsid w:val="00F41A11"/>
    <w:rsid w:val="00F41A1E"/>
    <w:rsid w:val="00F41A78"/>
    <w:rsid w:val="00F41B51"/>
    <w:rsid w:val="00F41BD0"/>
    <w:rsid w:val="00F41C16"/>
    <w:rsid w:val="00F41C56"/>
    <w:rsid w:val="00F41CDD"/>
    <w:rsid w:val="00F41D83"/>
    <w:rsid w:val="00F41E3F"/>
    <w:rsid w:val="00F41E4C"/>
    <w:rsid w:val="00F42038"/>
    <w:rsid w:val="00F420D8"/>
    <w:rsid w:val="00F4210F"/>
    <w:rsid w:val="00F422CE"/>
    <w:rsid w:val="00F4232E"/>
    <w:rsid w:val="00F42366"/>
    <w:rsid w:val="00F42401"/>
    <w:rsid w:val="00F424DE"/>
    <w:rsid w:val="00F424F2"/>
    <w:rsid w:val="00F4255D"/>
    <w:rsid w:val="00F425B4"/>
    <w:rsid w:val="00F42635"/>
    <w:rsid w:val="00F426CB"/>
    <w:rsid w:val="00F427D4"/>
    <w:rsid w:val="00F427F6"/>
    <w:rsid w:val="00F4280B"/>
    <w:rsid w:val="00F42886"/>
    <w:rsid w:val="00F42BA9"/>
    <w:rsid w:val="00F42BB6"/>
    <w:rsid w:val="00F42CA1"/>
    <w:rsid w:val="00F42CDC"/>
    <w:rsid w:val="00F42DA4"/>
    <w:rsid w:val="00F42DF2"/>
    <w:rsid w:val="00F42E31"/>
    <w:rsid w:val="00F42ED0"/>
    <w:rsid w:val="00F42F1B"/>
    <w:rsid w:val="00F43046"/>
    <w:rsid w:val="00F431E7"/>
    <w:rsid w:val="00F4343D"/>
    <w:rsid w:val="00F4351A"/>
    <w:rsid w:val="00F43894"/>
    <w:rsid w:val="00F4390B"/>
    <w:rsid w:val="00F43923"/>
    <w:rsid w:val="00F4393E"/>
    <w:rsid w:val="00F43B73"/>
    <w:rsid w:val="00F43C48"/>
    <w:rsid w:val="00F43C6C"/>
    <w:rsid w:val="00F43C6D"/>
    <w:rsid w:val="00F43CDC"/>
    <w:rsid w:val="00F43DB5"/>
    <w:rsid w:val="00F43E20"/>
    <w:rsid w:val="00F43F21"/>
    <w:rsid w:val="00F4411F"/>
    <w:rsid w:val="00F44185"/>
    <w:rsid w:val="00F44282"/>
    <w:rsid w:val="00F442D8"/>
    <w:rsid w:val="00F44310"/>
    <w:rsid w:val="00F44392"/>
    <w:rsid w:val="00F44482"/>
    <w:rsid w:val="00F44574"/>
    <w:rsid w:val="00F445E4"/>
    <w:rsid w:val="00F44603"/>
    <w:rsid w:val="00F44655"/>
    <w:rsid w:val="00F44789"/>
    <w:rsid w:val="00F447D4"/>
    <w:rsid w:val="00F448CA"/>
    <w:rsid w:val="00F448EC"/>
    <w:rsid w:val="00F4498C"/>
    <w:rsid w:val="00F44A53"/>
    <w:rsid w:val="00F44B1D"/>
    <w:rsid w:val="00F44C17"/>
    <w:rsid w:val="00F44C3F"/>
    <w:rsid w:val="00F44DCE"/>
    <w:rsid w:val="00F44E0C"/>
    <w:rsid w:val="00F4516F"/>
    <w:rsid w:val="00F452E1"/>
    <w:rsid w:val="00F453A1"/>
    <w:rsid w:val="00F4543C"/>
    <w:rsid w:val="00F4559D"/>
    <w:rsid w:val="00F45911"/>
    <w:rsid w:val="00F459BF"/>
    <w:rsid w:val="00F45A78"/>
    <w:rsid w:val="00F45ACC"/>
    <w:rsid w:val="00F45E63"/>
    <w:rsid w:val="00F45E85"/>
    <w:rsid w:val="00F45EFC"/>
    <w:rsid w:val="00F45F19"/>
    <w:rsid w:val="00F45F7F"/>
    <w:rsid w:val="00F45F9E"/>
    <w:rsid w:val="00F46146"/>
    <w:rsid w:val="00F46169"/>
    <w:rsid w:val="00F46198"/>
    <w:rsid w:val="00F462A6"/>
    <w:rsid w:val="00F46343"/>
    <w:rsid w:val="00F4639B"/>
    <w:rsid w:val="00F463E7"/>
    <w:rsid w:val="00F4647B"/>
    <w:rsid w:val="00F46602"/>
    <w:rsid w:val="00F46795"/>
    <w:rsid w:val="00F467D0"/>
    <w:rsid w:val="00F46834"/>
    <w:rsid w:val="00F4692A"/>
    <w:rsid w:val="00F469F2"/>
    <w:rsid w:val="00F46A07"/>
    <w:rsid w:val="00F46A7E"/>
    <w:rsid w:val="00F46BA4"/>
    <w:rsid w:val="00F46C08"/>
    <w:rsid w:val="00F46DB8"/>
    <w:rsid w:val="00F46E2A"/>
    <w:rsid w:val="00F46EC9"/>
    <w:rsid w:val="00F46F33"/>
    <w:rsid w:val="00F46FB8"/>
    <w:rsid w:val="00F4707A"/>
    <w:rsid w:val="00F471B4"/>
    <w:rsid w:val="00F47383"/>
    <w:rsid w:val="00F473EC"/>
    <w:rsid w:val="00F4741A"/>
    <w:rsid w:val="00F4743C"/>
    <w:rsid w:val="00F47656"/>
    <w:rsid w:val="00F47796"/>
    <w:rsid w:val="00F47883"/>
    <w:rsid w:val="00F478A2"/>
    <w:rsid w:val="00F478A6"/>
    <w:rsid w:val="00F479B7"/>
    <w:rsid w:val="00F47AD4"/>
    <w:rsid w:val="00F47AE1"/>
    <w:rsid w:val="00F47B41"/>
    <w:rsid w:val="00F47B4C"/>
    <w:rsid w:val="00F47BF1"/>
    <w:rsid w:val="00F47C17"/>
    <w:rsid w:val="00F47C38"/>
    <w:rsid w:val="00F47D7F"/>
    <w:rsid w:val="00F47DC9"/>
    <w:rsid w:val="00F47E66"/>
    <w:rsid w:val="00F47EB6"/>
    <w:rsid w:val="00F47F5A"/>
    <w:rsid w:val="00F47FF7"/>
    <w:rsid w:val="00F500EF"/>
    <w:rsid w:val="00F5013E"/>
    <w:rsid w:val="00F5014D"/>
    <w:rsid w:val="00F501A7"/>
    <w:rsid w:val="00F502DE"/>
    <w:rsid w:val="00F50604"/>
    <w:rsid w:val="00F50661"/>
    <w:rsid w:val="00F50677"/>
    <w:rsid w:val="00F506AC"/>
    <w:rsid w:val="00F506EF"/>
    <w:rsid w:val="00F5077B"/>
    <w:rsid w:val="00F507B1"/>
    <w:rsid w:val="00F50972"/>
    <w:rsid w:val="00F50A4B"/>
    <w:rsid w:val="00F50DAE"/>
    <w:rsid w:val="00F50DB7"/>
    <w:rsid w:val="00F50E78"/>
    <w:rsid w:val="00F50EDD"/>
    <w:rsid w:val="00F50F32"/>
    <w:rsid w:val="00F51205"/>
    <w:rsid w:val="00F51207"/>
    <w:rsid w:val="00F51346"/>
    <w:rsid w:val="00F51409"/>
    <w:rsid w:val="00F5140D"/>
    <w:rsid w:val="00F514E1"/>
    <w:rsid w:val="00F51707"/>
    <w:rsid w:val="00F517A3"/>
    <w:rsid w:val="00F51AB8"/>
    <w:rsid w:val="00F51AFE"/>
    <w:rsid w:val="00F51B00"/>
    <w:rsid w:val="00F51B54"/>
    <w:rsid w:val="00F51BCD"/>
    <w:rsid w:val="00F51C1D"/>
    <w:rsid w:val="00F51C3D"/>
    <w:rsid w:val="00F51DD7"/>
    <w:rsid w:val="00F51F1F"/>
    <w:rsid w:val="00F51F71"/>
    <w:rsid w:val="00F52021"/>
    <w:rsid w:val="00F52219"/>
    <w:rsid w:val="00F5231A"/>
    <w:rsid w:val="00F523EB"/>
    <w:rsid w:val="00F5242A"/>
    <w:rsid w:val="00F5249A"/>
    <w:rsid w:val="00F52565"/>
    <w:rsid w:val="00F52612"/>
    <w:rsid w:val="00F52669"/>
    <w:rsid w:val="00F52725"/>
    <w:rsid w:val="00F52760"/>
    <w:rsid w:val="00F5283C"/>
    <w:rsid w:val="00F52901"/>
    <w:rsid w:val="00F52B93"/>
    <w:rsid w:val="00F52CF8"/>
    <w:rsid w:val="00F52FD6"/>
    <w:rsid w:val="00F53321"/>
    <w:rsid w:val="00F533B0"/>
    <w:rsid w:val="00F533CF"/>
    <w:rsid w:val="00F53409"/>
    <w:rsid w:val="00F53500"/>
    <w:rsid w:val="00F53561"/>
    <w:rsid w:val="00F535BF"/>
    <w:rsid w:val="00F53861"/>
    <w:rsid w:val="00F538AB"/>
    <w:rsid w:val="00F53970"/>
    <w:rsid w:val="00F53B4D"/>
    <w:rsid w:val="00F53C06"/>
    <w:rsid w:val="00F53C5C"/>
    <w:rsid w:val="00F53C90"/>
    <w:rsid w:val="00F53CAB"/>
    <w:rsid w:val="00F53F85"/>
    <w:rsid w:val="00F5410D"/>
    <w:rsid w:val="00F5412E"/>
    <w:rsid w:val="00F543C7"/>
    <w:rsid w:val="00F54486"/>
    <w:rsid w:val="00F5449C"/>
    <w:rsid w:val="00F54539"/>
    <w:rsid w:val="00F54578"/>
    <w:rsid w:val="00F5459C"/>
    <w:rsid w:val="00F546A6"/>
    <w:rsid w:val="00F5477A"/>
    <w:rsid w:val="00F54813"/>
    <w:rsid w:val="00F54863"/>
    <w:rsid w:val="00F549A8"/>
    <w:rsid w:val="00F54A75"/>
    <w:rsid w:val="00F54B11"/>
    <w:rsid w:val="00F54BC1"/>
    <w:rsid w:val="00F54C65"/>
    <w:rsid w:val="00F54C85"/>
    <w:rsid w:val="00F54C8E"/>
    <w:rsid w:val="00F54D8E"/>
    <w:rsid w:val="00F55044"/>
    <w:rsid w:val="00F552D6"/>
    <w:rsid w:val="00F55368"/>
    <w:rsid w:val="00F55420"/>
    <w:rsid w:val="00F55480"/>
    <w:rsid w:val="00F5554C"/>
    <w:rsid w:val="00F5574A"/>
    <w:rsid w:val="00F557DF"/>
    <w:rsid w:val="00F557F1"/>
    <w:rsid w:val="00F5583A"/>
    <w:rsid w:val="00F5585A"/>
    <w:rsid w:val="00F55C44"/>
    <w:rsid w:val="00F55E61"/>
    <w:rsid w:val="00F55E82"/>
    <w:rsid w:val="00F55F58"/>
    <w:rsid w:val="00F56044"/>
    <w:rsid w:val="00F560B8"/>
    <w:rsid w:val="00F56145"/>
    <w:rsid w:val="00F56251"/>
    <w:rsid w:val="00F56366"/>
    <w:rsid w:val="00F563EF"/>
    <w:rsid w:val="00F56415"/>
    <w:rsid w:val="00F565A3"/>
    <w:rsid w:val="00F56626"/>
    <w:rsid w:val="00F5678C"/>
    <w:rsid w:val="00F5688F"/>
    <w:rsid w:val="00F568B1"/>
    <w:rsid w:val="00F56953"/>
    <w:rsid w:val="00F5699E"/>
    <w:rsid w:val="00F56B44"/>
    <w:rsid w:val="00F56C40"/>
    <w:rsid w:val="00F56D86"/>
    <w:rsid w:val="00F56ECC"/>
    <w:rsid w:val="00F56F9D"/>
    <w:rsid w:val="00F56FA5"/>
    <w:rsid w:val="00F5708C"/>
    <w:rsid w:val="00F570D1"/>
    <w:rsid w:val="00F5712E"/>
    <w:rsid w:val="00F57235"/>
    <w:rsid w:val="00F573AD"/>
    <w:rsid w:val="00F574AE"/>
    <w:rsid w:val="00F5753C"/>
    <w:rsid w:val="00F575A6"/>
    <w:rsid w:val="00F5770B"/>
    <w:rsid w:val="00F57775"/>
    <w:rsid w:val="00F577B9"/>
    <w:rsid w:val="00F578A6"/>
    <w:rsid w:val="00F57ABB"/>
    <w:rsid w:val="00F57B87"/>
    <w:rsid w:val="00F57CD3"/>
    <w:rsid w:val="00F57EDC"/>
    <w:rsid w:val="00F57FCC"/>
    <w:rsid w:val="00F60285"/>
    <w:rsid w:val="00F602FF"/>
    <w:rsid w:val="00F603D9"/>
    <w:rsid w:val="00F603E2"/>
    <w:rsid w:val="00F60435"/>
    <w:rsid w:val="00F60730"/>
    <w:rsid w:val="00F6075E"/>
    <w:rsid w:val="00F608DF"/>
    <w:rsid w:val="00F608E5"/>
    <w:rsid w:val="00F60A24"/>
    <w:rsid w:val="00F60FB1"/>
    <w:rsid w:val="00F6111A"/>
    <w:rsid w:val="00F61379"/>
    <w:rsid w:val="00F613A6"/>
    <w:rsid w:val="00F61410"/>
    <w:rsid w:val="00F61511"/>
    <w:rsid w:val="00F616B6"/>
    <w:rsid w:val="00F616D3"/>
    <w:rsid w:val="00F61738"/>
    <w:rsid w:val="00F619A7"/>
    <w:rsid w:val="00F61A05"/>
    <w:rsid w:val="00F61A0E"/>
    <w:rsid w:val="00F61B46"/>
    <w:rsid w:val="00F61D37"/>
    <w:rsid w:val="00F61D4E"/>
    <w:rsid w:val="00F61E55"/>
    <w:rsid w:val="00F61EB1"/>
    <w:rsid w:val="00F61F03"/>
    <w:rsid w:val="00F61F29"/>
    <w:rsid w:val="00F61FFE"/>
    <w:rsid w:val="00F621AD"/>
    <w:rsid w:val="00F62308"/>
    <w:rsid w:val="00F62460"/>
    <w:rsid w:val="00F6255D"/>
    <w:rsid w:val="00F6268D"/>
    <w:rsid w:val="00F626C0"/>
    <w:rsid w:val="00F62834"/>
    <w:rsid w:val="00F6296B"/>
    <w:rsid w:val="00F62A16"/>
    <w:rsid w:val="00F62AB7"/>
    <w:rsid w:val="00F62C80"/>
    <w:rsid w:val="00F62E7B"/>
    <w:rsid w:val="00F63035"/>
    <w:rsid w:val="00F6305F"/>
    <w:rsid w:val="00F631E9"/>
    <w:rsid w:val="00F632A2"/>
    <w:rsid w:val="00F632D7"/>
    <w:rsid w:val="00F63464"/>
    <w:rsid w:val="00F63479"/>
    <w:rsid w:val="00F63593"/>
    <w:rsid w:val="00F63716"/>
    <w:rsid w:val="00F63776"/>
    <w:rsid w:val="00F637E1"/>
    <w:rsid w:val="00F6392E"/>
    <w:rsid w:val="00F639C6"/>
    <w:rsid w:val="00F639E5"/>
    <w:rsid w:val="00F63B1F"/>
    <w:rsid w:val="00F63B4C"/>
    <w:rsid w:val="00F63C03"/>
    <w:rsid w:val="00F63E56"/>
    <w:rsid w:val="00F63F8E"/>
    <w:rsid w:val="00F6421D"/>
    <w:rsid w:val="00F64270"/>
    <w:rsid w:val="00F642A7"/>
    <w:rsid w:val="00F64334"/>
    <w:rsid w:val="00F6440B"/>
    <w:rsid w:val="00F645AA"/>
    <w:rsid w:val="00F6469C"/>
    <w:rsid w:val="00F647C9"/>
    <w:rsid w:val="00F64826"/>
    <w:rsid w:val="00F64A36"/>
    <w:rsid w:val="00F64ADC"/>
    <w:rsid w:val="00F64C76"/>
    <w:rsid w:val="00F64CB1"/>
    <w:rsid w:val="00F64DF8"/>
    <w:rsid w:val="00F64EF5"/>
    <w:rsid w:val="00F65043"/>
    <w:rsid w:val="00F651A9"/>
    <w:rsid w:val="00F651AD"/>
    <w:rsid w:val="00F6521B"/>
    <w:rsid w:val="00F652BB"/>
    <w:rsid w:val="00F6535A"/>
    <w:rsid w:val="00F65395"/>
    <w:rsid w:val="00F6546B"/>
    <w:rsid w:val="00F654BB"/>
    <w:rsid w:val="00F654C6"/>
    <w:rsid w:val="00F65515"/>
    <w:rsid w:val="00F6554F"/>
    <w:rsid w:val="00F655E8"/>
    <w:rsid w:val="00F65634"/>
    <w:rsid w:val="00F6566A"/>
    <w:rsid w:val="00F657EA"/>
    <w:rsid w:val="00F65970"/>
    <w:rsid w:val="00F659C5"/>
    <w:rsid w:val="00F65A16"/>
    <w:rsid w:val="00F65BF8"/>
    <w:rsid w:val="00F65DC3"/>
    <w:rsid w:val="00F65E88"/>
    <w:rsid w:val="00F65EB7"/>
    <w:rsid w:val="00F65F3F"/>
    <w:rsid w:val="00F65FAC"/>
    <w:rsid w:val="00F66002"/>
    <w:rsid w:val="00F66031"/>
    <w:rsid w:val="00F660EF"/>
    <w:rsid w:val="00F6615B"/>
    <w:rsid w:val="00F6619F"/>
    <w:rsid w:val="00F6624A"/>
    <w:rsid w:val="00F6687C"/>
    <w:rsid w:val="00F66895"/>
    <w:rsid w:val="00F669D0"/>
    <w:rsid w:val="00F66A61"/>
    <w:rsid w:val="00F66A6C"/>
    <w:rsid w:val="00F66C5E"/>
    <w:rsid w:val="00F66C9C"/>
    <w:rsid w:val="00F66CA9"/>
    <w:rsid w:val="00F66D25"/>
    <w:rsid w:val="00F66D3C"/>
    <w:rsid w:val="00F66D85"/>
    <w:rsid w:val="00F66E05"/>
    <w:rsid w:val="00F66E6E"/>
    <w:rsid w:val="00F66F2E"/>
    <w:rsid w:val="00F66FE0"/>
    <w:rsid w:val="00F6724E"/>
    <w:rsid w:val="00F6726A"/>
    <w:rsid w:val="00F6726C"/>
    <w:rsid w:val="00F674A4"/>
    <w:rsid w:val="00F675CD"/>
    <w:rsid w:val="00F6771E"/>
    <w:rsid w:val="00F67784"/>
    <w:rsid w:val="00F677CB"/>
    <w:rsid w:val="00F678F0"/>
    <w:rsid w:val="00F6795B"/>
    <w:rsid w:val="00F67A91"/>
    <w:rsid w:val="00F67B34"/>
    <w:rsid w:val="00F67BEC"/>
    <w:rsid w:val="00F67C6F"/>
    <w:rsid w:val="00F67C77"/>
    <w:rsid w:val="00F67EED"/>
    <w:rsid w:val="00F67F2C"/>
    <w:rsid w:val="00F67F71"/>
    <w:rsid w:val="00F7001D"/>
    <w:rsid w:val="00F70023"/>
    <w:rsid w:val="00F70081"/>
    <w:rsid w:val="00F700ED"/>
    <w:rsid w:val="00F70119"/>
    <w:rsid w:val="00F7015C"/>
    <w:rsid w:val="00F701A7"/>
    <w:rsid w:val="00F7042D"/>
    <w:rsid w:val="00F70471"/>
    <w:rsid w:val="00F70874"/>
    <w:rsid w:val="00F708C5"/>
    <w:rsid w:val="00F7091D"/>
    <w:rsid w:val="00F70A92"/>
    <w:rsid w:val="00F70AED"/>
    <w:rsid w:val="00F70B50"/>
    <w:rsid w:val="00F70BD4"/>
    <w:rsid w:val="00F70C4E"/>
    <w:rsid w:val="00F70C58"/>
    <w:rsid w:val="00F70CF6"/>
    <w:rsid w:val="00F70E32"/>
    <w:rsid w:val="00F70EA2"/>
    <w:rsid w:val="00F70F59"/>
    <w:rsid w:val="00F7101B"/>
    <w:rsid w:val="00F7125C"/>
    <w:rsid w:val="00F71375"/>
    <w:rsid w:val="00F713F3"/>
    <w:rsid w:val="00F714A0"/>
    <w:rsid w:val="00F71594"/>
    <w:rsid w:val="00F71780"/>
    <w:rsid w:val="00F71A72"/>
    <w:rsid w:val="00F71B18"/>
    <w:rsid w:val="00F71BDC"/>
    <w:rsid w:val="00F71C61"/>
    <w:rsid w:val="00F71D65"/>
    <w:rsid w:val="00F71F01"/>
    <w:rsid w:val="00F71F3F"/>
    <w:rsid w:val="00F71FAA"/>
    <w:rsid w:val="00F71FD2"/>
    <w:rsid w:val="00F71FF8"/>
    <w:rsid w:val="00F72034"/>
    <w:rsid w:val="00F72080"/>
    <w:rsid w:val="00F720AD"/>
    <w:rsid w:val="00F72234"/>
    <w:rsid w:val="00F724E9"/>
    <w:rsid w:val="00F7255A"/>
    <w:rsid w:val="00F7255E"/>
    <w:rsid w:val="00F72571"/>
    <w:rsid w:val="00F72596"/>
    <w:rsid w:val="00F72642"/>
    <w:rsid w:val="00F7267B"/>
    <w:rsid w:val="00F726E3"/>
    <w:rsid w:val="00F7272B"/>
    <w:rsid w:val="00F72866"/>
    <w:rsid w:val="00F72911"/>
    <w:rsid w:val="00F72A39"/>
    <w:rsid w:val="00F72D0D"/>
    <w:rsid w:val="00F72D4A"/>
    <w:rsid w:val="00F72E95"/>
    <w:rsid w:val="00F72EA8"/>
    <w:rsid w:val="00F7312E"/>
    <w:rsid w:val="00F73196"/>
    <w:rsid w:val="00F731D5"/>
    <w:rsid w:val="00F73228"/>
    <w:rsid w:val="00F73369"/>
    <w:rsid w:val="00F73432"/>
    <w:rsid w:val="00F73496"/>
    <w:rsid w:val="00F7365F"/>
    <w:rsid w:val="00F7378B"/>
    <w:rsid w:val="00F737B4"/>
    <w:rsid w:val="00F73B2A"/>
    <w:rsid w:val="00F73B2F"/>
    <w:rsid w:val="00F73BE4"/>
    <w:rsid w:val="00F73C56"/>
    <w:rsid w:val="00F73DAF"/>
    <w:rsid w:val="00F7404D"/>
    <w:rsid w:val="00F74066"/>
    <w:rsid w:val="00F74101"/>
    <w:rsid w:val="00F74153"/>
    <w:rsid w:val="00F74197"/>
    <w:rsid w:val="00F7435C"/>
    <w:rsid w:val="00F744B8"/>
    <w:rsid w:val="00F7451E"/>
    <w:rsid w:val="00F7487C"/>
    <w:rsid w:val="00F7497C"/>
    <w:rsid w:val="00F74A1C"/>
    <w:rsid w:val="00F74A68"/>
    <w:rsid w:val="00F74ABB"/>
    <w:rsid w:val="00F74AD0"/>
    <w:rsid w:val="00F74B43"/>
    <w:rsid w:val="00F74B72"/>
    <w:rsid w:val="00F74C21"/>
    <w:rsid w:val="00F74C4B"/>
    <w:rsid w:val="00F74C51"/>
    <w:rsid w:val="00F74C6E"/>
    <w:rsid w:val="00F74D4F"/>
    <w:rsid w:val="00F74D92"/>
    <w:rsid w:val="00F74DC2"/>
    <w:rsid w:val="00F74DE5"/>
    <w:rsid w:val="00F75105"/>
    <w:rsid w:val="00F75183"/>
    <w:rsid w:val="00F75194"/>
    <w:rsid w:val="00F7539C"/>
    <w:rsid w:val="00F753A4"/>
    <w:rsid w:val="00F7541B"/>
    <w:rsid w:val="00F75457"/>
    <w:rsid w:val="00F75467"/>
    <w:rsid w:val="00F75494"/>
    <w:rsid w:val="00F75601"/>
    <w:rsid w:val="00F756CA"/>
    <w:rsid w:val="00F7573B"/>
    <w:rsid w:val="00F757CB"/>
    <w:rsid w:val="00F75853"/>
    <w:rsid w:val="00F75A66"/>
    <w:rsid w:val="00F75BC4"/>
    <w:rsid w:val="00F75EA9"/>
    <w:rsid w:val="00F7607E"/>
    <w:rsid w:val="00F76464"/>
    <w:rsid w:val="00F76555"/>
    <w:rsid w:val="00F76707"/>
    <w:rsid w:val="00F76755"/>
    <w:rsid w:val="00F76796"/>
    <w:rsid w:val="00F76799"/>
    <w:rsid w:val="00F76852"/>
    <w:rsid w:val="00F7685E"/>
    <w:rsid w:val="00F7686D"/>
    <w:rsid w:val="00F7688B"/>
    <w:rsid w:val="00F7691A"/>
    <w:rsid w:val="00F76ABA"/>
    <w:rsid w:val="00F76B1C"/>
    <w:rsid w:val="00F76DCB"/>
    <w:rsid w:val="00F76DD8"/>
    <w:rsid w:val="00F76E79"/>
    <w:rsid w:val="00F76EE0"/>
    <w:rsid w:val="00F77022"/>
    <w:rsid w:val="00F77153"/>
    <w:rsid w:val="00F77390"/>
    <w:rsid w:val="00F773A3"/>
    <w:rsid w:val="00F773D3"/>
    <w:rsid w:val="00F77604"/>
    <w:rsid w:val="00F7789F"/>
    <w:rsid w:val="00F77925"/>
    <w:rsid w:val="00F7798F"/>
    <w:rsid w:val="00F77AE6"/>
    <w:rsid w:val="00F77C80"/>
    <w:rsid w:val="00F77CA8"/>
    <w:rsid w:val="00F77CB6"/>
    <w:rsid w:val="00F77E32"/>
    <w:rsid w:val="00F77E5D"/>
    <w:rsid w:val="00F77EA7"/>
    <w:rsid w:val="00F77EDD"/>
    <w:rsid w:val="00F77F00"/>
    <w:rsid w:val="00F77F0C"/>
    <w:rsid w:val="00F77F1F"/>
    <w:rsid w:val="00F77FD4"/>
    <w:rsid w:val="00F8006E"/>
    <w:rsid w:val="00F80093"/>
    <w:rsid w:val="00F80177"/>
    <w:rsid w:val="00F802A7"/>
    <w:rsid w:val="00F80332"/>
    <w:rsid w:val="00F80408"/>
    <w:rsid w:val="00F805CD"/>
    <w:rsid w:val="00F80619"/>
    <w:rsid w:val="00F8064D"/>
    <w:rsid w:val="00F806B4"/>
    <w:rsid w:val="00F808B3"/>
    <w:rsid w:val="00F80969"/>
    <w:rsid w:val="00F80A90"/>
    <w:rsid w:val="00F80A93"/>
    <w:rsid w:val="00F80AA4"/>
    <w:rsid w:val="00F80B34"/>
    <w:rsid w:val="00F80B58"/>
    <w:rsid w:val="00F80B69"/>
    <w:rsid w:val="00F80B81"/>
    <w:rsid w:val="00F80C1A"/>
    <w:rsid w:val="00F80E1F"/>
    <w:rsid w:val="00F81183"/>
    <w:rsid w:val="00F811AE"/>
    <w:rsid w:val="00F811B9"/>
    <w:rsid w:val="00F8140B"/>
    <w:rsid w:val="00F8142A"/>
    <w:rsid w:val="00F814D8"/>
    <w:rsid w:val="00F81701"/>
    <w:rsid w:val="00F818D9"/>
    <w:rsid w:val="00F81993"/>
    <w:rsid w:val="00F8199A"/>
    <w:rsid w:val="00F819BD"/>
    <w:rsid w:val="00F81B0B"/>
    <w:rsid w:val="00F81BBC"/>
    <w:rsid w:val="00F81CE1"/>
    <w:rsid w:val="00F81DB5"/>
    <w:rsid w:val="00F81EBE"/>
    <w:rsid w:val="00F81F4C"/>
    <w:rsid w:val="00F8203E"/>
    <w:rsid w:val="00F82076"/>
    <w:rsid w:val="00F82092"/>
    <w:rsid w:val="00F82488"/>
    <w:rsid w:val="00F824BC"/>
    <w:rsid w:val="00F82700"/>
    <w:rsid w:val="00F82819"/>
    <w:rsid w:val="00F828B6"/>
    <w:rsid w:val="00F828DD"/>
    <w:rsid w:val="00F8297F"/>
    <w:rsid w:val="00F829C3"/>
    <w:rsid w:val="00F82A61"/>
    <w:rsid w:val="00F82B1F"/>
    <w:rsid w:val="00F82B3E"/>
    <w:rsid w:val="00F82CE4"/>
    <w:rsid w:val="00F82CF8"/>
    <w:rsid w:val="00F82D5C"/>
    <w:rsid w:val="00F82D76"/>
    <w:rsid w:val="00F82E13"/>
    <w:rsid w:val="00F82EE5"/>
    <w:rsid w:val="00F82F88"/>
    <w:rsid w:val="00F83236"/>
    <w:rsid w:val="00F83313"/>
    <w:rsid w:val="00F833C7"/>
    <w:rsid w:val="00F8351A"/>
    <w:rsid w:val="00F835E5"/>
    <w:rsid w:val="00F83638"/>
    <w:rsid w:val="00F83651"/>
    <w:rsid w:val="00F83667"/>
    <w:rsid w:val="00F837F7"/>
    <w:rsid w:val="00F839B3"/>
    <w:rsid w:val="00F83BFE"/>
    <w:rsid w:val="00F83C6B"/>
    <w:rsid w:val="00F83D0A"/>
    <w:rsid w:val="00F83E09"/>
    <w:rsid w:val="00F83EC5"/>
    <w:rsid w:val="00F8402E"/>
    <w:rsid w:val="00F840BC"/>
    <w:rsid w:val="00F84215"/>
    <w:rsid w:val="00F84223"/>
    <w:rsid w:val="00F842D5"/>
    <w:rsid w:val="00F842D7"/>
    <w:rsid w:val="00F845AF"/>
    <w:rsid w:val="00F8478D"/>
    <w:rsid w:val="00F847A0"/>
    <w:rsid w:val="00F84828"/>
    <w:rsid w:val="00F84872"/>
    <w:rsid w:val="00F84925"/>
    <w:rsid w:val="00F849C8"/>
    <w:rsid w:val="00F849F0"/>
    <w:rsid w:val="00F84BF7"/>
    <w:rsid w:val="00F84C4F"/>
    <w:rsid w:val="00F84C61"/>
    <w:rsid w:val="00F84C8B"/>
    <w:rsid w:val="00F84C9E"/>
    <w:rsid w:val="00F84DBD"/>
    <w:rsid w:val="00F84FE9"/>
    <w:rsid w:val="00F8505D"/>
    <w:rsid w:val="00F8514F"/>
    <w:rsid w:val="00F8516B"/>
    <w:rsid w:val="00F8520E"/>
    <w:rsid w:val="00F852D7"/>
    <w:rsid w:val="00F8566C"/>
    <w:rsid w:val="00F85707"/>
    <w:rsid w:val="00F85737"/>
    <w:rsid w:val="00F85893"/>
    <w:rsid w:val="00F858C8"/>
    <w:rsid w:val="00F8595B"/>
    <w:rsid w:val="00F85E71"/>
    <w:rsid w:val="00F85EAB"/>
    <w:rsid w:val="00F85FAC"/>
    <w:rsid w:val="00F85FB4"/>
    <w:rsid w:val="00F86115"/>
    <w:rsid w:val="00F861B3"/>
    <w:rsid w:val="00F861D5"/>
    <w:rsid w:val="00F862EE"/>
    <w:rsid w:val="00F8644E"/>
    <w:rsid w:val="00F865EE"/>
    <w:rsid w:val="00F86622"/>
    <w:rsid w:val="00F86649"/>
    <w:rsid w:val="00F8668D"/>
    <w:rsid w:val="00F866BE"/>
    <w:rsid w:val="00F867E9"/>
    <w:rsid w:val="00F86824"/>
    <w:rsid w:val="00F8684A"/>
    <w:rsid w:val="00F8694F"/>
    <w:rsid w:val="00F8698D"/>
    <w:rsid w:val="00F86ABD"/>
    <w:rsid w:val="00F86CFC"/>
    <w:rsid w:val="00F86DC7"/>
    <w:rsid w:val="00F86DE1"/>
    <w:rsid w:val="00F86DF5"/>
    <w:rsid w:val="00F86E0B"/>
    <w:rsid w:val="00F86EA1"/>
    <w:rsid w:val="00F86EBD"/>
    <w:rsid w:val="00F870A6"/>
    <w:rsid w:val="00F871B4"/>
    <w:rsid w:val="00F872C2"/>
    <w:rsid w:val="00F87476"/>
    <w:rsid w:val="00F87502"/>
    <w:rsid w:val="00F875C2"/>
    <w:rsid w:val="00F875F3"/>
    <w:rsid w:val="00F876C0"/>
    <w:rsid w:val="00F876E0"/>
    <w:rsid w:val="00F876E3"/>
    <w:rsid w:val="00F878FB"/>
    <w:rsid w:val="00F87900"/>
    <w:rsid w:val="00F879F2"/>
    <w:rsid w:val="00F87AD4"/>
    <w:rsid w:val="00F87BB3"/>
    <w:rsid w:val="00F87BBC"/>
    <w:rsid w:val="00F87C71"/>
    <w:rsid w:val="00F87E93"/>
    <w:rsid w:val="00F87EF8"/>
    <w:rsid w:val="00F87F5B"/>
    <w:rsid w:val="00F87FBE"/>
    <w:rsid w:val="00F87FDC"/>
    <w:rsid w:val="00F9006E"/>
    <w:rsid w:val="00F90156"/>
    <w:rsid w:val="00F901A4"/>
    <w:rsid w:val="00F9029B"/>
    <w:rsid w:val="00F90412"/>
    <w:rsid w:val="00F90688"/>
    <w:rsid w:val="00F90847"/>
    <w:rsid w:val="00F908A1"/>
    <w:rsid w:val="00F908B4"/>
    <w:rsid w:val="00F90952"/>
    <w:rsid w:val="00F90958"/>
    <w:rsid w:val="00F90988"/>
    <w:rsid w:val="00F909E0"/>
    <w:rsid w:val="00F90BB9"/>
    <w:rsid w:val="00F90C40"/>
    <w:rsid w:val="00F90DA4"/>
    <w:rsid w:val="00F90E5F"/>
    <w:rsid w:val="00F90FB6"/>
    <w:rsid w:val="00F91017"/>
    <w:rsid w:val="00F9113D"/>
    <w:rsid w:val="00F9119D"/>
    <w:rsid w:val="00F91350"/>
    <w:rsid w:val="00F9150E"/>
    <w:rsid w:val="00F91534"/>
    <w:rsid w:val="00F915DE"/>
    <w:rsid w:val="00F91617"/>
    <w:rsid w:val="00F9167F"/>
    <w:rsid w:val="00F916F7"/>
    <w:rsid w:val="00F91732"/>
    <w:rsid w:val="00F918FC"/>
    <w:rsid w:val="00F91923"/>
    <w:rsid w:val="00F91994"/>
    <w:rsid w:val="00F91B06"/>
    <w:rsid w:val="00F91B5F"/>
    <w:rsid w:val="00F91B66"/>
    <w:rsid w:val="00F91BCD"/>
    <w:rsid w:val="00F91C3D"/>
    <w:rsid w:val="00F91DA7"/>
    <w:rsid w:val="00F91E6C"/>
    <w:rsid w:val="00F91ED0"/>
    <w:rsid w:val="00F91FAC"/>
    <w:rsid w:val="00F91FB0"/>
    <w:rsid w:val="00F9211D"/>
    <w:rsid w:val="00F922F7"/>
    <w:rsid w:val="00F9232C"/>
    <w:rsid w:val="00F926B7"/>
    <w:rsid w:val="00F926D3"/>
    <w:rsid w:val="00F92856"/>
    <w:rsid w:val="00F9288D"/>
    <w:rsid w:val="00F9289C"/>
    <w:rsid w:val="00F9289E"/>
    <w:rsid w:val="00F929C8"/>
    <w:rsid w:val="00F92B28"/>
    <w:rsid w:val="00F92C51"/>
    <w:rsid w:val="00F92F17"/>
    <w:rsid w:val="00F92FAD"/>
    <w:rsid w:val="00F930EB"/>
    <w:rsid w:val="00F93204"/>
    <w:rsid w:val="00F93248"/>
    <w:rsid w:val="00F9336F"/>
    <w:rsid w:val="00F933F4"/>
    <w:rsid w:val="00F93571"/>
    <w:rsid w:val="00F935D2"/>
    <w:rsid w:val="00F9368A"/>
    <w:rsid w:val="00F937D0"/>
    <w:rsid w:val="00F93834"/>
    <w:rsid w:val="00F93865"/>
    <w:rsid w:val="00F938D9"/>
    <w:rsid w:val="00F938EC"/>
    <w:rsid w:val="00F93955"/>
    <w:rsid w:val="00F9398C"/>
    <w:rsid w:val="00F93AF0"/>
    <w:rsid w:val="00F93B72"/>
    <w:rsid w:val="00F93C86"/>
    <w:rsid w:val="00F93D66"/>
    <w:rsid w:val="00F93DC8"/>
    <w:rsid w:val="00F93DCC"/>
    <w:rsid w:val="00F93E03"/>
    <w:rsid w:val="00F93E56"/>
    <w:rsid w:val="00F94047"/>
    <w:rsid w:val="00F94053"/>
    <w:rsid w:val="00F94122"/>
    <w:rsid w:val="00F941FC"/>
    <w:rsid w:val="00F9420B"/>
    <w:rsid w:val="00F9439A"/>
    <w:rsid w:val="00F94567"/>
    <w:rsid w:val="00F94A24"/>
    <w:rsid w:val="00F94C0E"/>
    <w:rsid w:val="00F94C29"/>
    <w:rsid w:val="00F94C32"/>
    <w:rsid w:val="00F94E2B"/>
    <w:rsid w:val="00F94E6A"/>
    <w:rsid w:val="00F94EDA"/>
    <w:rsid w:val="00F95025"/>
    <w:rsid w:val="00F95033"/>
    <w:rsid w:val="00F951A1"/>
    <w:rsid w:val="00F9526B"/>
    <w:rsid w:val="00F9565A"/>
    <w:rsid w:val="00F9577E"/>
    <w:rsid w:val="00F9596E"/>
    <w:rsid w:val="00F95AE3"/>
    <w:rsid w:val="00F95BB4"/>
    <w:rsid w:val="00F95BDE"/>
    <w:rsid w:val="00F95BEB"/>
    <w:rsid w:val="00F95D89"/>
    <w:rsid w:val="00F95F7D"/>
    <w:rsid w:val="00F95F94"/>
    <w:rsid w:val="00F9610C"/>
    <w:rsid w:val="00F96183"/>
    <w:rsid w:val="00F961F7"/>
    <w:rsid w:val="00F9629A"/>
    <w:rsid w:val="00F962EF"/>
    <w:rsid w:val="00F96318"/>
    <w:rsid w:val="00F9636F"/>
    <w:rsid w:val="00F963C2"/>
    <w:rsid w:val="00F964AE"/>
    <w:rsid w:val="00F964FD"/>
    <w:rsid w:val="00F96570"/>
    <w:rsid w:val="00F965A9"/>
    <w:rsid w:val="00F966CB"/>
    <w:rsid w:val="00F9674F"/>
    <w:rsid w:val="00F967CE"/>
    <w:rsid w:val="00F9681C"/>
    <w:rsid w:val="00F968A2"/>
    <w:rsid w:val="00F9694B"/>
    <w:rsid w:val="00F96A31"/>
    <w:rsid w:val="00F96ACA"/>
    <w:rsid w:val="00F96B2A"/>
    <w:rsid w:val="00F96CA6"/>
    <w:rsid w:val="00F96D4C"/>
    <w:rsid w:val="00F96DA2"/>
    <w:rsid w:val="00F96FD6"/>
    <w:rsid w:val="00F97067"/>
    <w:rsid w:val="00F9707E"/>
    <w:rsid w:val="00F97175"/>
    <w:rsid w:val="00F97181"/>
    <w:rsid w:val="00F971BF"/>
    <w:rsid w:val="00F97333"/>
    <w:rsid w:val="00F9736D"/>
    <w:rsid w:val="00F973D6"/>
    <w:rsid w:val="00F973D7"/>
    <w:rsid w:val="00F9750F"/>
    <w:rsid w:val="00F97575"/>
    <w:rsid w:val="00F97587"/>
    <w:rsid w:val="00F97627"/>
    <w:rsid w:val="00F977AB"/>
    <w:rsid w:val="00F977E6"/>
    <w:rsid w:val="00F9783F"/>
    <w:rsid w:val="00F979C7"/>
    <w:rsid w:val="00F97A28"/>
    <w:rsid w:val="00F97A72"/>
    <w:rsid w:val="00F97A83"/>
    <w:rsid w:val="00F97ADE"/>
    <w:rsid w:val="00F97BEC"/>
    <w:rsid w:val="00F97CC5"/>
    <w:rsid w:val="00F97D35"/>
    <w:rsid w:val="00F97DEB"/>
    <w:rsid w:val="00F97E00"/>
    <w:rsid w:val="00FA0149"/>
    <w:rsid w:val="00FA0211"/>
    <w:rsid w:val="00FA022B"/>
    <w:rsid w:val="00FA0318"/>
    <w:rsid w:val="00FA036C"/>
    <w:rsid w:val="00FA04F4"/>
    <w:rsid w:val="00FA05DF"/>
    <w:rsid w:val="00FA063D"/>
    <w:rsid w:val="00FA065D"/>
    <w:rsid w:val="00FA06A5"/>
    <w:rsid w:val="00FA07AE"/>
    <w:rsid w:val="00FA0807"/>
    <w:rsid w:val="00FA098E"/>
    <w:rsid w:val="00FA0996"/>
    <w:rsid w:val="00FA0A20"/>
    <w:rsid w:val="00FA0A81"/>
    <w:rsid w:val="00FA0B75"/>
    <w:rsid w:val="00FA0BAF"/>
    <w:rsid w:val="00FA0C6F"/>
    <w:rsid w:val="00FA0D63"/>
    <w:rsid w:val="00FA0DF6"/>
    <w:rsid w:val="00FA0E08"/>
    <w:rsid w:val="00FA0F48"/>
    <w:rsid w:val="00FA0FCC"/>
    <w:rsid w:val="00FA104A"/>
    <w:rsid w:val="00FA10FD"/>
    <w:rsid w:val="00FA1123"/>
    <w:rsid w:val="00FA1161"/>
    <w:rsid w:val="00FA1166"/>
    <w:rsid w:val="00FA123D"/>
    <w:rsid w:val="00FA12CF"/>
    <w:rsid w:val="00FA13EE"/>
    <w:rsid w:val="00FA1400"/>
    <w:rsid w:val="00FA1446"/>
    <w:rsid w:val="00FA1462"/>
    <w:rsid w:val="00FA1928"/>
    <w:rsid w:val="00FA197A"/>
    <w:rsid w:val="00FA1A25"/>
    <w:rsid w:val="00FA1A63"/>
    <w:rsid w:val="00FA1A7C"/>
    <w:rsid w:val="00FA1B10"/>
    <w:rsid w:val="00FA1B71"/>
    <w:rsid w:val="00FA1CC9"/>
    <w:rsid w:val="00FA1CE9"/>
    <w:rsid w:val="00FA1DAE"/>
    <w:rsid w:val="00FA1F33"/>
    <w:rsid w:val="00FA211B"/>
    <w:rsid w:val="00FA21E6"/>
    <w:rsid w:val="00FA23B7"/>
    <w:rsid w:val="00FA2406"/>
    <w:rsid w:val="00FA2424"/>
    <w:rsid w:val="00FA25A1"/>
    <w:rsid w:val="00FA264C"/>
    <w:rsid w:val="00FA2658"/>
    <w:rsid w:val="00FA2745"/>
    <w:rsid w:val="00FA29D5"/>
    <w:rsid w:val="00FA29F4"/>
    <w:rsid w:val="00FA2BFA"/>
    <w:rsid w:val="00FA2CA0"/>
    <w:rsid w:val="00FA2D23"/>
    <w:rsid w:val="00FA2D91"/>
    <w:rsid w:val="00FA2EC9"/>
    <w:rsid w:val="00FA2F4D"/>
    <w:rsid w:val="00FA2F53"/>
    <w:rsid w:val="00FA2F5C"/>
    <w:rsid w:val="00FA30EA"/>
    <w:rsid w:val="00FA328A"/>
    <w:rsid w:val="00FA32AF"/>
    <w:rsid w:val="00FA32B5"/>
    <w:rsid w:val="00FA3325"/>
    <w:rsid w:val="00FA3590"/>
    <w:rsid w:val="00FA377F"/>
    <w:rsid w:val="00FA37BE"/>
    <w:rsid w:val="00FA37C8"/>
    <w:rsid w:val="00FA3913"/>
    <w:rsid w:val="00FA3ADD"/>
    <w:rsid w:val="00FA3B41"/>
    <w:rsid w:val="00FA3D2D"/>
    <w:rsid w:val="00FA3DE5"/>
    <w:rsid w:val="00FA3F89"/>
    <w:rsid w:val="00FA3FBD"/>
    <w:rsid w:val="00FA400B"/>
    <w:rsid w:val="00FA409F"/>
    <w:rsid w:val="00FA412B"/>
    <w:rsid w:val="00FA4384"/>
    <w:rsid w:val="00FA4448"/>
    <w:rsid w:val="00FA44B3"/>
    <w:rsid w:val="00FA457F"/>
    <w:rsid w:val="00FA4730"/>
    <w:rsid w:val="00FA4819"/>
    <w:rsid w:val="00FA48C7"/>
    <w:rsid w:val="00FA4961"/>
    <w:rsid w:val="00FA496F"/>
    <w:rsid w:val="00FA4C26"/>
    <w:rsid w:val="00FA4CA8"/>
    <w:rsid w:val="00FA4D5F"/>
    <w:rsid w:val="00FA4E07"/>
    <w:rsid w:val="00FA4EDF"/>
    <w:rsid w:val="00FA4EE2"/>
    <w:rsid w:val="00FA50DE"/>
    <w:rsid w:val="00FA50ED"/>
    <w:rsid w:val="00FA5205"/>
    <w:rsid w:val="00FA52DB"/>
    <w:rsid w:val="00FA53E1"/>
    <w:rsid w:val="00FA5404"/>
    <w:rsid w:val="00FA556A"/>
    <w:rsid w:val="00FA5659"/>
    <w:rsid w:val="00FA5665"/>
    <w:rsid w:val="00FA5729"/>
    <w:rsid w:val="00FA57DC"/>
    <w:rsid w:val="00FA5899"/>
    <w:rsid w:val="00FA5A00"/>
    <w:rsid w:val="00FA5B94"/>
    <w:rsid w:val="00FA5C37"/>
    <w:rsid w:val="00FA5CD3"/>
    <w:rsid w:val="00FA5DEE"/>
    <w:rsid w:val="00FA5E76"/>
    <w:rsid w:val="00FA5EC4"/>
    <w:rsid w:val="00FA611D"/>
    <w:rsid w:val="00FA622A"/>
    <w:rsid w:val="00FA63C5"/>
    <w:rsid w:val="00FA63F1"/>
    <w:rsid w:val="00FA68D9"/>
    <w:rsid w:val="00FA6910"/>
    <w:rsid w:val="00FA69BE"/>
    <w:rsid w:val="00FA6A7A"/>
    <w:rsid w:val="00FA6D33"/>
    <w:rsid w:val="00FA6DAA"/>
    <w:rsid w:val="00FA6EC4"/>
    <w:rsid w:val="00FA6EFB"/>
    <w:rsid w:val="00FA6F09"/>
    <w:rsid w:val="00FA6F94"/>
    <w:rsid w:val="00FA704B"/>
    <w:rsid w:val="00FA7179"/>
    <w:rsid w:val="00FA71AB"/>
    <w:rsid w:val="00FA7375"/>
    <w:rsid w:val="00FA73E2"/>
    <w:rsid w:val="00FA73E4"/>
    <w:rsid w:val="00FA7402"/>
    <w:rsid w:val="00FA753B"/>
    <w:rsid w:val="00FA7648"/>
    <w:rsid w:val="00FA7783"/>
    <w:rsid w:val="00FA77A5"/>
    <w:rsid w:val="00FA78D8"/>
    <w:rsid w:val="00FA796E"/>
    <w:rsid w:val="00FA79C8"/>
    <w:rsid w:val="00FA7A58"/>
    <w:rsid w:val="00FA7C22"/>
    <w:rsid w:val="00FA7C4C"/>
    <w:rsid w:val="00FA7D34"/>
    <w:rsid w:val="00FB017A"/>
    <w:rsid w:val="00FB01D8"/>
    <w:rsid w:val="00FB025A"/>
    <w:rsid w:val="00FB02CB"/>
    <w:rsid w:val="00FB02DB"/>
    <w:rsid w:val="00FB032F"/>
    <w:rsid w:val="00FB0662"/>
    <w:rsid w:val="00FB06CC"/>
    <w:rsid w:val="00FB0817"/>
    <w:rsid w:val="00FB0A16"/>
    <w:rsid w:val="00FB0A1D"/>
    <w:rsid w:val="00FB0B05"/>
    <w:rsid w:val="00FB0D1B"/>
    <w:rsid w:val="00FB0DE3"/>
    <w:rsid w:val="00FB0E61"/>
    <w:rsid w:val="00FB0EF3"/>
    <w:rsid w:val="00FB0FED"/>
    <w:rsid w:val="00FB1022"/>
    <w:rsid w:val="00FB1084"/>
    <w:rsid w:val="00FB1098"/>
    <w:rsid w:val="00FB10A0"/>
    <w:rsid w:val="00FB11C6"/>
    <w:rsid w:val="00FB11D0"/>
    <w:rsid w:val="00FB1261"/>
    <w:rsid w:val="00FB1303"/>
    <w:rsid w:val="00FB13C7"/>
    <w:rsid w:val="00FB13FF"/>
    <w:rsid w:val="00FB1551"/>
    <w:rsid w:val="00FB16A6"/>
    <w:rsid w:val="00FB16BC"/>
    <w:rsid w:val="00FB16CB"/>
    <w:rsid w:val="00FB16D0"/>
    <w:rsid w:val="00FB17E5"/>
    <w:rsid w:val="00FB1821"/>
    <w:rsid w:val="00FB190F"/>
    <w:rsid w:val="00FB193E"/>
    <w:rsid w:val="00FB19C8"/>
    <w:rsid w:val="00FB1A22"/>
    <w:rsid w:val="00FB1BEC"/>
    <w:rsid w:val="00FB1BFE"/>
    <w:rsid w:val="00FB1DB6"/>
    <w:rsid w:val="00FB1E47"/>
    <w:rsid w:val="00FB1F5B"/>
    <w:rsid w:val="00FB1F6B"/>
    <w:rsid w:val="00FB1F95"/>
    <w:rsid w:val="00FB2191"/>
    <w:rsid w:val="00FB21A7"/>
    <w:rsid w:val="00FB21BC"/>
    <w:rsid w:val="00FB221A"/>
    <w:rsid w:val="00FB2292"/>
    <w:rsid w:val="00FB231B"/>
    <w:rsid w:val="00FB2333"/>
    <w:rsid w:val="00FB234E"/>
    <w:rsid w:val="00FB2362"/>
    <w:rsid w:val="00FB2432"/>
    <w:rsid w:val="00FB2494"/>
    <w:rsid w:val="00FB25BA"/>
    <w:rsid w:val="00FB25BE"/>
    <w:rsid w:val="00FB25C1"/>
    <w:rsid w:val="00FB26A7"/>
    <w:rsid w:val="00FB287F"/>
    <w:rsid w:val="00FB2A45"/>
    <w:rsid w:val="00FB2ADB"/>
    <w:rsid w:val="00FB2B43"/>
    <w:rsid w:val="00FB2B98"/>
    <w:rsid w:val="00FB2C46"/>
    <w:rsid w:val="00FB2DE6"/>
    <w:rsid w:val="00FB2E5E"/>
    <w:rsid w:val="00FB2E77"/>
    <w:rsid w:val="00FB313E"/>
    <w:rsid w:val="00FB3230"/>
    <w:rsid w:val="00FB3235"/>
    <w:rsid w:val="00FB337B"/>
    <w:rsid w:val="00FB33E0"/>
    <w:rsid w:val="00FB3485"/>
    <w:rsid w:val="00FB355F"/>
    <w:rsid w:val="00FB35D5"/>
    <w:rsid w:val="00FB367B"/>
    <w:rsid w:val="00FB3697"/>
    <w:rsid w:val="00FB36D6"/>
    <w:rsid w:val="00FB38D4"/>
    <w:rsid w:val="00FB39AF"/>
    <w:rsid w:val="00FB39B5"/>
    <w:rsid w:val="00FB3BE0"/>
    <w:rsid w:val="00FB3BEE"/>
    <w:rsid w:val="00FB3C79"/>
    <w:rsid w:val="00FB3E3D"/>
    <w:rsid w:val="00FB3E48"/>
    <w:rsid w:val="00FB3EAB"/>
    <w:rsid w:val="00FB3ED0"/>
    <w:rsid w:val="00FB3F25"/>
    <w:rsid w:val="00FB4202"/>
    <w:rsid w:val="00FB4281"/>
    <w:rsid w:val="00FB4298"/>
    <w:rsid w:val="00FB42E9"/>
    <w:rsid w:val="00FB42F1"/>
    <w:rsid w:val="00FB439D"/>
    <w:rsid w:val="00FB43E4"/>
    <w:rsid w:val="00FB446C"/>
    <w:rsid w:val="00FB448B"/>
    <w:rsid w:val="00FB44E1"/>
    <w:rsid w:val="00FB44FA"/>
    <w:rsid w:val="00FB4605"/>
    <w:rsid w:val="00FB4645"/>
    <w:rsid w:val="00FB49E2"/>
    <w:rsid w:val="00FB4B27"/>
    <w:rsid w:val="00FB4B8A"/>
    <w:rsid w:val="00FB4D7D"/>
    <w:rsid w:val="00FB4DBF"/>
    <w:rsid w:val="00FB4DF8"/>
    <w:rsid w:val="00FB4E39"/>
    <w:rsid w:val="00FB4EA0"/>
    <w:rsid w:val="00FB4F07"/>
    <w:rsid w:val="00FB4F27"/>
    <w:rsid w:val="00FB4F4E"/>
    <w:rsid w:val="00FB51CB"/>
    <w:rsid w:val="00FB551B"/>
    <w:rsid w:val="00FB559F"/>
    <w:rsid w:val="00FB5650"/>
    <w:rsid w:val="00FB57B8"/>
    <w:rsid w:val="00FB5808"/>
    <w:rsid w:val="00FB5867"/>
    <w:rsid w:val="00FB5AC0"/>
    <w:rsid w:val="00FB5AC5"/>
    <w:rsid w:val="00FB5B98"/>
    <w:rsid w:val="00FB5C03"/>
    <w:rsid w:val="00FB5D9D"/>
    <w:rsid w:val="00FB5E14"/>
    <w:rsid w:val="00FB5E53"/>
    <w:rsid w:val="00FB5EB0"/>
    <w:rsid w:val="00FB5FE8"/>
    <w:rsid w:val="00FB600E"/>
    <w:rsid w:val="00FB6028"/>
    <w:rsid w:val="00FB6061"/>
    <w:rsid w:val="00FB6158"/>
    <w:rsid w:val="00FB615D"/>
    <w:rsid w:val="00FB6177"/>
    <w:rsid w:val="00FB625D"/>
    <w:rsid w:val="00FB62EC"/>
    <w:rsid w:val="00FB630D"/>
    <w:rsid w:val="00FB6358"/>
    <w:rsid w:val="00FB63C4"/>
    <w:rsid w:val="00FB6404"/>
    <w:rsid w:val="00FB64F1"/>
    <w:rsid w:val="00FB655D"/>
    <w:rsid w:val="00FB66E5"/>
    <w:rsid w:val="00FB6884"/>
    <w:rsid w:val="00FB6988"/>
    <w:rsid w:val="00FB69C4"/>
    <w:rsid w:val="00FB6C38"/>
    <w:rsid w:val="00FB6CF6"/>
    <w:rsid w:val="00FB6CF9"/>
    <w:rsid w:val="00FB6E20"/>
    <w:rsid w:val="00FB6E74"/>
    <w:rsid w:val="00FB6E78"/>
    <w:rsid w:val="00FB6F4C"/>
    <w:rsid w:val="00FB6F89"/>
    <w:rsid w:val="00FB70B4"/>
    <w:rsid w:val="00FB71DE"/>
    <w:rsid w:val="00FB72E9"/>
    <w:rsid w:val="00FB735D"/>
    <w:rsid w:val="00FB7426"/>
    <w:rsid w:val="00FB7454"/>
    <w:rsid w:val="00FB745E"/>
    <w:rsid w:val="00FB777A"/>
    <w:rsid w:val="00FB77B7"/>
    <w:rsid w:val="00FB7876"/>
    <w:rsid w:val="00FB7919"/>
    <w:rsid w:val="00FB7A17"/>
    <w:rsid w:val="00FB7B59"/>
    <w:rsid w:val="00FB7C36"/>
    <w:rsid w:val="00FB7E1E"/>
    <w:rsid w:val="00FB7E79"/>
    <w:rsid w:val="00FB7EB2"/>
    <w:rsid w:val="00FC0091"/>
    <w:rsid w:val="00FC0099"/>
    <w:rsid w:val="00FC00E1"/>
    <w:rsid w:val="00FC02D3"/>
    <w:rsid w:val="00FC0543"/>
    <w:rsid w:val="00FC063B"/>
    <w:rsid w:val="00FC06BF"/>
    <w:rsid w:val="00FC0711"/>
    <w:rsid w:val="00FC07DD"/>
    <w:rsid w:val="00FC08EE"/>
    <w:rsid w:val="00FC0A15"/>
    <w:rsid w:val="00FC0A4E"/>
    <w:rsid w:val="00FC0ABE"/>
    <w:rsid w:val="00FC0CF5"/>
    <w:rsid w:val="00FC0E70"/>
    <w:rsid w:val="00FC0F48"/>
    <w:rsid w:val="00FC10DE"/>
    <w:rsid w:val="00FC12B0"/>
    <w:rsid w:val="00FC12BB"/>
    <w:rsid w:val="00FC1420"/>
    <w:rsid w:val="00FC1431"/>
    <w:rsid w:val="00FC1448"/>
    <w:rsid w:val="00FC15E7"/>
    <w:rsid w:val="00FC1637"/>
    <w:rsid w:val="00FC170D"/>
    <w:rsid w:val="00FC1830"/>
    <w:rsid w:val="00FC1913"/>
    <w:rsid w:val="00FC19C4"/>
    <w:rsid w:val="00FC1A03"/>
    <w:rsid w:val="00FC1B6E"/>
    <w:rsid w:val="00FC1CCD"/>
    <w:rsid w:val="00FC1CEE"/>
    <w:rsid w:val="00FC1E94"/>
    <w:rsid w:val="00FC1F0A"/>
    <w:rsid w:val="00FC2104"/>
    <w:rsid w:val="00FC210E"/>
    <w:rsid w:val="00FC211D"/>
    <w:rsid w:val="00FC2221"/>
    <w:rsid w:val="00FC22FD"/>
    <w:rsid w:val="00FC2480"/>
    <w:rsid w:val="00FC24B0"/>
    <w:rsid w:val="00FC24C5"/>
    <w:rsid w:val="00FC257B"/>
    <w:rsid w:val="00FC2610"/>
    <w:rsid w:val="00FC270C"/>
    <w:rsid w:val="00FC2903"/>
    <w:rsid w:val="00FC2922"/>
    <w:rsid w:val="00FC29C9"/>
    <w:rsid w:val="00FC2A57"/>
    <w:rsid w:val="00FC2A78"/>
    <w:rsid w:val="00FC2AC1"/>
    <w:rsid w:val="00FC2B0D"/>
    <w:rsid w:val="00FC2BB5"/>
    <w:rsid w:val="00FC2BC3"/>
    <w:rsid w:val="00FC2C16"/>
    <w:rsid w:val="00FC2DCB"/>
    <w:rsid w:val="00FC2E9B"/>
    <w:rsid w:val="00FC3027"/>
    <w:rsid w:val="00FC30DB"/>
    <w:rsid w:val="00FC314E"/>
    <w:rsid w:val="00FC32C0"/>
    <w:rsid w:val="00FC338D"/>
    <w:rsid w:val="00FC352E"/>
    <w:rsid w:val="00FC37E5"/>
    <w:rsid w:val="00FC38AC"/>
    <w:rsid w:val="00FC3A6F"/>
    <w:rsid w:val="00FC3A87"/>
    <w:rsid w:val="00FC3B17"/>
    <w:rsid w:val="00FC3B22"/>
    <w:rsid w:val="00FC3C63"/>
    <w:rsid w:val="00FC3CFE"/>
    <w:rsid w:val="00FC3D61"/>
    <w:rsid w:val="00FC3F4B"/>
    <w:rsid w:val="00FC3FD8"/>
    <w:rsid w:val="00FC40DF"/>
    <w:rsid w:val="00FC411B"/>
    <w:rsid w:val="00FC4275"/>
    <w:rsid w:val="00FC4383"/>
    <w:rsid w:val="00FC440A"/>
    <w:rsid w:val="00FC4436"/>
    <w:rsid w:val="00FC4481"/>
    <w:rsid w:val="00FC448E"/>
    <w:rsid w:val="00FC45AA"/>
    <w:rsid w:val="00FC461C"/>
    <w:rsid w:val="00FC4635"/>
    <w:rsid w:val="00FC47E5"/>
    <w:rsid w:val="00FC4886"/>
    <w:rsid w:val="00FC48C3"/>
    <w:rsid w:val="00FC49E4"/>
    <w:rsid w:val="00FC4AC2"/>
    <w:rsid w:val="00FC4C8B"/>
    <w:rsid w:val="00FC4C90"/>
    <w:rsid w:val="00FC4E11"/>
    <w:rsid w:val="00FC4E2B"/>
    <w:rsid w:val="00FC4EC9"/>
    <w:rsid w:val="00FC4FA8"/>
    <w:rsid w:val="00FC509A"/>
    <w:rsid w:val="00FC50A3"/>
    <w:rsid w:val="00FC515A"/>
    <w:rsid w:val="00FC53C4"/>
    <w:rsid w:val="00FC5687"/>
    <w:rsid w:val="00FC56AE"/>
    <w:rsid w:val="00FC5870"/>
    <w:rsid w:val="00FC59DC"/>
    <w:rsid w:val="00FC5A50"/>
    <w:rsid w:val="00FC5C06"/>
    <w:rsid w:val="00FC5C16"/>
    <w:rsid w:val="00FC5C6F"/>
    <w:rsid w:val="00FC5CCB"/>
    <w:rsid w:val="00FC5D41"/>
    <w:rsid w:val="00FC5D49"/>
    <w:rsid w:val="00FC605E"/>
    <w:rsid w:val="00FC60BE"/>
    <w:rsid w:val="00FC6122"/>
    <w:rsid w:val="00FC6209"/>
    <w:rsid w:val="00FC6270"/>
    <w:rsid w:val="00FC63D8"/>
    <w:rsid w:val="00FC64A6"/>
    <w:rsid w:val="00FC64ED"/>
    <w:rsid w:val="00FC650E"/>
    <w:rsid w:val="00FC6555"/>
    <w:rsid w:val="00FC66B3"/>
    <w:rsid w:val="00FC66F2"/>
    <w:rsid w:val="00FC68EC"/>
    <w:rsid w:val="00FC6936"/>
    <w:rsid w:val="00FC6979"/>
    <w:rsid w:val="00FC698A"/>
    <w:rsid w:val="00FC6A12"/>
    <w:rsid w:val="00FC6A57"/>
    <w:rsid w:val="00FC6AEF"/>
    <w:rsid w:val="00FC6B6D"/>
    <w:rsid w:val="00FC6C34"/>
    <w:rsid w:val="00FC6C3B"/>
    <w:rsid w:val="00FC6CD6"/>
    <w:rsid w:val="00FC6E9B"/>
    <w:rsid w:val="00FC702F"/>
    <w:rsid w:val="00FC703F"/>
    <w:rsid w:val="00FC721B"/>
    <w:rsid w:val="00FC7275"/>
    <w:rsid w:val="00FC733A"/>
    <w:rsid w:val="00FC74B1"/>
    <w:rsid w:val="00FC75B2"/>
    <w:rsid w:val="00FC7663"/>
    <w:rsid w:val="00FC7690"/>
    <w:rsid w:val="00FC772A"/>
    <w:rsid w:val="00FC784F"/>
    <w:rsid w:val="00FC790F"/>
    <w:rsid w:val="00FC792B"/>
    <w:rsid w:val="00FC7946"/>
    <w:rsid w:val="00FC7957"/>
    <w:rsid w:val="00FC7A08"/>
    <w:rsid w:val="00FC7AA4"/>
    <w:rsid w:val="00FC7AEF"/>
    <w:rsid w:val="00FC7B57"/>
    <w:rsid w:val="00FC7D2E"/>
    <w:rsid w:val="00FC7D6A"/>
    <w:rsid w:val="00FC7E37"/>
    <w:rsid w:val="00FC7EE2"/>
    <w:rsid w:val="00FC7FD2"/>
    <w:rsid w:val="00FD021D"/>
    <w:rsid w:val="00FD022E"/>
    <w:rsid w:val="00FD02D7"/>
    <w:rsid w:val="00FD03A5"/>
    <w:rsid w:val="00FD04C9"/>
    <w:rsid w:val="00FD06BA"/>
    <w:rsid w:val="00FD07DF"/>
    <w:rsid w:val="00FD07E4"/>
    <w:rsid w:val="00FD0903"/>
    <w:rsid w:val="00FD0A33"/>
    <w:rsid w:val="00FD0B5B"/>
    <w:rsid w:val="00FD0B7B"/>
    <w:rsid w:val="00FD0E00"/>
    <w:rsid w:val="00FD0ECA"/>
    <w:rsid w:val="00FD0FF6"/>
    <w:rsid w:val="00FD1141"/>
    <w:rsid w:val="00FD1229"/>
    <w:rsid w:val="00FD134E"/>
    <w:rsid w:val="00FD135C"/>
    <w:rsid w:val="00FD1411"/>
    <w:rsid w:val="00FD1466"/>
    <w:rsid w:val="00FD153E"/>
    <w:rsid w:val="00FD1665"/>
    <w:rsid w:val="00FD174B"/>
    <w:rsid w:val="00FD1808"/>
    <w:rsid w:val="00FD1966"/>
    <w:rsid w:val="00FD1B01"/>
    <w:rsid w:val="00FD1BAB"/>
    <w:rsid w:val="00FD1D5C"/>
    <w:rsid w:val="00FD1DD9"/>
    <w:rsid w:val="00FD1FCB"/>
    <w:rsid w:val="00FD201B"/>
    <w:rsid w:val="00FD204C"/>
    <w:rsid w:val="00FD2102"/>
    <w:rsid w:val="00FD2206"/>
    <w:rsid w:val="00FD226F"/>
    <w:rsid w:val="00FD233E"/>
    <w:rsid w:val="00FD24A4"/>
    <w:rsid w:val="00FD24DD"/>
    <w:rsid w:val="00FD25DE"/>
    <w:rsid w:val="00FD2696"/>
    <w:rsid w:val="00FD2702"/>
    <w:rsid w:val="00FD2712"/>
    <w:rsid w:val="00FD277F"/>
    <w:rsid w:val="00FD27F4"/>
    <w:rsid w:val="00FD2829"/>
    <w:rsid w:val="00FD2928"/>
    <w:rsid w:val="00FD2931"/>
    <w:rsid w:val="00FD2C69"/>
    <w:rsid w:val="00FD2CD8"/>
    <w:rsid w:val="00FD2D13"/>
    <w:rsid w:val="00FD2DF8"/>
    <w:rsid w:val="00FD2E57"/>
    <w:rsid w:val="00FD2EAD"/>
    <w:rsid w:val="00FD2EF0"/>
    <w:rsid w:val="00FD302C"/>
    <w:rsid w:val="00FD3034"/>
    <w:rsid w:val="00FD30B5"/>
    <w:rsid w:val="00FD3264"/>
    <w:rsid w:val="00FD3277"/>
    <w:rsid w:val="00FD3502"/>
    <w:rsid w:val="00FD35B4"/>
    <w:rsid w:val="00FD3776"/>
    <w:rsid w:val="00FD37AD"/>
    <w:rsid w:val="00FD37D5"/>
    <w:rsid w:val="00FD3816"/>
    <w:rsid w:val="00FD3922"/>
    <w:rsid w:val="00FD39E2"/>
    <w:rsid w:val="00FD3D62"/>
    <w:rsid w:val="00FD3DC4"/>
    <w:rsid w:val="00FD3E3C"/>
    <w:rsid w:val="00FD3F51"/>
    <w:rsid w:val="00FD3FDD"/>
    <w:rsid w:val="00FD3FE6"/>
    <w:rsid w:val="00FD4049"/>
    <w:rsid w:val="00FD4185"/>
    <w:rsid w:val="00FD4289"/>
    <w:rsid w:val="00FD4345"/>
    <w:rsid w:val="00FD436C"/>
    <w:rsid w:val="00FD4434"/>
    <w:rsid w:val="00FD45EB"/>
    <w:rsid w:val="00FD4662"/>
    <w:rsid w:val="00FD46A7"/>
    <w:rsid w:val="00FD46FF"/>
    <w:rsid w:val="00FD4788"/>
    <w:rsid w:val="00FD495A"/>
    <w:rsid w:val="00FD4BA0"/>
    <w:rsid w:val="00FD4BA1"/>
    <w:rsid w:val="00FD4E16"/>
    <w:rsid w:val="00FD4E72"/>
    <w:rsid w:val="00FD4E9C"/>
    <w:rsid w:val="00FD4EA6"/>
    <w:rsid w:val="00FD4F82"/>
    <w:rsid w:val="00FD4F8F"/>
    <w:rsid w:val="00FD505C"/>
    <w:rsid w:val="00FD50CF"/>
    <w:rsid w:val="00FD50D5"/>
    <w:rsid w:val="00FD50EB"/>
    <w:rsid w:val="00FD5106"/>
    <w:rsid w:val="00FD5107"/>
    <w:rsid w:val="00FD51EC"/>
    <w:rsid w:val="00FD53FB"/>
    <w:rsid w:val="00FD540B"/>
    <w:rsid w:val="00FD5421"/>
    <w:rsid w:val="00FD546B"/>
    <w:rsid w:val="00FD5535"/>
    <w:rsid w:val="00FD568B"/>
    <w:rsid w:val="00FD575A"/>
    <w:rsid w:val="00FD58A4"/>
    <w:rsid w:val="00FD5A11"/>
    <w:rsid w:val="00FD5A37"/>
    <w:rsid w:val="00FD5BC5"/>
    <w:rsid w:val="00FD5BF9"/>
    <w:rsid w:val="00FD5C1C"/>
    <w:rsid w:val="00FD5C58"/>
    <w:rsid w:val="00FD5D3C"/>
    <w:rsid w:val="00FD5D46"/>
    <w:rsid w:val="00FD5DE0"/>
    <w:rsid w:val="00FD5ECF"/>
    <w:rsid w:val="00FD5F1C"/>
    <w:rsid w:val="00FD5F32"/>
    <w:rsid w:val="00FD5FC9"/>
    <w:rsid w:val="00FD60BF"/>
    <w:rsid w:val="00FD6116"/>
    <w:rsid w:val="00FD61A8"/>
    <w:rsid w:val="00FD6232"/>
    <w:rsid w:val="00FD6252"/>
    <w:rsid w:val="00FD637C"/>
    <w:rsid w:val="00FD65D4"/>
    <w:rsid w:val="00FD65DA"/>
    <w:rsid w:val="00FD666F"/>
    <w:rsid w:val="00FD6680"/>
    <w:rsid w:val="00FD66B4"/>
    <w:rsid w:val="00FD670B"/>
    <w:rsid w:val="00FD6788"/>
    <w:rsid w:val="00FD688B"/>
    <w:rsid w:val="00FD69F3"/>
    <w:rsid w:val="00FD6B36"/>
    <w:rsid w:val="00FD6C65"/>
    <w:rsid w:val="00FD6D99"/>
    <w:rsid w:val="00FD6DD5"/>
    <w:rsid w:val="00FD6DE7"/>
    <w:rsid w:val="00FD6E23"/>
    <w:rsid w:val="00FD6E57"/>
    <w:rsid w:val="00FD6F67"/>
    <w:rsid w:val="00FD71A1"/>
    <w:rsid w:val="00FD7304"/>
    <w:rsid w:val="00FD730A"/>
    <w:rsid w:val="00FD734A"/>
    <w:rsid w:val="00FD73A8"/>
    <w:rsid w:val="00FD7442"/>
    <w:rsid w:val="00FD7590"/>
    <w:rsid w:val="00FD75C0"/>
    <w:rsid w:val="00FD7711"/>
    <w:rsid w:val="00FD774E"/>
    <w:rsid w:val="00FD792B"/>
    <w:rsid w:val="00FD796E"/>
    <w:rsid w:val="00FD7A49"/>
    <w:rsid w:val="00FD7A86"/>
    <w:rsid w:val="00FD7ACB"/>
    <w:rsid w:val="00FD7B98"/>
    <w:rsid w:val="00FD7BC3"/>
    <w:rsid w:val="00FD7D48"/>
    <w:rsid w:val="00FD7D79"/>
    <w:rsid w:val="00FD7DB9"/>
    <w:rsid w:val="00FD7FF0"/>
    <w:rsid w:val="00FE0057"/>
    <w:rsid w:val="00FE0269"/>
    <w:rsid w:val="00FE028F"/>
    <w:rsid w:val="00FE02E4"/>
    <w:rsid w:val="00FE040A"/>
    <w:rsid w:val="00FE04C9"/>
    <w:rsid w:val="00FE05C6"/>
    <w:rsid w:val="00FE05E8"/>
    <w:rsid w:val="00FE061D"/>
    <w:rsid w:val="00FE074F"/>
    <w:rsid w:val="00FE0757"/>
    <w:rsid w:val="00FE0888"/>
    <w:rsid w:val="00FE08FA"/>
    <w:rsid w:val="00FE0AEF"/>
    <w:rsid w:val="00FE0B77"/>
    <w:rsid w:val="00FE0C8F"/>
    <w:rsid w:val="00FE10CA"/>
    <w:rsid w:val="00FE110F"/>
    <w:rsid w:val="00FE1112"/>
    <w:rsid w:val="00FE1347"/>
    <w:rsid w:val="00FE144D"/>
    <w:rsid w:val="00FE157F"/>
    <w:rsid w:val="00FE15A8"/>
    <w:rsid w:val="00FE15B9"/>
    <w:rsid w:val="00FE1705"/>
    <w:rsid w:val="00FE178B"/>
    <w:rsid w:val="00FE17B1"/>
    <w:rsid w:val="00FE17B8"/>
    <w:rsid w:val="00FE1839"/>
    <w:rsid w:val="00FE18C2"/>
    <w:rsid w:val="00FE1918"/>
    <w:rsid w:val="00FE1994"/>
    <w:rsid w:val="00FE1996"/>
    <w:rsid w:val="00FE1A00"/>
    <w:rsid w:val="00FE1A3D"/>
    <w:rsid w:val="00FE1AE4"/>
    <w:rsid w:val="00FE1C61"/>
    <w:rsid w:val="00FE1D1E"/>
    <w:rsid w:val="00FE1EA0"/>
    <w:rsid w:val="00FE1FB0"/>
    <w:rsid w:val="00FE1FD0"/>
    <w:rsid w:val="00FE2202"/>
    <w:rsid w:val="00FE22B6"/>
    <w:rsid w:val="00FE2331"/>
    <w:rsid w:val="00FE2385"/>
    <w:rsid w:val="00FE23AD"/>
    <w:rsid w:val="00FE2580"/>
    <w:rsid w:val="00FE25AA"/>
    <w:rsid w:val="00FE2737"/>
    <w:rsid w:val="00FE273D"/>
    <w:rsid w:val="00FE2742"/>
    <w:rsid w:val="00FE2791"/>
    <w:rsid w:val="00FE2955"/>
    <w:rsid w:val="00FE29C8"/>
    <w:rsid w:val="00FE2AEC"/>
    <w:rsid w:val="00FE2B90"/>
    <w:rsid w:val="00FE2BB3"/>
    <w:rsid w:val="00FE2ED1"/>
    <w:rsid w:val="00FE2F6B"/>
    <w:rsid w:val="00FE2F88"/>
    <w:rsid w:val="00FE2FB5"/>
    <w:rsid w:val="00FE2FED"/>
    <w:rsid w:val="00FE3161"/>
    <w:rsid w:val="00FE3432"/>
    <w:rsid w:val="00FE3484"/>
    <w:rsid w:val="00FE351B"/>
    <w:rsid w:val="00FE3579"/>
    <w:rsid w:val="00FE359D"/>
    <w:rsid w:val="00FE35C9"/>
    <w:rsid w:val="00FE35E3"/>
    <w:rsid w:val="00FE3671"/>
    <w:rsid w:val="00FE36E8"/>
    <w:rsid w:val="00FE3727"/>
    <w:rsid w:val="00FE3832"/>
    <w:rsid w:val="00FE38E2"/>
    <w:rsid w:val="00FE399D"/>
    <w:rsid w:val="00FE39B9"/>
    <w:rsid w:val="00FE3A6C"/>
    <w:rsid w:val="00FE3ADF"/>
    <w:rsid w:val="00FE3D70"/>
    <w:rsid w:val="00FE3DAE"/>
    <w:rsid w:val="00FE3E62"/>
    <w:rsid w:val="00FE3EF0"/>
    <w:rsid w:val="00FE3F9B"/>
    <w:rsid w:val="00FE3FD8"/>
    <w:rsid w:val="00FE4161"/>
    <w:rsid w:val="00FE4239"/>
    <w:rsid w:val="00FE42AD"/>
    <w:rsid w:val="00FE42B9"/>
    <w:rsid w:val="00FE4358"/>
    <w:rsid w:val="00FE4371"/>
    <w:rsid w:val="00FE4388"/>
    <w:rsid w:val="00FE4559"/>
    <w:rsid w:val="00FE45A3"/>
    <w:rsid w:val="00FE45E0"/>
    <w:rsid w:val="00FE45FE"/>
    <w:rsid w:val="00FE465A"/>
    <w:rsid w:val="00FE46DE"/>
    <w:rsid w:val="00FE4829"/>
    <w:rsid w:val="00FE4926"/>
    <w:rsid w:val="00FE497F"/>
    <w:rsid w:val="00FE4A98"/>
    <w:rsid w:val="00FE4B19"/>
    <w:rsid w:val="00FE4D45"/>
    <w:rsid w:val="00FE4EDC"/>
    <w:rsid w:val="00FE4F3A"/>
    <w:rsid w:val="00FE4FBE"/>
    <w:rsid w:val="00FE5105"/>
    <w:rsid w:val="00FE51F7"/>
    <w:rsid w:val="00FE529C"/>
    <w:rsid w:val="00FE52A3"/>
    <w:rsid w:val="00FE5323"/>
    <w:rsid w:val="00FE53E3"/>
    <w:rsid w:val="00FE54BE"/>
    <w:rsid w:val="00FE559D"/>
    <w:rsid w:val="00FE5738"/>
    <w:rsid w:val="00FE5803"/>
    <w:rsid w:val="00FE581B"/>
    <w:rsid w:val="00FE58FE"/>
    <w:rsid w:val="00FE5BBB"/>
    <w:rsid w:val="00FE5BE7"/>
    <w:rsid w:val="00FE5CF9"/>
    <w:rsid w:val="00FE5D55"/>
    <w:rsid w:val="00FE5F5E"/>
    <w:rsid w:val="00FE5FBD"/>
    <w:rsid w:val="00FE6193"/>
    <w:rsid w:val="00FE61CC"/>
    <w:rsid w:val="00FE6281"/>
    <w:rsid w:val="00FE62EA"/>
    <w:rsid w:val="00FE640F"/>
    <w:rsid w:val="00FE647D"/>
    <w:rsid w:val="00FE64EA"/>
    <w:rsid w:val="00FE65C4"/>
    <w:rsid w:val="00FE66C2"/>
    <w:rsid w:val="00FE6758"/>
    <w:rsid w:val="00FE67EB"/>
    <w:rsid w:val="00FE691C"/>
    <w:rsid w:val="00FE693D"/>
    <w:rsid w:val="00FE697C"/>
    <w:rsid w:val="00FE6AA3"/>
    <w:rsid w:val="00FE6AFD"/>
    <w:rsid w:val="00FE6B52"/>
    <w:rsid w:val="00FE6C88"/>
    <w:rsid w:val="00FE6F23"/>
    <w:rsid w:val="00FE72A2"/>
    <w:rsid w:val="00FE752B"/>
    <w:rsid w:val="00FE75A4"/>
    <w:rsid w:val="00FE768B"/>
    <w:rsid w:val="00FE7714"/>
    <w:rsid w:val="00FE77A5"/>
    <w:rsid w:val="00FE7816"/>
    <w:rsid w:val="00FE783A"/>
    <w:rsid w:val="00FE78C5"/>
    <w:rsid w:val="00FE7A01"/>
    <w:rsid w:val="00FE7B0D"/>
    <w:rsid w:val="00FE7E6F"/>
    <w:rsid w:val="00FE7EB5"/>
    <w:rsid w:val="00FE7FBB"/>
    <w:rsid w:val="00FF00B3"/>
    <w:rsid w:val="00FF0281"/>
    <w:rsid w:val="00FF041A"/>
    <w:rsid w:val="00FF0453"/>
    <w:rsid w:val="00FF0562"/>
    <w:rsid w:val="00FF05C0"/>
    <w:rsid w:val="00FF05F0"/>
    <w:rsid w:val="00FF062D"/>
    <w:rsid w:val="00FF078E"/>
    <w:rsid w:val="00FF08DD"/>
    <w:rsid w:val="00FF0A4D"/>
    <w:rsid w:val="00FF0A6D"/>
    <w:rsid w:val="00FF0A89"/>
    <w:rsid w:val="00FF0C46"/>
    <w:rsid w:val="00FF0CCD"/>
    <w:rsid w:val="00FF0D65"/>
    <w:rsid w:val="00FF0DC1"/>
    <w:rsid w:val="00FF0E73"/>
    <w:rsid w:val="00FF0F52"/>
    <w:rsid w:val="00FF0FBE"/>
    <w:rsid w:val="00FF0FCE"/>
    <w:rsid w:val="00FF1086"/>
    <w:rsid w:val="00FF108D"/>
    <w:rsid w:val="00FF1146"/>
    <w:rsid w:val="00FF11C2"/>
    <w:rsid w:val="00FF1206"/>
    <w:rsid w:val="00FF1226"/>
    <w:rsid w:val="00FF12CE"/>
    <w:rsid w:val="00FF131C"/>
    <w:rsid w:val="00FF14AD"/>
    <w:rsid w:val="00FF15A1"/>
    <w:rsid w:val="00FF166C"/>
    <w:rsid w:val="00FF17EA"/>
    <w:rsid w:val="00FF18AC"/>
    <w:rsid w:val="00FF192B"/>
    <w:rsid w:val="00FF1A0B"/>
    <w:rsid w:val="00FF1A17"/>
    <w:rsid w:val="00FF1A79"/>
    <w:rsid w:val="00FF1A95"/>
    <w:rsid w:val="00FF1B5A"/>
    <w:rsid w:val="00FF1CA7"/>
    <w:rsid w:val="00FF1CF3"/>
    <w:rsid w:val="00FF1D06"/>
    <w:rsid w:val="00FF1E84"/>
    <w:rsid w:val="00FF1E8D"/>
    <w:rsid w:val="00FF1EA2"/>
    <w:rsid w:val="00FF1EEA"/>
    <w:rsid w:val="00FF1F33"/>
    <w:rsid w:val="00FF1FC9"/>
    <w:rsid w:val="00FF1FFE"/>
    <w:rsid w:val="00FF204A"/>
    <w:rsid w:val="00FF21A7"/>
    <w:rsid w:val="00FF22E5"/>
    <w:rsid w:val="00FF2576"/>
    <w:rsid w:val="00FF25C7"/>
    <w:rsid w:val="00FF26C5"/>
    <w:rsid w:val="00FF26EC"/>
    <w:rsid w:val="00FF275A"/>
    <w:rsid w:val="00FF2765"/>
    <w:rsid w:val="00FF27AE"/>
    <w:rsid w:val="00FF27F8"/>
    <w:rsid w:val="00FF2886"/>
    <w:rsid w:val="00FF28BE"/>
    <w:rsid w:val="00FF295B"/>
    <w:rsid w:val="00FF2A96"/>
    <w:rsid w:val="00FF2BA1"/>
    <w:rsid w:val="00FF2C70"/>
    <w:rsid w:val="00FF2D72"/>
    <w:rsid w:val="00FF2E10"/>
    <w:rsid w:val="00FF2E1F"/>
    <w:rsid w:val="00FF2FAD"/>
    <w:rsid w:val="00FF30F8"/>
    <w:rsid w:val="00FF31D3"/>
    <w:rsid w:val="00FF322C"/>
    <w:rsid w:val="00FF33EC"/>
    <w:rsid w:val="00FF356F"/>
    <w:rsid w:val="00FF381A"/>
    <w:rsid w:val="00FF3916"/>
    <w:rsid w:val="00FF3938"/>
    <w:rsid w:val="00FF393C"/>
    <w:rsid w:val="00FF3964"/>
    <w:rsid w:val="00FF39E0"/>
    <w:rsid w:val="00FF3C88"/>
    <w:rsid w:val="00FF3D60"/>
    <w:rsid w:val="00FF3E2D"/>
    <w:rsid w:val="00FF3F09"/>
    <w:rsid w:val="00FF3F64"/>
    <w:rsid w:val="00FF40CF"/>
    <w:rsid w:val="00FF415B"/>
    <w:rsid w:val="00FF41A8"/>
    <w:rsid w:val="00FF4339"/>
    <w:rsid w:val="00FF433A"/>
    <w:rsid w:val="00FF43C8"/>
    <w:rsid w:val="00FF443A"/>
    <w:rsid w:val="00FF4572"/>
    <w:rsid w:val="00FF4661"/>
    <w:rsid w:val="00FF493B"/>
    <w:rsid w:val="00FF4A0D"/>
    <w:rsid w:val="00FF4B3A"/>
    <w:rsid w:val="00FF4C72"/>
    <w:rsid w:val="00FF4CF3"/>
    <w:rsid w:val="00FF4F1A"/>
    <w:rsid w:val="00FF5009"/>
    <w:rsid w:val="00FF501A"/>
    <w:rsid w:val="00FF510B"/>
    <w:rsid w:val="00FF523D"/>
    <w:rsid w:val="00FF5292"/>
    <w:rsid w:val="00FF5339"/>
    <w:rsid w:val="00FF543D"/>
    <w:rsid w:val="00FF5445"/>
    <w:rsid w:val="00FF5524"/>
    <w:rsid w:val="00FF5537"/>
    <w:rsid w:val="00FF555E"/>
    <w:rsid w:val="00FF5670"/>
    <w:rsid w:val="00FF56B6"/>
    <w:rsid w:val="00FF56EC"/>
    <w:rsid w:val="00FF5783"/>
    <w:rsid w:val="00FF580B"/>
    <w:rsid w:val="00FF582C"/>
    <w:rsid w:val="00FF58B9"/>
    <w:rsid w:val="00FF5A39"/>
    <w:rsid w:val="00FF5AF6"/>
    <w:rsid w:val="00FF5BB8"/>
    <w:rsid w:val="00FF5C08"/>
    <w:rsid w:val="00FF5C48"/>
    <w:rsid w:val="00FF5D87"/>
    <w:rsid w:val="00FF60BB"/>
    <w:rsid w:val="00FF6170"/>
    <w:rsid w:val="00FF61AA"/>
    <w:rsid w:val="00FF621C"/>
    <w:rsid w:val="00FF62ED"/>
    <w:rsid w:val="00FF6325"/>
    <w:rsid w:val="00FF63D6"/>
    <w:rsid w:val="00FF63E9"/>
    <w:rsid w:val="00FF6495"/>
    <w:rsid w:val="00FF64F2"/>
    <w:rsid w:val="00FF656C"/>
    <w:rsid w:val="00FF68AD"/>
    <w:rsid w:val="00FF6962"/>
    <w:rsid w:val="00FF6A0A"/>
    <w:rsid w:val="00FF6A6E"/>
    <w:rsid w:val="00FF6A92"/>
    <w:rsid w:val="00FF6B02"/>
    <w:rsid w:val="00FF6B88"/>
    <w:rsid w:val="00FF6BB2"/>
    <w:rsid w:val="00FF6D38"/>
    <w:rsid w:val="00FF6E1A"/>
    <w:rsid w:val="00FF6E61"/>
    <w:rsid w:val="00FF6E8D"/>
    <w:rsid w:val="00FF6F7D"/>
    <w:rsid w:val="00FF70F8"/>
    <w:rsid w:val="00FF72AE"/>
    <w:rsid w:val="00FF7534"/>
    <w:rsid w:val="00FF779F"/>
    <w:rsid w:val="00FF77B2"/>
    <w:rsid w:val="00FF78E6"/>
    <w:rsid w:val="00FF78EE"/>
    <w:rsid w:val="00FF7995"/>
    <w:rsid w:val="00FF7A72"/>
    <w:rsid w:val="00FF7AAD"/>
    <w:rsid w:val="00FF7AC9"/>
    <w:rsid w:val="00FF7C93"/>
    <w:rsid w:val="00FF7C94"/>
    <w:rsid w:val="00FF7CD8"/>
    <w:rsid w:val="00FF7D4E"/>
    <w:rsid w:val="00FF7DBE"/>
    <w:rsid w:val="00FF7DDE"/>
    <w:rsid w:val="00FF7E04"/>
    <w:rsid w:val="01D5B933"/>
    <w:rsid w:val="055CBD33"/>
    <w:rsid w:val="05D33CE1"/>
    <w:rsid w:val="0724B8CC"/>
    <w:rsid w:val="084A7D42"/>
    <w:rsid w:val="0CEEC8F8"/>
    <w:rsid w:val="10A3FD1C"/>
    <w:rsid w:val="124D82E0"/>
    <w:rsid w:val="138334DE"/>
    <w:rsid w:val="14FA8FBA"/>
    <w:rsid w:val="1519102A"/>
    <w:rsid w:val="16144467"/>
    <w:rsid w:val="1679A5A2"/>
    <w:rsid w:val="1957FF91"/>
    <w:rsid w:val="1D5A9CFA"/>
    <w:rsid w:val="21F57C14"/>
    <w:rsid w:val="22C94757"/>
    <w:rsid w:val="23C4CB87"/>
    <w:rsid w:val="255B5770"/>
    <w:rsid w:val="256CACB9"/>
    <w:rsid w:val="2B3690FF"/>
    <w:rsid w:val="2DEF8B76"/>
    <w:rsid w:val="2E006099"/>
    <w:rsid w:val="3018D6A7"/>
    <w:rsid w:val="351320E0"/>
    <w:rsid w:val="357BAE57"/>
    <w:rsid w:val="37982168"/>
    <w:rsid w:val="3C40A295"/>
    <w:rsid w:val="3CB31A91"/>
    <w:rsid w:val="41A73587"/>
    <w:rsid w:val="428297FA"/>
    <w:rsid w:val="436453A1"/>
    <w:rsid w:val="47F82F63"/>
    <w:rsid w:val="48370D7C"/>
    <w:rsid w:val="485E878C"/>
    <w:rsid w:val="4A3FFD16"/>
    <w:rsid w:val="4CF7E8E5"/>
    <w:rsid w:val="4E1F0AF0"/>
    <w:rsid w:val="52E882F9"/>
    <w:rsid w:val="543BFDA1"/>
    <w:rsid w:val="612A4A8A"/>
    <w:rsid w:val="64CFABE8"/>
    <w:rsid w:val="65269AAF"/>
    <w:rsid w:val="6589EB72"/>
    <w:rsid w:val="69D928B4"/>
    <w:rsid w:val="69FD3703"/>
    <w:rsid w:val="6FCE132C"/>
    <w:rsid w:val="6FD23918"/>
    <w:rsid w:val="70ED4D90"/>
    <w:rsid w:val="71A93274"/>
    <w:rsid w:val="73A96D47"/>
    <w:rsid w:val="7B9560B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36E94"/>
  <w15:docId w15:val="{B8390B44-BA06-43D6-863F-CEDCB149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uiPriority="0" w:qFormat="1"/>
    <w:lsdException w:name="heading 5" w:semiHidden="1" w:uiPriority="0"/>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iPriority="10" w:unhideWhenUsed="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iPriority="1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unhideWhenUsed="1" w:qFormat="1"/>
    <w:lsdException w:name="List Number" w:uiPriority="3" w:qFormat="1"/>
    <w:lsdException w:name="List 2" w:semiHidden="1" w:unhideWhenUsed="1"/>
    <w:lsdException w:name="List 3" w:semiHidden="1" w:unhideWhenUsed="1"/>
    <w:lsdException w:name="List 4" w:semiHidden="1"/>
    <w:lsdException w:name="List 5" w:semiHidden="1"/>
    <w:lsdException w:name="List Bullet 2" w:uiPriority="3" w:unhideWhenUsed="1" w:qFormat="1"/>
    <w:lsdException w:name="List Bullet 3" w:semiHidden="1" w:unhideWhenUsed="1"/>
    <w:lsdException w:name="List Bullet 4" w:semiHidden="1" w:unhideWhenUsed="1"/>
    <w:lsdException w:name="List Bullet 5" w:semiHidden="1" w:unhideWhenUsed="1"/>
    <w:lsdException w:name="List Number 2" w:uiPriority="3"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0"/>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51"/>
    <w:pPr>
      <w:spacing w:after="120"/>
    </w:pPr>
    <w:rPr>
      <w:rFonts w:ascii="Calibri Light" w:hAnsi="Calibri Light"/>
      <w:lang w:val="en-AU"/>
    </w:rPr>
  </w:style>
  <w:style w:type="paragraph" w:styleId="Heading1">
    <w:name w:val="heading 1"/>
    <w:basedOn w:val="Normal"/>
    <w:next w:val="Normal"/>
    <w:link w:val="Heading1Char"/>
    <w:uiPriority w:val="1"/>
    <w:qFormat/>
    <w:rsid w:val="009E2F33"/>
    <w:pPr>
      <w:keepNext/>
      <w:keepLines/>
      <w:pageBreakBefore/>
      <w:numPr>
        <w:numId w:val="2"/>
      </w:numPr>
      <w:spacing w:after="480" w:line="720" w:lineRule="atLeast"/>
      <w:contextualSpacing/>
      <w:outlineLvl w:val="0"/>
    </w:pPr>
    <w:rPr>
      <w:rFonts w:eastAsiaTheme="majorEastAsia" w:cstheme="majorBidi"/>
      <w:bCs/>
      <w:sz w:val="60"/>
      <w:szCs w:val="28"/>
    </w:rPr>
  </w:style>
  <w:style w:type="paragraph" w:styleId="Heading2">
    <w:name w:val="heading 2"/>
    <w:basedOn w:val="Normal"/>
    <w:next w:val="Normal"/>
    <w:link w:val="Heading2Char"/>
    <w:uiPriority w:val="1"/>
    <w:qFormat/>
    <w:rsid w:val="00550003"/>
    <w:pPr>
      <w:keepNext/>
      <w:keepLines/>
      <w:numPr>
        <w:ilvl w:val="1"/>
        <w:numId w:val="2"/>
      </w:numPr>
      <w:spacing w:before="240" w:after="0" w:line="280" w:lineRule="atLeast"/>
      <w:outlineLvl w:val="1"/>
    </w:pPr>
    <w:rPr>
      <w:rFonts w:eastAsiaTheme="majorEastAsia" w:cstheme="majorBidi"/>
      <w:b/>
      <w:bCs/>
      <w:color w:val="62B5E5" w:themeColor="accent3"/>
      <w:sz w:val="22"/>
      <w:szCs w:val="26"/>
    </w:rPr>
  </w:style>
  <w:style w:type="paragraph" w:styleId="Heading3">
    <w:name w:val="heading 3"/>
    <w:basedOn w:val="Normal"/>
    <w:next w:val="Normal"/>
    <w:link w:val="Heading3Char"/>
    <w:uiPriority w:val="1"/>
    <w:qFormat/>
    <w:rsid w:val="00F9113D"/>
    <w:pPr>
      <w:keepNext/>
      <w:keepLines/>
      <w:numPr>
        <w:ilvl w:val="2"/>
        <w:numId w:val="2"/>
      </w:numPr>
      <w:spacing w:after="0"/>
      <w:outlineLvl w:val="2"/>
    </w:pPr>
    <w:rPr>
      <w:rFonts w:eastAsiaTheme="majorEastAsia" w:cstheme="majorBidi"/>
      <w:b/>
      <w:bCs/>
    </w:rPr>
  </w:style>
  <w:style w:type="paragraph" w:styleId="Heading4">
    <w:name w:val="heading 4"/>
    <w:basedOn w:val="Normal"/>
    <w:next w:val="Normal"/>
    <w:link w:val="Heading4Char"/>
    <w:uiPriority w:val="1"/>
    <w:qFormat/>
    <w:rsid w:val="00F9113D"/>
    <w:pPr>
      <w:keepNext/>
      <w:keepLines/>
      <w:numPr>
        <w:ilvl w:val="3"/>
        <w:numId w:val="2"/>
      </w:numPr>
      <w:tabs>
        <w:tab w:val="left" w:pos="340"/>
      </w:tabs>
      <w:spacing w:after="0"/>
      <w:outlineLvl w:val="3"/>
    </w:pPr>
    <w:rPr>
      <w:rFonts w:eastAsiaTheme="majorEastAsia" w:cstheme="majorBidi"/>
      <w:b/>
      <w:bCs/>
      <w:iCs/>
      <w:color w:val="75787B" w:themeColor="accent6"/>
    </w:rPr>
  </w:style>
  <w:style w:type="paragraph" w:styleId="Heading5">
    <w:name w:val="heading 5"/>
    <w:basedOn w:val="Normal"/>
    <w:next w:val="Normal"/>
    <w:link w:val="Heading5Char"/>
    <w:uiPriority w:val="1"/>
    <w:rsid w:val="00F9113D"/>
    <w:pPr>
      <w:keepNext/>
      <w:keepLines/>
      <w:numPr>
        <w:ilvl w:val="4"/>
        <w:numId w:val="2"/>
      </w:numPr>
      <w:spacing w:after="0"/>
      <w:outlineLvl w:val="4"/>
    </w:pPr>
    <w:rPr>
      <w:rFonts w:eastAsiaTheme="majorEastAsia" w:cstheme="majorBidi"/>
      <w:b/>
    </w:rPr>
  </w:style>
  <w:style w:type="paragraph" w:styleId="Heading6">
    <w:name w:val="heading 6"/>
    <w:basedOn w:val="Normal"/>
    <w:next w:val="Normal"/>
    <w:link w:val="Heading6Char"/>
    <w:uiPriority w:val="1"/>
    <w:semiHidden/>
    <w:qFormat/>
    <w:rsid w:val="00F9113D"/>
    <w:pPr>
      <w:keepNext/>
      <w:keepLines/>
      <w:numPr>
        <w:ilvl w:val="5"/>
        <w:numId w:val="2"/>
      </w:numPr>
      <w:spacing w:after="0"/>
      <w:outlineLvl w:val="5"/>
    </w:pPr>
    <w:rPr>
      <w:rFonts w:eastAsiaTheme="majorEastAsia" w:cstheme="majorBidi"/>
      <w:b/>
      <w:iCs/>
    </w:rPr>
  </w:style>
  <w:style w:type="paragraph" w:styleId="Heading7">
    <w:name w:val="heading 7"/>
    <w:basedOn w:val="Normal"/>
    <w:next w:val="Normal"/>
    <w:link w:val="Heading7Char"/>
    <w:uiPriority w:val="1"/>
    <w:semiHidden/>
    <w:qFormat/>
    <w:rsid w:val="00F9113D"/>
    <w:pPr>
      <w:keepNext/>
      <w:keepLines/>
      <w:spacing w:after="0"/>
      <w:outlineLvl w:val="6"/>
    </w:pPr>
    <w:rPr>
      <w:rFonts w:eastAsiaTheme="majorEastAsia" w:cstheme="majorBidi"/>
      <w:b/>
      <w:iCs/>
    </w:rPr>
  </w:style>
  <w:style w:type="paragraph" w:styleId="Heading8">
    <w:name w:val="heading 8"/>
    <w:basedOn w:val="Normal"/>
    <w:next w:val="Normal"/>
    <w:link w:val="Heading8Char"/>
    <w:uiPriority w:val="1"/>
    <w:semiHidden/>
    <w:qFormat/>
    <w:rsid w:val="00F9113D"/>
    <w:pPr>
      <w:keepNext/>
      <w:keepLines/>
      <w:spacing w:after="0"/>
      <w:outlineLvl w:val="7"/>
    </w:pPr>
    <w:rPr>
      <w:rFonts w:eastAsiaTheme="majorEastAsia" w:cstheme="majorBidi"/>
      <w:b/>
      <w:szCs w:val="20"/>
    </w:rPr>
  </w:style>
  <w:style w:type="paragraph" w:styleId="Heading9">
    <w:name w:val="heading 9"/>
    <w:basedOn w:val="Normal"/>
    <w:next w:val="Normal"/>
    <w:link w:val="Heading9Char"/>
    <w:uiPriority w:val="1"/>
    <w:semiHidden/>
    <w:qFormat/>
    <w:rsid w:val="00F9113D"/>
    <w:pPr>
      <w:keepNext/>
      <w:keepLines/>
      <w:spacing w:after="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2F33"/>
    <w:rPr>
      <w:rFonts w:ascii="Calibri Light" w:eastAsiaTheme="majorEastAsia" w:hAnsi="Calibri Light" w:cstheme="majorBidi"/>
      <w:bCs/>
      <w:sz w:val="60"/>
      <w:szCs w:val="28"/>
      <w:lang w:val="en-AU"/>
    </w:rPr>
  </w:style>
  <w:style w:type="character" w:customStyle="1" w:styleId="Heading2Char">
    <w:name w:val="Heading 2 Char"/>
    <w:basedOn w:val="DefaultParagraphFont"/>
    <w:link w:val="Heading2"/>
    <w:uiPriority w:val="1"/>
    <w:rsid w:val="00550003"/>
    <w:rPr>
      <w:rFonts w:ascii="Calibri Light" w:eastAsiaTheme="majorEastAsia" w:hAnsi="Calibri Light" w:cstheme="majorBidi"/>
      <w:b/>
      <w:bCs/>
      <w:color w:val="62B5E5" w:themeColor="accent3"/>
      <w:sz w:val="22"/>
      <w:szCs w:val="26"/>
      <w:lang w:val="en-AU"/>
    </w:rPr>
  </w:style>
  <w:style w:type="table" w:styleId="TableGrid">
    <w:name w:val="Table Grid"/>
    <w:basedOn w:val="TableNormal"/>
    <w:uiPriority w:val="99"/>
    <w:rsid w:val="00D93FF0"/>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Header">
    <w:name w:val="header"/>
    <w:link w:val="HeaderChar"/>
    <w:uiPriority w:val="10"/>
    <w:semiHidden/>
    <w:rsid w:val="000116B0"/>
    <w:pPr>
      <w:tabs>
        <w:tab w:val="center" w:pos="4513"/>
        <w:tab w:val="right" w:pos="9026"/>
      </w:tabs>
      <w:spacing w:line="240" w:lineRule="auto"/>
    </w:pPr>
    <w:rPr>
      <w:sz w:val="14"/>
      <w:lang w:val="en-AU"/>
    </w:rPr>
  </w:style>
  <w:style w:type="character" w:customStyle="1" w:styleId="HeaderChar">
    <w:name w:val="Header Char"/>
    <w:basedOn w:val="DefaultParagraphFont"/>
    <w:link w:val="Header"/>
    <w:uiPriority w:val="10"/>
    <w:semiHidden/>
    <w:rsid w:val="000116B0"/>
    <w:rPr>
      <w:sz w:val="14"/>
      <w:lang w:val="en-AU"/>
    </w:rPr>
  </w:style>
  <w:style w:type="paragraph" w:styleId="Footer">
    <w:name w:val="footer"/>
    <w:basedOn w:val="Normal"/>
    <w:link w:val="FooterChar"/>
    <w:uiPriority w:val="99"/>
    <w:qFormat/>
    <w:rsid w:val="00F9113D"/>
    <w:pPr>
      <w:tabs>
        <w:tab w:val="right" w:pos="7371"/>
      </w:tabs>
      <w:spacing w:after="0" w:line="200" w:lineRule="atLeast"/>
    </w:pPr>
    <w:rPr>
      <w:sz w:val="16"/>
    </w:rPr>
  </w:style>
  <w:style w:type="character" w:customStyle="1" w:styleId="FooterChar">
    <w:name w:val="Footer Char"/>
    <w:basedOn w:val="DefaultParagraphFont"/>
    <w:link w:val="Footer"/>
    <w:uiPriority w:val="99"/>
    <w:rsid w:val="00F9113D"/>
    <w:rPr>
      <w:sz w:val="16"/>
    </w:rPr>
  </w:style>
  <w:style w:type="paragraph" w:styleId="BalloonText">
    <w:name w:val="Balloon Text"/>
    <w:basedOn w:val="Normal"/>
    <w:link w:val="BalloonTextChar"/>
    <w:uiPriority w:val="99"/>
    <w:semiHidden/>
    <w:rsid w:val="00F911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3D"/>
    <w:rPr>
      <w:rFonts w:ascii="Tahoma" w:hAnsi="Tahoma" w:cs="Tahoma"/>
      <w:sz w:val="16"/>
      <w:szCs w:val="16"/>
    </w:rPr>
  </w:style>
  <w:style w:type="paragraph" w:customStyle="1" w:styleId="Subject">
    <w:name w:val="Subject"/>
    <w:basedOn w:val="Normal"/>
    <w:uiPriority w:val="6"/>
    <w:semiHidden/>
    <w:qFormat/>
    <w:rsid w:val="00F9113D"/>
    <w:pPr>
      <w:spacing w:after="0"/>
    </w:pPr>
    <w:rPr>
      <w:b/>
    </w:rPr>
  </w:style>
  <w:style w:type="character" w:styleId="PlaceholderText">
    <w:name w:val="Placeholder Text"/>
    <w:basedOn w:val="DefaultParagraphFont"/>
    <w:uiPriority w:val="10"/>
    <w:semiHidden/>
    <w:rsid w:val="00F9113D"/>
    <w:rPr>
      <w:color w:val="808080"/>
      <w:lang w:val="en-AU"/>
    </w:rPr>
  </w:style>
  <w:style w:type="paragraph" w:styleId="ListBullet">
    <w:name w:val="List Bullet"/>
    <w:basedOn w:val="Normal"/>
    <w:uiPriority w:val="3"/>
    <w:qFormat/>
    <w:rsid w:val="003A65F2"/>
    <w:pPr>
      <w:numPr>
        <w:numId w:val="13"/>
      </w:numPr>
      <w:spacing w:after="0"/>
      <w:contextualSpacing/>
    </w:pPr>
    <w:rPr>
      <w:szCs w:val="17"/>
    </w:rPr>
  </w:style>
  <w:style w:type="paragraph" w:styleId="ListBullet2">
    <w:name w:val="List Bullet 2"/>
    <w:basedOn w:val="Normal"/>
    <w:uiPriority w:val="3"/>
    <w:rsid w:val="003A65F2"/>
    <w:pPr>
      <w:numPr>
        <w:numId w:val="15"/>
      </w:numPr>
      <w:spacing w:after="0"/>
      <w:contextualSpacing/>
    </w:pPr>
    <w:rPr>
      <w:szCs w:val="17"/>
    </w:rPr>
  </w:style>
  <w:style w:type="paragraph" w:styleId="ListNumber">
    <w:name w:val="List Number"/>
    <w:basedOn w:val="Normal"/>
    <w:uiPriority w:val="3"/>
    <w:qFormat/>
    <w:rsid w:val="007F7A8C"/>
    <w:pPr>
      <w:numPr>
        <w:numId w:val="14"/>
      </w:numPr>
      <w:spacing w:after="0"/>
      <w:contextualSpacing/>
    </w:pPr>
    <w:rPr>
      <w:szCs w:val="17"/>
    </w:rPr>
  </w:style>
  <w:style w:type="paragraph" w:styleId="ListNumber2">
    <w:name w:val="List Number 2"/>
    <w:basedOn w:val="Normal"/>
    <w:uiPriority w:val="3"/>
    <w:qFormat/>
    <w:rsid w:val="007F7A8C"/>
    <w:pPr>
      <w:numPr>
        <w:ilvl w:val="1"/>
        <w:numId w:val="14"/>
      </w:numPr>
      <w:spacing w:after="0"/>
      <w:contextualSpacing/>
    </w:pPr>
  </w:style>
  <w:style w:type="character" w:customStyle="1" w:styleId="Heading3Char">
    <w:name w:val="Heading 3 Char"/>
    <w:basedOn w:val="DefaultParagraphFont"/>
    <w:link w:val="Heading3"/>
    <w:uiPriority w:val="1"/>
    <w:rsid w:val="00C50447"/>
    <w:rPr>
      <w:rFonts w:ascii="Calibri Light" w:eastAsiaTheme="majorEastAsia" w:hAnsi="Calibri Light" w:cstheme="majorBidi"/>
      <w:b/>
      <w:bCs/>
      <w:lang w:val="en-AU"/>
    </w:rPr>
  </w:style>
  <w:style w:type="character" w:customStyle="1" w:styleId="Heading4Char">
    <w:name w:val="Heading 4 Char"/>
    <w:basedOn w:val="DefaultParagraphFont"/>
    <w:link w:val="Heading4"/>
    <w:uiPriority w:val="1"/>
    <w:rsid w:val="00C50447"/>
    <w:rPr>
      <w:rFonts w:ascii="Calibri Light" w:eastAsiaTheme="majorEastAsia" w:hAnsi="Calibri Light" w:cstheme="majorBidi"/>
      <w:b/>
      <w:bCs/>
      <w:iCs/>
      <w:color w:val="75787B" w:themeColor="accent6"/>
      <w:lang w:val="en-AU"/>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basedOn w:val="Normal"/>
    <w:link w:val="FootnoteTextChar"/>
    <w:uiPriority w:val="99"/>
    <w:qFormat/>
    <w:rsid w:val="00F9113D"/>
    <w:pPr>
      <w:spacing w:after="0" w:line="240" w:lineRule="auto"/>
    </w:pPr>
    <w:rPr>
      <w:sz w:val="16"/>
      <w:szCs w:val="20"/>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basedOn w:val="DefaultParagraphFont"/>
    <w:link w:val="FootnoteText"/>
    <w:uiPriority w:val="99"/>
    <w:rsid w:val="00F9113D"/>
    <w:rPr>
      <w:sz w:val="16"/>
      <w:szCs w:val="20"/>
    </w:rPr>
  </w:style>
  <w:style w:type="paragraph" w:customStyle="1" w:styleId="Documenttitle">
    <w:name w:val="Document title"/>
    <w:next w:val="Documentsubtitle"/>
    <w:uiPriority w:val="7"/>
    <w:rsid w:val="00EA4B90"/>
    <w:pPr>
      <w:spacing w:line="440" w:lineRule="atLeast"/>
    </w:pPr>
    <w:rPr>
      <w:rFonts w:eastAsiaTheme="majorEastAsia" w:cstheme="majorBidi"/>
      <w:b/>
      <w:bCs/>
      <w:color w:val="000000" w:themeColor="text1"/>
      <w:sz w:val="36"/>
      <w:szCs w:val="28"/>
      <w:lang w:val="en-AU"/>
    </w:rPr>
  </w:style>
  <w:style w:type="paragraph" w:customStyle="1" w:styleId="Subheading">
    <w:name w:val="Subheading"/>
    <w:basedOn w:val="Normal"/>
    <w:next w:val="Normal"/>
    <w:uiPriority w:val="6"/>
    <w:semiHidden/>
    <w:qFormat/>
    <w:rsid w:val="00F9113D"/>
    <w:pPr>
      <w:spacing w:after="0"/>
    </w:pPr>
    <w:rPr>
      <w:rFonts w:eastAsiaTheme="majorEastAsia" w:cstheme="majorBidi"/>
      <w:b/>
      <w:bCs/>
      <w:iCs/>
      <w:color w:val="000000" w:themeColor="text1"/>
    </w:rPr>
  </w:style>
  <w:style w:type="character" w:styleId="FootnoteReference">
    <w:name w:val="footnote reference"/>
    <w:aliases w:val="fr,(NECG) Footnote Reference,Ref,de nota al pie"/>
    <w:basedOn w:val="DefaultParagraphFont"/>
    <w:uiPriority w:val="99"/>
    <w:qFormat/>
    <w:rsid w:val="00F9113D"/>
    <w:rPr>
      <w:vertAlign w:val="superscript"/>
      <w:lang w:val="en-AU"/>
    </w:rPr>
  </w:style>
  <w:style w:type="paragraph" w:customStyle="1" w:styleId="Sectionintro">
    <w:name w:val="Section intro"/>
    <w:basedOn w:val="Normal"/>
    <w:next w:val="Normal"/>
    <w:uiPriority w:val="2"/>
    <w:qFormat/>
    <w:rsid w:val="00F9113D"/>
    <w:pPr>
      <w:spacing w:after="360" w:line="360" w:lineRule="atLeast"/>
      <w:contextualSpacing/>
    </w:pPr>
    <w:rPr>
      <w:sz w:val="28"/>
    </w:rPr>
  </w:style>
  <w:style w:type="paragraph" w:customStyle="1" w:styleId="Documentdate">
    <w:name w:val="Document date"/>
    <w:uiPriority w:val="7"/>
    <w:rsid w:val="00165901"/>
    <w:rPr>
      <w:rFonts w:ascii="Open Sans Light" w:hAnsi="Open Sans Light"/>
      <w:lang w:val="en-AU"/>
    </w:rPr>
  </w:style>
  <w:style w:type="paragraph" w:customStyle="1" w:styleId="Heading1un-numbered">
    <w:name w:val="Heading 1 (un-numbered)"/>
    <w:basedOn w:val="Normal"/>
    <w:next w:val="Normal"/>
    <w:uiPriority w:val="2"/>
    <w:qFormat/>
    <w:rsid w:val="00F9113D"/>
    <w:pPr>
      <w:keepNext/>
      <w:keepLines/>
      <w:pageBreakBefore/>
      <w:spacing w:after="480" w:line="720" w:lineRule="atLeast"/>
      <w:outlineLvl w:val="0"/>
    </w:pPr>
    <w:rPr>
      <w:sz w:val="60"/>
    </w:rPr>
  </w:style>
  <w:style w:type="paragraph" w:customStyle="1" w:styleId="PulloutBlue">
    <w:name w:val="Pullout Blue"/>
    <w:basedOn w:val="Normal"/>
    <w:next w:val="Normal"/>
    <w:uiPriority w:val="6"/>
    <w:rsid w:val="00F9113D"/>
    <w:pPr>
      <w:spacing w:after="0" w:line="360" w:lineRule="atLeast"/>
    </w:pPr>
    <w:rPr>
      <w:color w:val="62B5E5" w:themeColor="accent3"/>
      <w:sz w:val="28"/>
    </w:rPr>
  </w:style>
  <w:style w:type="paragraph" w:customStyle="1" w:styleId="Contacttext">
    <w:name w:val="Contact text"/>
    <w:basedOn w:val="Normal"/>
    <w:uiPriority w:val="7"/>
    <w:semiHidden/>
    <w:rsid w:val="00F9113D"/>
    <w:pPr>
      <w:spacing w:after="0"/>
    </w:pPr>
  </w:style>
  <w:style w:type="paragraph" w:customStyle="1" w:styleId="Contactus">
    <w:name w:val="Contact us"/>
    <w:basedOn w:val="Contacttext"/>
    <w:next w:val="Contacttext"/>
    <w:uiPriority w:val="7"/>
    <w:semiHidden/>
    <w:rsid w:val="00F9113D"/>
    <w:pPr>
      <w:spacing w:after="240" w:line="340" w:lineRule="atLeast"/>
    </w:pPr>
    <w:rPr>
      <w:sz w:val="28"/>
    </w:rPr>
  </w:style>
  <w:style w:type="paragraph" w:styleId="Caption">
    <w:name w:val="caption"/>
    <w:basedOn w:val="Normal"/>
    <w:next w:val="Normal"/>
    <w:qFormat/>
    <w:rsid w:val="005D6648"/>
    <w:pPr>
      <w:keepNext/>
      <w:keepLines/>
      <w:spacing w:before="240" w:after="240"/>
    </w:pPr>
    <w:rPr>
      <w:iCs/>
      <w:color w:val="75787B" w:themeColor="accent6"/>
      <w:sz w:val="17"/>
    </w:rPr>
  </w:style>
  <w:style w:type="character" w:styleId="Hyperlink">
    <w:name w:val="Hyperlink"/>
    <w:basedOn w:val="DefaultParagraphFont"/>
    <w:uiPriority w:val="99"/>
    <w:rsid w:val="00F9113D"/>
    <w:rPr>
      <w:color w:val="00A3E0" w:themeColor="hyperlink"/>
      <w:u w:val="single"/>
      <w:lang w:val="en-AU"/>
    </w:rPr>
  </w:style>
  <w:style w:type="paragraph" w:customStyle="1" w:styleId="PulloutGreen">
    <w:name w:val="Pullout Green"/>
    <w:basedOn w:val="PulloutBlue"/>
    <w:next w:val="Normal"/>
    <w:uiPriority w:val="6"/>
    <w:rsid w:val="00F9113D"/>
    <w:rPr>
      <w:color w:val="86BC25" w:themeColor="accent1"/>
    </w:rPr>
  </w:style>
  <w:style w:type="paragraph" w:customStyle="1" w:styleId="QuotesourceBlue">
    <w:name w:val="Quote source Blue"/>
    <w:basedOn w:val="Normal"/>
    <w:next w:val="Normal"/>
    <w:uiPriority w:val="6"/>
    <w:rsid w:val="00F9113D"/>
    <w:pPr>
      <w:spacing w:after="0" w:line="200" w:lineRule="atLeast"/>
      <w:contextualSpacing/>
    </w:pPr>
    <w:rPr>
      <w:b/>
      <w:color w:val="62B5E5" w:themeColor="accent3"/>
      <w:sz w:val="17"/>
    </w:rPr>
  </w:style>
  <w:style w:type="paragraph" w:customStyle="1" w:styleId="QuotesourceGreen">
    <w:name w:val="Quote source Green"/>
    <w:basedOn w:val="QuotesourceBlue"/>
    <w:next w:val="Normal"/>
    <w:uiPriority w:val="6"/>
    <w:rsid w:val="00F9113D"/>
    <w:rPr>
      <w:color w:val="86BC25" w:themeColor="accent1"/>
    </w:rPr>
  </w:style>
  <w:style w:type="paragraph" w:customStyle="1" w:styleId="Paneltext">
    <w:name w:val="Panel text"/>
    <w:basedOn w:val="Normal"/>
    <w:uiPriority w:val="6"/>
    <w:rsid w:val="00F9113D"/>
    <w:pPr>
      <w:spacing w:after="0"/>
    </w:pPr>
    <w:rPr>
      <w:color w:val="FFFFFF"/>
      <w:sz w:val="17"/>
    </w:rPr>
  </w:style>
  <w:style w:type="paragraph" w:customStyle="1" w:styleId="Paneltitle">
    <w:name w:val="Panel title"/>
    <w:basedOn w:val="Paneltext"/>
    <w:next w:val="Paneltext"/>
    <w:uiPriority w:val="6"/>
    <w:rsid w:val="00F9113D"/>
    <w:pPr>
      <w:spacing w:line="360" w:lineRule="atLeast"/>
    </w:pPr>
    <w:rPr>
      <w:b/>
      <w:sz w:val="28"/>
    </w:rPr>
  </w:style>
  <w:style w:type="paragraph" w:customStyle="1" w:styleId="Formoreinfocalloutwhite8512ptPullOutStyles">
    <w:name w:val="For more info call out (white 8.5/12pt) (Pull Out Styles)"/>
    <w:basedOn w:val="Normal"/>
    <w:uiPriority w:val="99"/>
    <w:semiHidden/>
    <w:rsid w:val="00F9113D"/>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uiPriority w:val="7"/>
    <w:rsid w:val="00F9113D"/>
    <w:pPr>
      <w:spacing w:line="440" w:lineRule="atLeast"/>
    </w:pPr>
    <w:rPr>
      <w:sz w:val="36"/>
    </w:rPr>
  </w:style>
  <w:style w:type="paragraph" w:customStyle="1" w:styleId="Contentstitle">
    <w:name w:val="Contents title"/>
    <w:basedOn w:val="Heading1un-numbered"/>
    <w:next w:val="Normal"/>
    <w:uiPriority w:val="7"/>
    <w:semiHidden/>
    <w:rsid w:val="00F9113D"/>
  </w:style>
  <w:style w:type="paragraph" w:styleId="TOC1">
    <w:name w:val="toc 1"/>
    <w:basedOn w:val="Normal"/>
    <w:next w:val="Normal"/>
    <w:uiPriority w:val="39"/>
    <w:rsid w:val="00415020"/>
    <w:pPr>
      <w:tabs>
        <w:tab w:val="left" w:pos="567"/>
        <w:tab w:val="right" w:pos="6917"/>
      </w:tabs>
      <w:spacing w:line="160" w:lineRule="atLeast"/>
      <w:ind w:left="567" w:right="567" w:hanging="567"/>
    </w:pPr>
  </w:style>
  <w:style w:type="paragraph" w:customStyle="1" w:styleId="Quotetext">
    <w:name w:val="Quote text"/>
    <w:basedOn w:val="PulloutBlue"/>
    <w:uiPriority w:val="6"/>
    <w:rsid w:val="00F9113D"/>
    <w:pPr>
      <w:spacing w:line="720" w:lineRule="atLeast"/>
    </w:pPr>
    <w:rPr>
      <w:color w:val="FFFFFF"/>
      <w:sz w:val="60"/>
    </w:rPr>
  </w:style>
  <w:style w:type="paragraph" w:customStyle="1" w:styleId="Legaltext">
    <w:name w:val="Legal text"/>
    <w:basedOn w:val="Normal"/>
    <w:uiPriority w:val="7"/>
    <w:semiHidden/>
    <w:qFormat/>
    <w:rsid w:val="00F9113D"/>
    <w:pPr>
      <w:spacing w:after="0" w:line="180" w:lineRule="atLeast"/>
    </w:pPr>
    <w:rPr>
      <w:sz w:val="14"/>
    </w:rPr>
  </w:style>
  <w:style w:type="table" w:customStyle="1" w:styleId="Deloittetable">
    <w:name w:val="Deloitte table"/>
    <w:basedOn w:val="TableNormal"/>
    <w:uiPriority w:val="99"/>
    <w:rsid w:val="00FC1637"/>
    <w:pPr>
      <w:ind w:left="57" w:right="57"/>
    </w:pPr>
    <w:rPr>
      <w:sz w:val="17"/>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paragraph" w:customStyle="1" w:styleId="TabletextLeft">
    <w:name w:val="Table text Left"/>
    <w:basedOn w:val="Normal"/>
    <w:uiPriority w:val="5"/>
    <w:rsid w:val="00FC1637"/>
    <w:pPr>
      <w:spacing w:after="0" w:line="200" w:lineRule="atLeast"/>
      <w:ind w:left="57" w:right="57"/>
    </w:pPr>
    <w:rPr>
      <w:sz w:val="17"/>
    </w:rPr>
  </w:style>
  <w:style w:type="paragraph" w:customStyle="1" w:styleId="TableHeadingLeft">
    <w:name w:val="Table Heading Left"/>
    <w:basedOn w:val="TabletextLeft"/>
    <w:uiPriority w:val="5"/>
    <w:rsid w:val="00BD7322"/>
    <w:rPr>
      <w:b/>
      <w:color w:val="62B5E5" w:themeColor="accent3"/>
    </w:rPr>
  </w:style>
  <w:style w:type="paragraph" w:customStyle="1" w:styleId="Source">
    <w:name w:val="Source"/>
    <w:basedOn w:val="Caption"/>
    <w:next w:val="Normal"/>
    <w:uiPriority w:val="6"/>
    <w:rsid w:val="00B5479F"/>
    <w:pPr>
      <w:keepNext w:val="0"/>
      <w:keepLines w:val="0"/>
      <w:spacing w:before="120"/>
    </w:pPr>
    <w:rPr>
      <w:sz w:val="14"/>
    </w:rPr>
  </w:style>
  <w:style w:type="paragraph" w:customStyle="1" w:styleId="Tablebullets">
    <w:name w:val="Table bullets"/>
    <w:basedOn w:val="TabletextLeft"/>
    <w:uiPriority w:val="5"/>
    <w:rsid w:val="00F9113D"/>
    <w:pPr>
      <w:framePr w:hSpace="180" w:wrap="around" w:vAnchor="text" w:hAnchor="text" w:y="1"/>
      <w:numPr>
        <w:numId w:val="8"/>
      </w:numPr>
      <w:suppressOverlap/>
    </w:pPr>
  </w:style>
  <w:style w:type="paragraph" w:customStyle="1" w:styleId="Tablenumbered">
    <w:name w:val="Table numbered"/>
    <w:basedOn w:val="TabletextLeft"/>
    <w:uiPriority w:val="5"/>
    <w:rsid w:val="00F9113D"/>
    <w:pPr>
      <w:framePr w:hSpace="180" w:wrap="around" w:vAnchor="text" w:hAnchor="text" w:y="1"/>
      <w:numPr>
        <w:numId w:val="9"/>
      </w:numPr>
      <w:suppressOverlap/>
    </w:pPr>
  </w:style>
  <w:style w:type="paragraph" w:customStyle="1" w:styleId="Charttitle">
    <w:name w:val="Chart title"/>
    <w:uiPriority w:val="7"/>
    <w:rsid w:val="00F9113D"/>
    <w:pPr>
      <w:spacing w:before="120" w:after="120"/>
    </w:pPr>
    <w:rPr>
      <w:rFonts w:eastAsiaTheme="majorEastAsia" w:cstheme="majorBidi"/>
      <w:b/>
      <w:bCs/>
      <w:color w:val="62B5E5" w:themeColor="accent3"/>
      <w:szCs w:val="26"/>
      <w:lang w:val="en-AU"/>
    </w:rPr>
  </w:style>
  <w:style w:type="paragraph" w:styleId="Bibliography">
    <w:name w:val="Bibliography"/>
    <w:basedOn w:val="Normal"/>
    <w:next w:val="Normal"/>
    <w:uiPriority w:val="99"/>
    <w:semiHidden/>
    <w:rsid w:val="00F9113D"/>
  </w:style>
  <w:style w:type="paragraph" w:styleId="BlockText">
    <w:name w:val="Block Text"/>
    <w:basedOn w:val="Normal"/>
    <w:uiPriority w:val="99"/>
    <w:semiHidden/>
    <w:rsid w:val="00F9113D"/>
    <w:pPr>
      <w:pBdr>
        <w:top w:val="single" w:sz="2" w:space="10" w:color="86BC25" w:themeColor="accent1" w:frame="1"/>
        <w:left w:val="single" w:sz="2" w:space="10" w:color="86BC25" w:themeColor="accent1" w:frame="1"/>
        <w:bottom w:val="single" w:sz="2" w:space="10" w:color="86BC25" w:themeColor="accent1" w:frame="1"/>
        <w:right w:val="single" w:sz="2" w:space="10" w:color="86BC25" w:themeColor="accent1" w:frame="1"/>
      </w:pBdr>
      <w:ind w:left="1152" w:right="1152"/>
    </w:pPr>
    <w:rPr>
      <w:rFonts w:eastAsiaTheme="minorEastAsia"/>
      <w:i/>
      <w:iCs/>
      <w:color w:val="86BC25" w:themeColor="accent1"/>
    </w:rPr>
  </w:style>
  <w:style w:type="paragraph" w:styleId="BodyText">
    <w:name w:val="Body Text"/>
    <w:basedOn w:val="Normal"/>
    <w:link w:val="BodyTextChar"/>
    <w:semiHidden/>
    <w:rsid w:val="00F9113D"/>
    <w:pPr>
      <w:spacing w:after="240"/>
    </w:pPr>
  </w:style>
  <w:style w:type="character" w:customStyle="1" w:styleId="BodyTextChar">
    <w:name w:val="Body Text Char"/>
    <w:basedOn w:val="DefaultParagraphFont"/>
    <w:link w:val="BodyText"/>
    <w:semiHidden/>
    <w:rsid w:val="00D24870"/>
  </w:style>
  <w:style w:type="paragraph" w:styleId="BodyText2">
    <w:name w:val="Body Text 2"/>
    <w:basedOn w:val="Normal"/>
    <w:link w:val="BodyText2Char"/>
    <w:uiPriority w:val="99"/>
    <w:semiHidden/>
    <w:rsid w:val="00F9113D"/>
    <w:pPr>
      <w:spacing w:line="480" w:lineRule="auto"/>
    </w:pPr>
  </w:style>
  <w:style w:type="character" w:customStyle="1" w:styleId="BodyText2Char">
    <w:name w:val="Body Text 2 Char"/>
    <w:basedOn w:val="DefaultParagraphFont"/>
    <w:link w:val="BodyText2"/>
    <w:uiPriority w:val="99"/>
    <w:semiHidden/>
    <w:rsid w:val="00F9113D"/>
    <w:rPr>
      <w:rFonts w:ascii="Calibri Light" w:hAnsi="Calibri Light"/>
      <w:lang w:val="en-AU"/>
    </w:rPr>
  </w:style>
  <w:style w:type="paragraph" w:styleId="BodyText3">
    <w:name w:val="Body Text 3"/>
    <w:basedOn w:val="Normal"/>
    <w:link w:val="BodyText3Char"/>
    <w:uiPriority w:val="99"/>
    <w:semiHidden/>
    <w:rsid w:val="00F9113D"/>
    <w:rPr>
      <w:sz w:val="16"/>
      <w:szCs w:val="16"/>
    </w:rPr>
  </w:style>
  <w:style w:type="character" w:customStyle="1" w:styleId="BodyText3Char">
    <w:name w:val="Body Text 3 Char"/>
    <w:basedOn w:val="DefaultParagraphFont"/>
    <w:link w:val="BodyText3"/>
    <w:uiPriority w:val="99"/>
    <w:semiHidden/>
    <w:rsid w:val="00F9113D"/>
    <w:rPr>
      <w:rFonts w:ascii="Calibri Light" w:hAnsi="Calibri Light"/>
      <w:sz w:val="16"/>
      <w:szCs w:val="16"/>
      <w:lang w:val="en-AU"/>
    </w:rPr>
  </w:style>
  <w:style w:type="paragraph" w:styleId="BodyTextFirstIndent">
    <w:name w:val="Body Text First Indent"/>
    <w:basedOn w:val="BodyText"/>
    <w:link w:val="BodyTextFirstIndentChar"/>
    <w:uiPriority w:val="99"/>
    <w:semiHidden/>
    <w:rsid w:val="00F9113D"/>
    <w:pPr>
      <w:ind w:firstLine="360"/>
    </w:pPr>
  </w:style>
  <w:style w:type="character" w:customStyle="1" w:styleId="BodyTextFirstIndentChar">
    <w:name w:val="Body Text First Indent Char"/>
    <w:basedOn w:val="BodyTextChar"/>
    <w:link w:val="BodyTextFirstIndent"/>
    <w:uiPriority w:val="99"/>
    <w:semiHidden/>
    <w:rsid w:val="00F9113D"/>
  </w:style>
  <w:style w:type="paragraph" w:styleId="BodyTextIndent">
    <w:name w:val="Body Text Indent"/>
    <w:basedOn w:val="Normal"/>
    <w:link w:val="BodyTextIndentChar"/>
    <w:uiPriority w:val="99"/>
    <w:semiHidden/>
    <w:rsid w:val="00F9113D"/>
    <w:pPr>
      <w:ind w:left="283"/>
    </w:pPr>
  </w:style>
  <w:style w:type="character" w:customStyle="1" w:styleId="BodyTextIndentChar">
    <w:name w:val="Body Text Indent Char"/>
    <w:basedOn w:val="DefaultParagraphFont"/>
    <w:link w:val="BodyTextIndent"/>
    <w:uiPriority w:val="99"/>
    <w:semiHidden/>
    <w:rsid w:val="00F9113D"/>
    <w:rPr>
      <w:rFonts w:ascii="Calibri Light" w:hAnsi="Calibri Light"/>
      <w:lang w:val="en-AU"/>
    </w:rPr>
  </w:style>
  <w:style w:type="paragraph" w:styleId="BodyTextFirstIndent2">
    <w:name w:val="Body Text First Indent 2"/>
    <w:basedOn w:val="BodyTextIndent"/>
    <w:link w:val="BodyTextFirstIndent2Char"/>
    <w:uiPriority w:val="99"/>
    <w:semiHidden/>
    <w:rsid w:val="00F9113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9113D"/>
    <w:rPr>
      <w:rFonts w:ascii="Calibri Light" w:hAnsi="Calibri Light"/>
      <w:lang w:val="en-AU"/>
    </w:rPr>
  </w:style>
  <w:style w:type="paragraph" w:styleId="BodyTextIndent2">
    <w:name w:val="Body Text Indent 2"/>
    <w:basedOn w:val="Normal"/>
    <w:link w:val="BodyTextIndent2Char"/>
    <w:uiPriority w:val="99"/>
    <w:semiHidden/>
    <w:rsid w:val="00F9113D"/>
    <w:pPr>
      <w:spacing w:line="480" w:lineRule="auto"/>
      <w:ind w:left="283"/>
    </w:pPr>
  </w:style>
  <w:style w:type="character" w:customStyle="1" w:styleId="BodyTextIndent2Char">
    <w:name w:val="Body Text Indent 2 Char"/>
    <w:basedOn w:val="DefaultParagraphFont"/>
    <w:link w:val="BodyTextIndent2"/>
    <w:uiPriority w:val="99"/>
    <w:semiHidden/>
    <w:rsid w:val="00F9113D"/>
    <w:rPr>
      <w:rFonts w:ascii="Calibri Light" w:hAnsi="Calibri Light"/>
      <w:lang w:val="en-AU"/>
    </w:rPr>
  </w:style>
  <w:style w:type="paragraph" w:styleId="BodyTextIndent3">
    <w:name w:val="Body Text Indent 3"/>
    <w:basedOn w:val="Normal"/>
    <w:link w:val="BodyTextIndent3Char"/>
    <w:uiPriority w:val="99"/>
    <w:semiHidden/>
    <w:rsid w:val="00F9113D"/>
    <w:pPr>
      <w:ind w:left="283"/>
    </w:pPr>
    <w:rPr>
      <w:sz w:val="16"/>
      <w:szCs w:val="16"/>
    </w:rPr>
  </w:style>
  <w:style w:type="character" w:customStyle="1" w:styleId="BodyTextIndent3Char">
    <w:name w:val="Body Text Indent 3 Char"/>
    <w:basedOn w:val="DefaultParagraphFont"/>
    <w:link w:val="BodyTextIndent3"/>
    <w:uiPriority w:val="99"/>
    <w:semiHidden/>
    <w:rsid w:val="00F9113D"/>
    <w:rPr>
      <w:rFonts w:ascii="Calibri Light" w:hAnsi="Calibri Light"/>
      <w:sz w:val="16"/>
      <w:szCs w:val="16"/>
      <w:lang w:val="en-AU"/>
    </w:rPr>
  </w:style>
  <w:style w:type="character" w:styleId="BookTitle">
    <w:name w:val="Book Title"/>
    <w:basedOn w:val="DefaultParagraphFont"/>
    <w:uiPriority w:val="99"/>
    <w:semiHidden/>
    <w:qFormat/>
    <w:rsid w:val="00F9113D"/>
    <w:rPr>
      <w:b/>
      <w:bCs/>
      <w:smallCaps/>
      <w:spacing w:val="5"/>
      <w:lang w:val="en-AU"/>
    </w:rPr>
  </w:style>
  <w:style w:type="paragraph" w:styleId="Closing">
    <w:name w:val="Closing"/>
    <w:basedOn w:val="Normal"/>
    <w:link w:val="ClosingChar"/>
    <w:uiPriority w:val="99"/>
    <w:semiHidden/>
    <w:rsid w:val="00F9113D"/>
    <w:pPr>
      <w:spacing w:line="240" w:lineRule="auto"/>
      <w:ind w:left="4252"/>
    </w:pPr>
  </w:style>
  <w:style w:type="character" w:customStyle="1" w:styleId="ClosingChar">
    <w:name w:val="Closing Char"/>
    <w:basedOn w:val="DefaultParagraphFont"/>
    <w:link w:val="Closing"/>
    <w:uiPriority w:val="99"/>
    <w:semiHidden/>
    <w:rsid w:val="00F9113D"/>
  </w:style>
  <w:style w:type="table" w:styleId="ColorfulGrid">
    <w:name w:val="Colorful Grid"/>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CF" w:themeFill="accent1" w:themeFillTint="33"/>
    </w:tcPr>
    <w:tblStylePr w:type="firstRow">
      <w:rPr>
        <w:b/>
        <w:bCs/>
      </w:rPr>
      <w:tblPr/>
      <w:tcPr>
        <w:shd w:val="clear" w:color="auto" w:fill="D0EC9F" w:themeFill="accent1" w:themeFillTint="66"/>
      </w:tcPr>
    </w:tblStylePr>
    <w:tblStylePr w:type="lastRow">
      <w:rPr>
        <w:b/>
        <w:bCs/>
        <w:color w:val="000000" w:themeColor="text1"/>
      </w:rPr>
      <w:tblPr/>
      <w:tcPr>
        <w:shd w:val="clear" w:color="auto" w:fill="D0EC9F" w:themeFill="accent1" w:themeFillTint="66"/>
      </w:tcPr>
    </w:tblStylePr>
    <w:tblStylePr w:type="firstCol">
      <w:rPr>
        <w:color w:val="FFFFFF" w:themeColor="background1"/>
      </w:rPr>
      <w:tblPr/>
      <w:tcPr>
        <w:shd w:val="clear" w:color="auto" w:fill="638C1B" w:themeFill="accent1" w:themeFillShade="BF"/>
      </w:tcPr>
    </w:tblStylePr>
    <w:tblStylePr w:type="lastCol">
      <w:rPr>
        <w:color w:val="FFFFFF" w:themeColor="background1"/>
      </w:rPr>
      <w:tblPr/>
      <w:tcPr>
        <w:shd w:val="clear" w:color="auto" w:fill="638C1B" w:themeFill="accent1" w:themeFillShade="BF"/>
      </w:tc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ColorfulGrid-Accent2">
    <w:name w:val="Colorful Grid Accent 2"/>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CD7" w:themeFill="accent2" w:themeFillTint="33"/>
    </w:tcPr>
    <w:tblStylePr w:type="firstRow">
      <w:rPr>
        <w:b/>
        <w:bCs/>
      </w:rPr>
      <w:tblPr/>
      <w:tcPr>
        <w:shd w:val="clear" w:color="auto" w:fill="64F9B0" w:themeFill="accent2" w:themeFillTint="66"/>
      </w:tcPr>
    </w:tblStylePr>
    <w:tblStylePr w:type="lastRow">
      <w:rPr>
        <w:b/>
        <w:bCs/>
        <w:color w:val="000000" w:themeColor="text1"/>
      </w:rPr>
      <w:tblPr/>
      <w:tcPr>
        <w:shd w:val="clear" w:color="auto" w:fill="64F9B0" w:themeFill="accent2" w:themeFillTint="66"/>
      </w:tcPr>
    </w:tblStylePr>
    <w:tblStylePr w:type="firstCol">
      <w:rPr>
        <w:color w:val="FFFFFF" w:themeColor="background1"/>
      </w:rPr>
      <w:tblPr/>
      <w:tcPr>
        <w:shd w:val="clear" w:color="auto" w:fill="034F29" w:themeFill="accent2" w:themeFillShade="BF"/>
      </w:tcPr>
    </w:tblStylePr>
    <w:tblStylePr w:type="lastCol">
      <w:rPr>
        <w:color w:val="FFFFFF" w:themeColor="background1"/>
      </w:rPr>
      <w:tblPr/>
      <w:tcPr>
        <w:shd w:val="clear" w:color="auto" w:fill="034F29" w:themeFill="accent2" w:themeFillShade="BF"/>
      </w:tc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ColorfulGrid-Accent3">
    <w:name w:val="Colorful Grid Accent 3"/>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F0F9" w:themeFill="accent3" w:themeFillTint="33"/>
    </w:tcPr>
    <w:tblStylePr w:type="firstRow">
      <w:rPr>
        <w:b/>
        <w:bCs/>
      </w:rPr>
      <w:tblPr/>
      <w:tcPr>
        <w:shd w:val="clear" w:color="auto" w:fill="C0E1F4" w:themeFill="accent3" w:themeFillTint="66"/>
      </w:tcPr>
    </w:tblStylePr>
    <w:tblStylePr w:type="lastRow">
      <w:rPr>
        <w:b/>
        <w:bCs/>
        <w:color w:val="000000"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ColorfulGrid-Accent4">
    <w:name w:val="Colorful Grid Accent 4"/>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EC7FE" w:themeFill="accent4" w:themeFillTint="33"/>
    </w:tcPr>
    <w:tblStylePr w:type="firstRow">
      <w:rPr>
        <w:b/>
        <w:bCs/>
      </w:rPr>
      <w:tblPr/>
      <w:tcPr>
        <w:shd w:val="clear" w:color="auto" w:fill="5E8FFD" w:themeFill="accent4" w:themeFillTint="66"/>
      </w:tcPr>
    </w:tblStylePr>
    <w:tblStylePr w:type="lastRow">
      <w:rPr>
        <w:b/>
        <w:bCs/>
        <w:color w:val="000000" w:themeColor="text1"/>
      </w:rPr>
      <w:tblPr/>
      <w:tcPr>
        <w:shd w:val="clear" w:color="auto" w:fill="5E8FFD" w:themeFill="accent4" w:themeFillTint="66"/>
      </w:tcPr>
    </w:tblStylePr>
    <w:tblStylePr w:type="firstCol">
      <w:rPr>
        <w:color w:val="FFFFFF" w:themeColor="background1"/>
      </w:rPr>
      <w:tblPr/>
      <w:tcPr>
        <w:shd w:val="clear" w:color="auto" w:fill="00184E" w:themeFill="accent4" w:themeFillShade="BF"/>
      </w:tcPr>
    </w:tblStylePr>
    <w:tblStylePr w:type="lastCol">
      <w:rPr>
        <w:color w:val="FFFFFF" w:themeColor="background1"/>
      </w:rPr>
      <w:tblPr/>
      <w:tcPr>
        <w:shd w:val="clear" w:color="auto" w:fill="00184E" w:themeFill="accent4" w:themeFillShade="BF"/>
      </w:tc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ColorfulGrid-Accent5">
    <w:name w:val="Colorful Grid Accent 5"/>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7FF" w:themeFill="accent5" w:themeFillTint="33"/>
    </w:tcPr>
    <w:tblStylePr w:type="firstRow">
      <w:rPr>
        <w:b/>
        <w:bCs/>
      </w:rPr>
      <w:tblPr/>
      <w:tcPr>
        <w:shd w:val="clear" w:color="auto" w:fill="76EFFF" w:themeFill="accent5" w:themeFillTint="66"/>
      </w:tcPr>
    </w:tblStylePr>
    <w:tblStylePr w:type="lastRow">
      <w:rPr>
        <w:b/>
        <w:bCs/>
        <w:color w:val="000000" w:themeColor="text1"/>
      </w:rPr>
      <w:tblPr/>
      <w:tcPr>
        <w:shd w:val="clear" w:color="auto" w:fill="76EFFF" w:themeFill="accent5" w:themeFillTint="66"/>
      </w:tcPr>
    </w:tblStylePr>
    <w:tblStylePr w:type="firstCol">
      <w:rPr>
        <w:color w:val="FFFFFF" w:themeColor="background1"/>
      </w:rPr>
      <w:tblPr/>
      <w:tcPr>
        <w:shd w:val="clear" w:color="auto" w:fill="00707E" w:themeFill="accent5" w:themeFillShade="BF"/>
      </w:tcPr>
    </w:tblStylePr>
    <w:tblStylePr w:type="lastCol">
      <w:rPr>
        <w:color w:val="FFFFFF" w:themeColor="background1"/>
      </w:rPr>
      <w:tblPr/>
      <w:tcPr>
        <w:shd w:val="clear" w:color="auto" w:fill="00707E" w:themeFill="accent5" w:themeFillShade="BF"/>
      </w:tc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ColorfulGrid-Accent6">
    <w:name w:val="Colorful Grid Accent 6"/>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3E4" w:themeFill="accent6" w:themeFillTint="33"/>
    </w:tcPr>
    <w:tblStylePr w:type="firstRow">
      <w:rPr>
        <w:b/>
        <w:bCs/>
      </w:rPr>
      <w:tblPr/>
      <w:tcPr>
        <w:shd w:val="clear" w:color="auto" w:fill="C7C8CA" w:themeFill="accent6" w:themeFillTint="66"/>
      </w:tcPr>
    </w:tblStylePr>
    <w:tblStylePr w:type="lastRow">
      <w:rPr>
        <w:b/>
        <w:bCs/>
        <w:color w:val="000000" w:themeColor="text1"/>
      </w:rPr>
      <w:tblPr/>
      <w:tcPr>
        <w:shd w:val="clear" w:color="auto" w:fill="C7C8CA" w:themeFill="accent6" w:themeFillTint="66"/>
      </w:tcPr>
    </w:tblStylePr>
    <w:tblStylePr w:type="firstCol">
      <w:rPr>
        <w:color w:val="FFFFFF" w:themeColor="background1"/>
      </w:rPr>
      <w:tblPr/>
      <w:tcPr>
        <w:shd w:val="clear" w:color="auto" w:fill="57595C" w:themeFill="accent6" w:themeFillShade="BF"/>
      </w:tcPr>
    </w:tblStylePr>
    <w:tblStylePr w:type="lastCol">
      <w:rPr>
        <w:color w:val="FFFFFF" w:themeColor="background1"/>
      </w:rPr>
      <w:tblPr/>
      <w:tcPr>
        <w:shd w:val="clear" w:color="auto" w:fill="57595C" w:themeFill="accent6" w:themeFillShade="BF"/>
      </w:tc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ColorfulList">
    <w:name w:val="Colorful List"/>
    <w:basedOn w:val="TableNormal"/>
    <w:uiPriority w:val="72"/>
    <w:rsid w:val="00F9113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9113D"/>
    <w:pPr>
      <w:spacing w:line="240" w:lineRule="auto"/>
    </w:pPr>
    <w:rPr>
      <w:color w:val="000000" w:themeColor="text1"/>
    </w:rPr>
    <w:tblPr>
      <w:tblStyleRowBandSize w:val="1"/>
      <w:tblStyleColBandSize w:val="1"/>
    </w:tblPr>
    <w:tcPr>
      <w:shd w:val="clear" w:color="auto" w:fill="F3FAE7" w:themeFill="accen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1" w:themeFillTint="3F"/>
      </w:tcPr>
    </w:tblStylePr>
    <w:tblStylePr w:type="band1Horz">
      <w:tblPr/>
      <w:tcPr>
        <w:shd w:val="clear" w:color="auto" w:fill="E7F5CF" w:themeFill="accent1" w:themeFillTint="33"/>
      </w:tcPr>
    </w:tblStylePr>
  </w:style>
  <w:style w:type="table" w:styleId="ColorfulList-Accent2">
    <w:name w:val="Colorful List Accent 2"/>
    <w:basedOn w:val="TableNormal"/>
    <w:uiPriority w:val="72"/>
    <w:rsid w:val="00F9113D"/>
    <w:pPr>
      <w:spacing w:line="240" w:lineRule="auto"/>
    </w:pPr>
    <w:rPr>
      <w:color w:val="000000" w:themeColor="text1"/>
    </w:rPr>
    <w:tblPr>
      <w:tblStyleRowBandSize w:val="1"/>
      <w:tblStyleColBandSize w:val="1"/>
    </w:tblPr>
    <w:tcPr>
      <w:shd w:val="clear" w:color="auto" w:fill="D9FDEB" w:themeFill="accent2"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2" w:themeFillTint="3F"/>
      </w:tcPr>
    </w:tblStylePr>
    <w:tblStylePr w:type="band1Horz">
      <w:tblPr/>
      <w:tcPr>
        <w:shd w:val="clear" w:color="auto" w:fill="B1FCD7" w:themeFill="accent2" w:themeFillTint="33"/>
      </w:tcPr>
    </w:tblStylePr>
  </w:style>
  <w:style w:type="table" w:styleId="ColorfulList-Accent3">
    <w:name w:val="Colorful List Accent 3"/>
    <w:basedOn w:val="TableNormal"/>
    <w:uiPriority w:val="72"/>
    <w:rsid w:val="00F9113D"/>
    <w:pPr>
      <w:spacing w:line="240" w:lineRule="auto"/>
    </w:pPr>
    <w:rPr>
      <w:color w:val="000000" w:themeColor="text1"/>
    </w:rPr>
    <w:tblPr>
      <w:tblStyleRowBandSize w:val="1"/>
      <w:tblStyleColBandSize w:val="1"/>
    </w:tblPr>
    <w:tcPr>
      <w:shd w:val="clear" w:color="auto" w:fill="EFF7FC" w:themeFill="accent3" w:themeFillTint="19"/>
    </w:tcPr>
    <w:tblStylePr w:type="firstRow">
      <w:rPr>
        <w:b/>
        <w:bCs/>
        <w:color w:val="FFFFFF" w:themeColor="background1"/>
      </w:rPr>
      <w:tblPr/>
      <w:tcPr>
        <w:tcBorders>
          <w:bottom w:val="single" w:sz="12" w:space="0" w:color="FFFFFF" w:themeColor="background1"/>
        </w:tcBorders>
        <w:shd w:val="clear" w:color="auto" w:fill="001A53" w:themeFill="accent4" w:themeFillShade="CC"/>
      </w:tcPr>
    </w:tblStylePr>
    <w:tblStylePr w:type="lastRow">
      <w:rPr>
        <w:b/>
        <w:bCs/>
        <w:color w:val="001A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ColorfulList-Accent4">
    <w:name w:val="Colorful List Accent 4"/>
    <w:basedOn w:val="TableNormal"/>
    <w:uiPriority w:val="72"/>
    <w:rsid w:val="00F9113D"/>
    <w:pPr>
      <w:spacing w:line="240" w:lineRule="auto"/>
    </w:pPr>
    <w:rPr>
      <w:color w:val="000000" w:themeColor="text1"/>
    </w:rPr>
    <w:tblPr>
      <w:tblStyleRowBandSize w:val="1"/>
      <w:tblStyleColBandSize w:val="1"/>
    </w:tblPr>
    <w:tcPr>
      <w:shd w:val="clear" w:color="auto" w:fill="D7E3FE" w:themeFill="accent4" w:themeFillTint="19"/>
    </w:tcPr>
    <w:tblStylePr w:type="firstRow">
      <w:rPr>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4" w:themeFillTint="3F"/>
      </w:tcPr>
    </w:tblStylePr>
    <w:tblStylePr w:type="band1Horz">
      <w:tblPr/>
      <w:tcPr>
        <w:shd w:val="clear" w:color="auto" w:fill="AEC7FE" w:themeFill="accent4" w:themeFillTint="33"/>
      </w:tcPr>
    </w:tblStylePr>
  </w:style>
  <w:style w:type="table" w:styleId="ColorfulList-Accent5">
    <w:name w:val="Colorful List Accent 5"/>
    <w:basedOn w:val="TableNormal"/>
    <w:uiPriority w:val="72"/>
    <w:rsid w:val="00F9113D"/>
    <w:pPr>
      <w:spacing w:line="240" w:lineRule="auto"/>
    </w:pPr>
    <w:rPr>
      <w:color w:val="000000" w:themeColor="text1"/>
    </w:rPr>
    <w:tblPr>
      <w:tblStyleRowBandSize w:val="1"/>
      <w:tblStyleColBandSize w:val="1"/>
    </w:tblPr>
    <w:tcPr>
      <w:shd w:val="clear" w:color="auto" w:fill="DDFBFF" w:themeFill="accent5" w:themeFillTint="19"/>
    </w:tcPr>
    <w:tblStylePr w:type="firstRow">
      <w:rPr>
        <w:b/>
        <w:bCs/>
        <w:color w:val="FFFFFF" w:themeColor="background1"/>
      </w:rPr>
      <w:tblPr/>
      <w:tcPr>
        <w:tcBorders>
          <w:bottom w:val="single" w:sz="12" w:space="0" w:color="FFFFFF" w:themeColor="background1"/>
        </w:tcBorders>
        <w:shd w:val="clear" w:color="auto" w:fill="5D5F62" w:themeFill="accent6" w:themeFillShade="CC"/>
      </w:tcPr>
    </w:tblStylePr>
    <w:tblStylePr w:type="lastRow">
      <w:rPr>
        <w:b/>
        <w:bCs/>
        <w:color w:val="5D5F6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5FF" w:themeFill="accent5" w:themeFillTint="3F"/>
      </w:tcPr>
    </w:tblStylePr>
    <w:tblStylePr w:type="band1Horz">
      <w:tblPr/>
      <w:tcPr>
        <w:shd w:val="clear" w:color="auto" w:fill="BAF7FF" w:themeFill="accent5" w:themeFillTint="33"/>
      </w:tcPr>
    </w:tblStylePr>
  </w:style>
  <w:style w:type="table" w:styleId="ColorfulList-Accent6">
    <w:name w:val="Colorful List Accent 6"/>
    <w:basedOn w:val="TableNormal"/>
    <w:uiPriority w:val="72"/>
    <w:rsid w:val="00F9113D"/>
    <w:pPr>
      <w:spacing w:line="240" w:lineRule="auto"/>
    </w:pPr>
    <w:rPr>
      <w:color w:val="000000" w:themeColor="text1"/>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007887" w:themeFill="accent5" w:themeFillShade="CC"/>
      </w:tcPr>
    </w:tblStylePr>
    <w:tblStylePr w:type="lastRow">
      <w:rPr>
        <w:b/>
        <w:bCs/>
        <w:color w:val="00788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3E3E4" w:themeFill="accent6" w:themeFillTint="33"/>
      </w:tcPr>
    </w:tblStylePr>
  </w:style>
  <w:style w:type="table" w:styleId="ColorfulShading">
    <w:name w:val="Colorful Shading"/>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86BC25" w:themeColor="accent1"/>
        <w:bottom w:val="single" w:sz="4" w:space="0" w:color="86BC25" w:themeColor="accent1"/>
        <w:right w:val="single" w:sz="4" w:space="0" w:color="86BC25" w:themeColor="accent1"/>
        <w:insideH w:val="single" w:sz="4" w:space="0" w:color="FFFFFF" w:themeColor="background1"/>
        <w:insideV w:val="single" w:sz="4" w:space="0" w:color="FFFFFF" w:themeColor="background1"/>
      </w:tblBorders>
    </w:tblPr>
    <w:tcPr>
      <w:shd w:val="clear" w:color="auto" w:fill="F3FAE7" w:themeFill="accen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1" w:themeFillShade="99"/>
      </w:tcPr>
    </w:tblStylePr>
    <w:tblStylePr w:type="firstCol">
      <w:rPr>
        <w:color w:val="FFFFFF" w:themeColor="background1"/>
      </w:rPr>
      <w:tblPr/>
      <w:tcPr>
        <w:tcBorders>
          <w:top w:val="nil"/>
          <w:left w:val="nil"/>
          <w:bottom w:val="nil"/>
          <w:right w:val="nil"/>
          <w:insideH w:val="single" w:sz="4" w:space="0" w:color="507016" w:themeColor="accent1" w:themeShade="99"/>
          <w:insideV w:val="nil"/>
        </w:tcBorders>
        <w:shd w:val="clear" w:color="auto" w:fill="5070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1" w:themeFillShade="99"/>
      </w:tcPr>
    </w:tblStylePr>
    <w:tblStylePr w:type="band1Vert">
      <w:tblPr/>
      <w:tcPr>
        <w:shd w:val="clear" w:color="auto" w:fill="D0EC9F" w:themeFill="accent1" w:themeFillTint="66"/>
      </w:tcPr>
    </w:tblStylePr>
    <w:tblStylePr w:type="band1Horz">
      <w:tblPr/>
      <w:tcPr>
        <w:shd w:val="clear" w:color="auto" w:fill="C5E7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46A38" w:themeColor="accent2"/>
        <w:bottom w:val="single" w:sz="4" w:space="0" w:color="046A38" w:themeColor="accent2"/>
        <w:right w:val="single" w:sz="4" w:space="0" w:color="046A38" w:themeColor="accent2"/>
        <w:insideH w:val="single" w:sz="4" w:space="0" w:color="FFFFFF" w:themeColor="background1"/>
        <w:insideV w:val="single" w:sz="4" w:space="0" w:color="FFFFFF" w:themeColor="background1"/>
      </w:tblBorders>
    </w:tblPr>
    <w:tcPr>
      <w:shd w:val="clear" w:color="auto" w:fill="D9FDEB" w:themeFill="accent2"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2" w:themeFillShade="99"/>
      </w:tcPr>
    </w:tblStylePr>
    <w:tblStylePr w:type="firstCol">
      <w:rPr>
        <w:color w:val="FFFFFF" w:themeColor="background1"/>
      </w:rPr>
      <w:tblPr/>
      <w:tcPr>
        <w:tcBorders>
          <w:top w:val="nil"/>
          <w:left w:val="nil"/>
          <w:bottom w:val="nil"/>
          <w:right w:val="nil"/>
          <w:insideH w:val="single" w:sz="4" w:space="0" w:color="023F21" w:themeColor="accent2" w:themeShade="99"/>
          <w:insideV w:val="nil"/>
        </w:tcBorders>
        <w:shd w:val="clear" w:color="auto" w:fill="023F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2" w:themeFillShade="99"/>
      </w:tcPr>
    </w:tblStylePr>
    <w:tblStylePr w:type="band1Vert">
      <w:tblPr/>
      <w:tcPr>
        <w:shd w:val="clear" w:color="auto" w:fill="64F9B0" w:themeFill="accent2" w:themeFillTint="66"/>
      </w:tcPr>
    </w:tblStylePr>
    <w:tblStylePr w:type="band1Horz">
      <w:tblPr/>
      <w:tcPr>
        <w:shd w:val="clear" w:color="auto" w:fill="3EF7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9113D"/>
    <w:pPr>
      <w:spacing w:line="240" w:lineRule="auto"/>
    </w:pPr>
    <w:rPr>
      <w:color w:val="000000" w:themeColor="text1"/>
    </w:rPr>
    <w:tblPr>
      <w:tblStyleRowBandSize w:val="1"/>
      <w:tblStyleColBandSize w:val="1"/>
      <w:tblBorders>
        <w:top w:val="single" w:sz="24" w:space="0" w:color="012169"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Pr>
    <w:tblStylePr w:type="firstRow">
      <w:rPr>
        <w:b/>
        <w:bCs/>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ColorfulShading-Accent4">
    <w:name w:val="Colorful Shading Accent 4"/>
    <w:basedOn w:val="TableNormal"/>
    <w:uiPriority w:val="71"/>
    <w:rsid w:val="00F9113D"/>
    <w:pPr>
      <w:spacing w:line="240" w:lineRule="auto"/>
    </w:pPr>
    <w:rPr>
      <w:color w:val="000000" w:themeColor="text1"/>
    </w:rPr>
    <w:tblPr>
      <w:tblStyleRowBandSize w:val="1"/>
      <w:tblStyleColBandSize w:val="1"/>
      <w:tblBorders>
        <w:top w:val="single" w:sz="24" w:space="0" w:color="62B5E5" w:themeColor="accent3"/>
        <w:left w:val="single" w:sz="4" w:space="0" w:color="012169" w:themeColor="accent4"/>
        <w:bottom w:val="single" w:sz="4" w:space="0" w:color="012169" w:themeColor="accent4"/>
        <w:right w:val="single" w:sz="4" w:space="0" w:color="012169" w:themeColor="accent4"/>
        <w:insideH w:val="single" w:sz="4" w:space="0" w:color="FFFFFF" w:themeColor="background1"/>
        <w:insideV w:val="single" w:sz="4" w:space="0" w:color="FFFFFF" w:themeColor="background1"/>
      </w:tblBorders>
    </w:tblPr>
    <w:tcPr>
      <w:shd w:val="clear" w:color="auto" w:fill="D7E3FE" w:themeFill="accent4" w:themeFillTint="19"/>
    </w:tcPr>
    <w:tblStylePr w:type="firstRow">
      <w:rPr>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4" w:themeFillShade="99"/>
      </w:tcPr>
    </w:tblStylePr>
    <w:tblStylePr w:type="firstCol">
      <w:rPr>
        <w:color w:val="FFFFFF" w:themeColor="background1"/>
      </w:rPr>
      <w:tblPr/>
      <w:tcPr>
        <w:tcBorders>
          <w:top w:val="nil"/>
          <w:left w:val="nil"/>
          <w:bottom w:val="nil"/>
          <w:right w:val="nil"/>
          <w:insideH w:val="single" w:sz="4" w:space="0" w:color="00133E" w:themeColor="accent4" w:themeShade="99"/>
          <w:insideV w:val="nil"/>
        </w:tcBorders>
        <w:shd w:val="clear" w:color="auto" w:fill="0013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4" w:themeFillShade="99"/>
      </w:tcPr>
    </w:tblStylePr>
    <w:tblStylePr w:type="band1Vert">
      <w:tblPr/>
      <w:tcPr>
        <w:shd w:val="clear" w:color="auto" w:fill="5E8FFD" w:themeFill="accent4" w:themeFillTint="66"/>
      </w:tcPr>
    </w:tblStylePr>
    <w:tblStylePr w:type="band1Horz">
      <w:tblPr/>
      <w:tcPr>
        <w:shd w:val="clear" w:color="auto" w:fill="3773F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9113D"/>
    <w:pPr>
      <w:spacing w:line="240" w:lineRule="auto"/>
    </w:pPr>
    <w:rPr>
      <w:color w:val="000000" w:themeColor="text1"/>
    </w:rPr>
    <w:tblPr>
      <w:tblStyleRowBandSize w:val="1"/>
      <w:tblStyleColBandSize w:val="1"/>
      <w:tblBorders>
        <w:top w:val="single" w:sz="24" w:space="0" w:color="75787B" w:themeColor="accent6"/>
        <w:left w:val="single" w:sz="4" w:space="0" w:color="0097A9" w:themeColor="accent5"/>
        <w:bottom w:val="single" w:sz="4" w:space="0" w:color="0097A9" w:themeColor="accent5"/>
        <w:right w:val="single" w:sz="4" w:space="0" w:color="0097A9" w:themeColor="accent5"/>
        <w:insideH w:val="single" w:sz="4" w:space="0" w:color="FFFFFF" w:themeColor="background1"/>
        <w:insideV w:val="single" w:sz="4" w:space="0" w:color="FFFFFF" w:themeColor="background1"/>
      </w:tblBorders>
    </w:tblPr>
    <w:tcPr>
      <w:shd w:val="clear" w:color="auto" w:fill="DDFBFF" w:themeFill="accent5" w:themeFillTint="19"/>
    </w:tcPr>
    <w:tblStylePr w:type="firstRow">
      <w:rPr>
        <w:b/>
        <w:bCs/>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5" w:themeFill="accent5" w:themeFillShade="99"/>
      </w:tcPr>
    </w:tblStylePr>
    <w:tblStylePr w:type="firstCol">
      <w:rPr>
        <w:color w:val="FFFFFF" w:themeColor="background1"/>
      </w:rPr>
      <w:tblPr/>
      <w:tcPr>
        <w:tcBorders>
          <w:top w:val="nil"/>
          <w:left w:val="nil"/>
          <w:bottom w:val="nil"/>
          <w:right w:val="nil"/>
          <w:insideH w:val="single" w:sz="4" w:space="0" w:color="005A65" w:themeColor="accent5" w:themeShade="99"/>
          <w:insideV w:val="nil"/>
        </w:tcBorders>
        <w:shd w:val="clear" w:color="auto" w:fill="005A6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A65" w:themeFill="accent5" w:themeFillShade="99"/>
      </w:tcPr>
    </w:tblStylePr>
    <w:tblStylePr w:type="band1Vert">
      <w:tblPr/>
      <w:tcPr>
        <w:shd w:val="clear" w:color="auto" w:fill="76EFFF" w:themeFill="accent5" w:themeFillTint="66"/>
      </w:tcPr>
    </w:tblStylePr>
    <w:tblStylePr w:type="band1Horz">
      <w:tblPr/>
      <w:tcPr>
        <w:shd w:val="clear" w:color="auto" w:fill="55E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9113D"/>
    <w:pPr>
      <w:spacing w:line="240" w:lineRule="auto"/>
    </w:pPr>
    <w:rPr>
      <w:color w:val="000000" w:themeColor="text1"/>
    </w:rPr>
    <w:tblPr>
      <w:tblStyleRowBandSize w:val="1"/>
      <w:tblStyleColBandSize w:val="1"/>
      <w:tblBorders>
        <w:top w:val="single" w:sz="24" w:space="0" w:color="0097A9" w:themeColor="accent5"/>
        <w:left w:val="single" w:sz="4" w:space="0" w:color="75787B" w:themeColor="accent6"/>
        <w:bottom w:val="single" w:sz="4" w:space="0" w:color="75787B" w:themeColor="accent6"/>
        <w:right w:val="single" w:sz="4" w:space="0" w:color="75787B"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6" w:themeFillShade="99"/>
      </w:tcPr>
    </w:tblStylePr>
    <w:tblStylePr w:type="firstCol">
      <w:rPr>
        <w:color w:val="FFFFFF" w:themeColor="background1"/>
      </w:rPr>
      <w:tblPr/>
      <w:tcPr>
        <w:tcBorders>
          <w:top w:val="nil"/>
          <w:left w:val="nil"/>
          <w:bottom w:val="nil"/>
          <w:right w:val="nil"/>
          <w:insideH w:val="single" w:sz="4" w:space="0" w:color="464749" w:themeColor="accent6" w:themeShade="99"/>
          <w:insideV w:val="nil"/>
        </w:tcBorders>
        <w:shd w:val="clear" w:color="auto" w:fill="4647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6" w:themeFillShade="99"/>
      </w:tcPr>
    </w:tblStylePr>
    <w:tblStylePr w:type="band1Vert">
      <w:tblPr/>
      <w:tcPr>
        <w:shd w:val="clear" w:color="auto" w:fill="C7C8CA" w:themeFill="accent6" w:themeFillTint="66"/>
      </w:tcPr>
    </w:tblStylePr>
    <w:tblStylePr w:type="band1Horz">
      <w:tblPr/>
      <w:tcPr>
        <w:shd w:val="clear" w:color="auto" w:fill="B9BBB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F9113D"/>
    <w:rPr>
      <w:sz w:val="16"/>
      <w:szCs w:val="16"/>
      <w:lang w:val="en-AU"/>
    </w:rPr>
  </w:style>
  <w:style w:type="paragraph" w:styleId="CommentText">
    <w:name w:val="annotation text"/>
    <w:basedOn w:val="Normal"/>
    <w:link w:val="CommentTextChar"/>
    <w:uiPriority w:val="99"/>
    <w:semiHidden/>
    <w:rsid w:val="00F9113D"/>
    <w:pPr>
      <w:spacing w:line="240" w:lineRule="auto"/>
    </w:pPr>
    <w:rPr>
      <w:sz w:val="20"/>
      <w:szCs w:val="20"/>
    </w:rPr>
  </w:style>
  <w:style w:type="character" w:customStyle="1" w:styleId="CommentTextChar">
    <w:name w:val="Comment Text Char"/>
    <w:basedOn w:val="DefaultParagraphFont"/>
    <w:link w:val="CommentText"/>
    <w:uiPriority w:val="99"/>
    <w:semiHidden/>
    <w:rsid w:val="00F9113D"/>
    <w:rPr>
      <w:sz w:val="20"/>
      <w:szCs w:val="20"/>
    </w:rPr>
  </w:style>
  <w:style w:type="paragraph" w:styleId="CommentSubject">
    <w:name w:val="annotation subject"/>
    <w:basedOn w:val="CommentText"/>
    <w:next w:val="CommentText"/>
    <w:link w:val="CommentSubjectChar"/>
    <w:uiPriority w:val="99"/>
    <w:semiHidden/>
    <w:rsid w:val="00F9113D"/>
    <w:rPr>
      <w:b/>
      <w:bCs/>
    </w:rPr>
  </w:style>
  <w:style w:type="character" w:customStyle="1" w:styleId="CommentSubjectChar">
    <w:name w:val="Comment Subject Char"/>
    <w:basedOn w:val="CommentTextChar"/>
    <w:link w:val="CommentSubject"/>
    <w:uiPriority w:val="99"/>
    <w:semiHidden/>
    <w:rsid w:val="00F9113D"/>
    <w:rPr>
      <w:b/>
      <w:bCs/>
      <w:sz w:val="20"/>
      <w:szCs w:val="20"/>
    </w:rPr>
  </w:style>
  <w:style w:type="table" w:styleId="DarkList">
    <w:name w:val="Dark List"/>
    <w:basedOn w:val="TableNormal"/>
    <w:uiPriority w:val="70"/>
    <w:rsid w:val="00F9113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9113D"/>
    <w:pPr>
      <w:spacing w:line="240" w:lineRule="auto"/>
    </w:pPr>
    <w:rPr>
      <w:color w:val="FFFFFF" w:themeColor="background1"/>
    </w:rPr>
    <w:tblPr>
      <w:tblStyleRowBandSize w:val="1"/>
      <w:tblStyleColBandSize w:val="1"/>
    </w:tblPr>
    <w:tcPr>
      <w:shd w:val="clear" w:color="auto" w:fill="86BC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1" w:themeFillShade="BF"/>
      </w:tcPr>
    </w:tblStylePr>
    <w:tblStylePr w:type="band1Vert">
      <w:tblPr/>
      <w:tcPr>
        <w:tcBorders>
          <w:top w:val="nil"/>
          <w:left w:val="nil"/>
          <w:bottom w:val="nil"/>
          <w:right w:val="nil"/>
          <w:insideH w:val="nil"/>
          <w:insideV w:val="nil"/>
        </w:tcBorders>
        <w:shd w:val="clear" w:color="auto" w:fill="638C1B" w:themeFill="accent1" w:themeFillShade="BF"/>
      </w:tcPr>
    </w:tblStylePr>
    <w:tblStylePr w:type="band1Horz">
      <w:tblPr/>
      <w:tcPr>
        <w:tcBorders>
          <w:top w:val="nil"/>
          <w:left w:val="nil"/>
          <w:bottom w:val="nil"/>
          <w:right w:val="nil"/>
          <w:insideH w:val="nil"/>
          <w:insideV w:val="nil"/>
        </w:tcBorders>
        <w:shd w:val="clear" w:color="auto" w:fill="638C1B" w:themeFill="accent1" w:themeFillShade="BF"/>
      </w:tcPr>
    </w:tblStylePr>
  </w:style>
  <w:style w:type="table" w:styleId="DarkList-Accent2">
    <w:name w:val="Dark List Accent 2"/>
    <w:basedOn w:val="TableNormal"/>
    <w:uiPriority w:val="70"/>
    <w:rsid w:val="00F9113D"/>
    <w:pPr>
      <w:spacing w:line="240" w:lineRule="auto"/>
    </w:pPr>
    <w:rPr>
      <w:color w:val="FFFFFF" w:themeColor="background1"/>
    </w:rPr>
    <w:tblPr>
      <w:tblStyleRowBandSize w:val="1"/>
      <w:tblStyleColBandSize w:val="1"/>
    </w:tblPr>
    <w:tcPr>
      <w:shd w:val="clear" w:color="auto" w:fill="046A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2" w:themeFillShade="BF"/>
      </w:tcPr>
    </w:tblStylePr>
    <w:tblStylePr w:type="band1Vert">
      <w:tblPr/>
      <w:tcPr>
        <w:tcBorders>
          <w:top w:val="nil"/>
          <w:left w:val="nil"/>
          <w:bottom w:val="nil"/>
          <w:right w:val="nil"/>
          <w:insideH w:val="nil"/>
          <w:insideV w:val="nil"/>
        </w:tcBorders>
        <w:shd w:val="clear" w:color="auto" w:fill="034F29" w:themeFill="accent2" w:themeFillShade="BF"/>
      </w:tcPr>
    </w:tblStylePr>
    <w:tblStylePr w:type="band1Horz">
      <w:tblPr/>
      <w:tcPr>
        <w:tcBorders>
          <w:top w:val="nil"/>
          <w:left w:val="nil"/>
          <w:bottom w:val="nil"/>
          <w:right w:val="nil"/>
          <w:insideH w:val="nil"/>
          <w:insideV w:val="nil"/>
        </w:tcBorders>
        <w:shd w:val="clear" w:color="auto" w:fill="034F29" w:themeFill="accent2" w:themeFillShade="BF"/>
      </w:tcPr>
    </w:tblStylePr>
  </w:style>
  <w:style w:type="table" w:styleId="DarkList-Accent3">
    <w:name w:val="Dark List Accent 3"/>
    <w:basedOn w:val="TableNormal"/>
    <w:uiPriority w:val="70"/>
    <w:rsid w:val="00F9113D"/>
    <w:pPr>
      <w:spacing w:line="240" w:lineRule="auto"/>
    </w:pPr>
    <w:rPr>
      <w:color w:val="FFFFFF" w:themeColor="background1"/>
    </w:rPr>
    <w:tblPr>
      <w:tblStyleRowBandSize w:val="1"/>
      <w:tblStyleColBandSize w:val="1"/>
    </w:tblPr>
    <w:tcPr>
      <w:shd w:val="clear" w:color="auto" w:fill="62B5E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DarkList-Accent4">
    <w:name w:val="Dark List Accent 4"/>
    <w:basedOn w:val="TableNormal"/>
    <w:uiPriority w:val="70"/>
    <w:rsid w:val="00F9113D"/>
    <w:pPr>
      <w:spacing w:line="240" w:lineRule="auto"/>
    </w:pPr>
    <w:rPr>
      <w:color w:val="FFFFFF" w:themeColor="background1"/>
    </w:rPr>
    <w:tblPr>
      <w:tblStyleRowBandSize w:val="1"/>
      <w:tblStyleColBandSize w:val="1"/>
    </w:tblPr>
    <w:tcPr>
      <w:shd w:val="clear" w:color="auto" w:fill="01216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4" w:themeFillShade="BF"/>
      </w:tcPr>
    </w:tblStylePr>
    <w:tblStylePr w:type="band1Vert">
      <w:tblPr/>
      <w:tcPr>
        <w:tcBorders>
          <w:top w:val="nil"/>
          <w:left w:val="nil"/>
          <w:bottom w:val="nil"/>
          <w:right w:val="nil"/>
          <w:insideH w:val="nil"/>
          <w:insideV w:val="nil"/>
        </w:tcBorders>
        <w:shd w:val="clear" w:color="auto" w:fill="00184E" w:themeFill="accent4" w:themeFillShade="BF"/>
      </w:tcPr>
    </w:tblStylePr>
    <w:tblStylePr w:type="band1Horz">
      <w:tblPr/>
      <w:tcPr>
        <w:tcBorders>
          <w:top w:val="nil"/>
          <w:left w:val="nil"/>
          <w:bottom w:val="nil"/>
          <w:right w:val="nil"/>
          <w:insideH w:val="nil"/>
          <w:insideV w:val="nil"/>
        </w:tcBorders>
        <w:shd w:val="clear" w:color="auto" w:fill="00184E" w:themeFill="accent4" w:themeFillShade="BF"/>
      </w:tcPr>
    </w:tblStylePr>
  </w:style>
  <w:style w:type="table" w:styleId="DarkList-Accent5">
    <w:name w:val="Dark List Accent 5"/>
    <w:basedOn w:val="TableNormal"/>
    <w:uiPriority w:val="70"/>
    <w:rsid w:val="00F9113D"/>
    <w:pPr>
      <w:spacing w:line="240" w:lineRule="auto"/>
    </w:pPr>
    <w:rPr>
      <w:color w:val="FFFFFF" w:themeColor="background1"/>
    </w:rPr>
    <w:tblPr>
      <w:tblStyleRowBandSize w:val="1"/>
      <w:tblStyleColBandSize w:val="1"/>
    </w:tblPr>
    <w:tcPr>
      <w:shd w:val="clear" w:color="auto" w:fill="0097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07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07E" w:themeFill="accent5" w:themeFillShade="BF"/>
      </w:tcPr>
    </w:tblStylePr>
    <w:tblStylePr w:type="band1Vert">
      <w:tblPr/>
      <w:tcPr>
        <w:tcBorders>
          <w:top w:val="nil"/>
          <w:left w:val="nil"/>
          <w:bottom w:val="nil"/>
          <w:right w:val="nil"/>
          <w:insideH w:val="nil"/>
          <w:insideV w:val="nil"/>
        </w:tcBorders>
        <w:shd w:val="clear" w:color="auto" w:fill="00707E" w:themeFill="accent5" w:themeFillShade="BF"/>
      </w:tcPr>
    </w:tblStylePr>
    <w:tblStylePr w:type="band1Horz">
      <w:tblPr/>
      <w:tcPr>
        <w:tcBorders>
          <w:top w:val="nil"/>
          <w:left w:val="nil"/>
          <w:bottom w:val="nil"/>
          <w:right w:val="nil"/>
          <w:insideH w:val="nil"/>
          <w:insideV w:val="nil"/>
        </w:tcBorders>
        <w:shd w:val="clear" w:color="auto" w:fill="00707E" w:themeFill="accent5" w:themeFillShade="BF"/>
      </w:tcPr>
    </w:tblStylePr>
  </w:style>
  <w:style w:type="table" w:styleId="DarkList-Accent6">
    <w:name w:val="Dark List Accent 6"/>
    <w:basedOn w:val="TableNormal"/>
    <w:uiPriority w:val="70"/>
    <w:rsid w:val="00F9113D"/>
    <w:pPr>
      <w:spacing w:line="240" w:lineRule="auto"/>
    </w:pPr>
    <w:rPr>
      <w:color w:val="FFFFFF" w:themeColor="background1"/>
    </w:rPr>
    <w:tblPr>
      <w:tblStyleRowBandSize w:val="1"/>
      <w:tblStyleColBandSize w:val="1"/>
    </w:tblPr>
    <w:tcPr>
      <w:shd w:val="clear" w:color="auto" w:fill="75787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759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7595C" w:themeFill="accent6" w:themeFillShade="BF"/>
      </w:tcPr>
    </w:tblStylePr>
    <w:tblStylePr w:type="band1Vert">
      <w:tblPr/>
      <w:tcPr>
        <w:tcBorders>
          <w:top w:val="nil"/>
          <w:left w:val="nil"/>
          <w:bottom w:val="nil"/>
          <w:right w:val="nil"/>
          <w:insideH w:val="nil"/>
          <w:insideV w:val="nil"/>
        </w:tcBorders>
        <w:shd w:val="clear" w:color="auto" w:fill="57595C" w:themeFill="accent6" w:themeFillShade="BF"/>
      </w:tcPr>
    </w:tblStylePr>
    <w:tblStylePr w:type="band1Horz">
      <w:tblPr/>
      <w:tcPr>
        <w:tcBorders>
          <w:top w:val="nil"/>
          <w:left w:val="nil"/>
          <w:bottom w:val="nil"/>
          <w:right w:val="nil"/>
          <w:insideH w:val="nil"/>
          <w:insideV w:val="nil"/>
        </w:tcBorders>
        <w:shd w:val="clear" w:color="auto" w:fill="57595C" w:themeFill="accent6" w:themeFillShade="BF"/>
      </w:tcPr>
    </w:tblStylePr>
  </w:style>
  <w:style w:type="paragraph" w:styleId="Date">
    <w:name w:val="Date"/>
    <w:basedOn w:val="Normal"/>
    <w:next w:val="Normal"/>
    <w:link w:val="DateChar"/>
    <w:uiPriority w:val="99"/>
    <w:semiHidden/>
    <w:rsid w:val="00F9113D"/>
  </w:style>
  <w:style w:type="character" w:customStyle="1" w:styleId="DateChar">
    <w:name w:val="Date Char"/>
    <w:basedOn w:val="DefaultParagraphFont"/>
    <w:link w:val="Date"/>
    <w:uiPriority w:val="99"/>
    <w:semiHidden/>
    <w:rsid w:val="00F9113D"/>
  </w:style>
  <w:style w:type="paragraph" w:styleId="DocumentMap">
    <w:name w:val="Document Map"/>
    <w:basedOn w:val="Normal"/>
    <w:link w:val="DocumentMapChar"/>
    <w:uiPriority w:val="99"/>
    <w:semiHidden/>
    <w:rsid w:val="00F9113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113D"/>
    <w:rPr>
      <w:rFonts w:ascii="Tahoma" w:hAnsi="Tahoma" w:cs="Tahoma"/>
      <w:sz w:val="16"/>
      <w:szCs w:val="16"/>
    </w:rPr>
  </w:style>
  <w:style w:type="paragraph" w:styleId="E-mailSignature">
    <w:name w:val="E-mail Signature"/>
    <w:basedOn w:val="Normal"/>
    <w:link w:val="E-mailSignatureChar"/>
    <w:uiPriority w:val="99"/>
    <w:semiHidden/>
    <w:rsid w:val="00F9113D"/>
    <w:pPr>
      <w:spacing w:line="240" w:lineRule="auto"/>
    </w:pPr>
  </w:style>
  <w:style w:type="character" w:customStyle="1" w:styleId="E-mailSignatureChar">
    <w:name w:val="E-mail Signature Char"/>
    <w:basedOn w:val="DefaultParagraphFont"/>
    <w:link w:val="E-mailSignature"/>
    <w:uiPriority w:val="99"/>
    <w:semiHidden/>
    <w:rsid w:val="00F9113D"/>
  </w:style>
  <w:style w:type="character" w:styleId="Emphasis">
    <w:name w:val="Emphasis"/>
    <w:basedOn w:val="DefaultParagraphFont"/>
    <w:uiPriority w:val="20"/>
    <w:rsid w:val="00DF06E9"/>
    <w:rPr>
      <w:b/>
      <w:i w:val="0"/>
      <w:iCs/>
      <w:color w:val="44546A" w:themeColor="text2"/>
      <w:lang w:val="en-AU"/>
    </w:rPr>
  </w:style>
  <w:style w:type="character" w:styleId="EndnoteReference">
    <w:name w:val="endnote reference"/>
    <w:basedOn w:val="DefaultParagraphFont"/>
    <w:uiPriority w:val="99"/>
    <w:semiHidden/>
    <w:rsid w:val="00F9113D"/>
    <w:rPr>
      <w:vertAlign w:val="superscript"/>
      <w:lang w:val="en-AU"/>
    </w:rPr>
  </w:style>
  <w:style w:type="paragraph" w:styleId="EndnoteText">
    <w:name w:val="endnote text"/>
    <w:basedOn w:val="Normal"/>
    <w:link w:val="EndnoteTextChar"/>
    <w:uiPriority w:val="99"/>
    <w:semiHidden/>
    <w:rsid w:val="00FE6C88"/>
    <w:pPr>
      <w:spacing w:line="240" w:lineRule="auto"/>
    </w:pPr>
    <w:rPr>
      <w:szCs w:val="20"/>
    </w:rPr>
  </w:style>
  <w:style w:type="character" w:customStyle="1" w:styleId="EndnoteTextChar">
    <w:name w:val="Endnote Text Char"/>
    <w:basedOn w:val="DefaultParagraphFont"/>
    <w:link w:val="EndnoteText"/>
    <w:uiPriority w:val="99"/>
    <w:semiHidden/>
    <w:rsid w:val="00FE6C88"/>
    <w:rPr>
      <w:szCs w:val="20"/>
      <w:lang w:val="en-AU"/>
    </w:rPr>
  </w:style>
  <w:style w:type="paragraph" w:styleId="EnvelopeAddress">
    <w:name w:val="envelope address"/>
    <w:basedOn w:val="Normal"/>
    <w:uiPriority w:val="99"/>
    <w:semiHidden/>
    <w:rsid w:val="00F9113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F9113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F9113D"/>
    <w:rPr>
      <w:color w:val="53565A"/>
      <w:u w:val="single"/>
      <w:lang w:val="en-AU"/>
    </w:rPr>
  </w:style>
  <w:style w:type="character" w:customStyle="1" w:styleId="Heading5Char">
    <w:name w:val="Heading 5 Char"/>
    <w:basedOn w:val="DefaultParagraphFont"/>
    <w:link w:val="Heading5"/>
    <w:uiPriority w:val="1"/>
    <w:rsid w:val="00C50447"/>
    <w:rPr>
      <w:rFonts w:ascii="Calibri Light" w:eastAsiaTheme="majorEastAsia" w:hAnsi="Calibri Light" w:cstheme="majorBidi"/>
      <w:b/>
      <w:lang w:val="en-AU"/>
    </w:rPr>
  </w:style>
  <w:style w:type="character" w:customStyle="1" w:styleId="Heading6Char">
    <w:name w:val="Heading 6 Char"/>
    <w:basedOn w:val="DefaultParagraphFont"/>
    <w:link w:val="Heading6"/>
    <w:uiPriority w:val="1"/>
    <w:semiHidden/>
    <w:rsid w:val="00F9113D"/>
    <w:rPr>
      <w:rFonts w:ascii="Calibri Light" w:eastAsiaTheme="majorEastAsia" w:hAnsi="Calibri Light" w:cstheme="majorBidi"/>
      <w:b/>
      <w:iCs/>
      <w:lang w:val="en-AU"/>
    </w:rPr>
  </w:style>
  <w:style w:type="character" w:customStyle="1" w:styleId="Heading7Char">
    <w:name w:val="Heading 7 Char"/>
    <w:basedOn w:val="DefaultParagraphFont"/>
    <w:link w:val="Heading7"/>
    <w:uiPriority w:val="1"/>
    <w:semiHidden/>
    <w:rsid w:val="00F9113D"/>
    <w:rPr>
      <w:rFonts w:eastAsiaTheme="majorEastAsia" w:cstheme="majorBidi"/>
      <w:b/>
      <w:iCs/>
    </w:rPr>
  </w:style>
  <w:style w:type="character" w:customStyle="1" w:styleId="Heading8Char">
    <w:name w:val="Heading 8 Char"/>
    <w:basedOn w:val="DefaultParagraphFont"/>
    <w:link w:val="Heading8"/>
    <w:uiPriority w:val="1"/>
    <w:semiHidden/>
    <w:rsid w:val="00F9113D"/>
    <w:rPr>
      <w:rFonts w:eastAsiaTheme="majorEastAsia" w:cstheme="majorBidi"/>
      <w:b/>
      <w:szCs w:val="20"/>
    </w:rPr>
  </w:style>
  <w:style w:type="character" w:customStyle="1" w:styleId="Heading9Char">
    <w:name w:val="Heading 9 Char"/>
    <w:basedOn w:val="DefaultParagraphFont"/>
    <w:link w:val="Heading9"/>
    <w:uiPriority w:val="1"/>
    <w:semiHidden/>
    <w:rsid w:val="00F9113D"/>
    <w:rPr>
      <w:rFonts w:eastAsiaTheme="majorEastAsia" w:cstheme="majorBidi"/>
      <w:b/>
      <w:iCs/>
      <w:szCs w:val="20"/>
    </w:rPr>
  </w:style>
  <w:style w:type="character" w:styleId="HTMLAcronym">
    <w:name w:val="HTML Acronym"/>
    <w:basedOn w:val="DefaultParagraphFont"/>
    <w:uiPriority w:val="99"/>
    <w:semiHidden/>
    <w:rsid w:val="00F9113D"/>
    <w:rPr>
      <w:lang w:val="en-AU"/>
    </w:rPr>
  </w:style>
  <w:style w:type="paragraph" w:styleId="HTMLAddress">
    <w:name w:val="HTML Address"/>
    <w:basedOn w:val="Normal"/>
    <w:link w:val="HTMLAddressChar"/>
    <w:uiPriority w:val="99"/>
    <w:semiHidden/>
    <w:rsid w:val="00F9113D"/>
    <w:pPr>
      <w:spacing w:line="240" w:lineRule="auto"/>
    </w:pPr>
    <w:rPr>
      <w:i/>
      <w:iCs/>
    </w:rPr>
  </w:style>
  <w:style w:type="character" w:customStyle="1" w:styleId="HTMLAddressChar">
    <w:name w:val="HTML Address Char"/>
    <w:basedOn w:val="DefaultParagraphFont"/>
    <w:link w:val="HTMLAddress"/>
    <w:uiPriority w:val="99"/>
    <w:semiHidden/>
    <w:rsid w:val="00F9113D"/>
    <w:rPr>
      <w:i/>
      <w:iCs/>
    </w:rPr>
  </w:style>
  <w:style w:type="character" w:styleId="HTMLCite">
    <w:name w:val="HTML Cite"/>
    <w:basedOn w:val="DefaultParagraphFont"/>
    <w:uiPriority w:val="99"/>
    <w:semiHidden/>
    <w:rsid w:val="00F9113D"/>
    <w:rPr>
      <w:i/>
      <w:iCs/>
      <w:lang w:val="en-AU"/>
    </w:rPr>
  </w:style>
  <w:style w:type="character" w:styleId="HTMLCode">
    <w:name w:val="HTML Code"/>
    <w:basedOn w:val="DefaultParagraphFont"/>
    <w:uiPriority w:val="99"/>
    <w:semiHidden/>
    <w:rsid w:val="00F9113D"/>
    <w:rPr>
      <w:rFonts w:ascii="Consolas" w:hAnsi="Consolas"/>
      <w:sz w:val="20"/>
      <w:szCs w:val="20"/>
      <w:lang w:val="en-AU"/>
    </w:rPr>
  </w:style>
  <w:style w:type="character" w:styleId="HTMLDefinition">
    <w:name w:val="HTML Definition"/>
    <w:basedOn w:val="DefaultParagraphFont"/>
    <w:uiPriority w:val="99"/>
    <w:semiHidden/>
    <w:rsid w:val="00F9113D"/>
    <w:rPr>
      <w:i/>
      <w:iCs/>
      <w:lang w:val="en-AU"/>
    </w:rPr>
  </w:style>
  <w:style w:type="character" w:styleId="HTMLKeyboard">
    <w:name w:val="HTML Keyboard"/>
    <w:basedOn w:val="DefaultParagraphFont"/>
    <w:uiPriority w:val="99"/>
    <w:semiHidden/>
    <w:rsid w:val="00F9113D"/>
    <w:rPr>
      <w:rFonts w:ascii="Consolas" w:hAnsi="Consolas"/>
      <w:sz w:val="20"/>
      <w:szCs w:val="20"/>
      <w:lang w:val="en-AU"/>
    </w:rPr>
  </w:style>
  <w:style w:type="paragraph" w:styleId="HTMLPreformatted">
    <w:name w:val="HTML Preformatted"/>
    <w:basedOn w:val="Normal"/>
    <w:link w:val="HTMLPreformattedChar"/>
    <w:uiPriority w:val="99"/>
    <w:semiHidden/>
    <w:rsid w:val="00F9113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13D"/>
    <w:rPr>
      <w:rFonts w:ascii="Consolas" w:hAnsi="Consolas"/>
      <w:sz w:val="20"/>
      <w:szCs w:val="20"/>
    </w:rPr>
  </w:style>
  <w:style w:type="character" w:styleId="HTMLSample">
    <w:name w:val="HTML Sample"/>
    <w:basedOn w:val="DefaultParagraphFont"/>
    <w:uiPriority w:val="99"/>
    <w:semiHidden/>
    <w:rsid w:val="00F9113D"/>
    <w:rPr>
      <w:rFonts w:ascii="Consolas" w:hAnsi="Consolas"/>
      <w:sz w:val="24"/>
      <w:szCs w:val="24"/>
      <w:lang w:val="en-AU"/>
    </w:rPr>
  </w:style>
  <w:style w:type="character" w:styleId="HTMLTypewriter">
    <w:name w:val="HTML Typewriter"/>
    <w:basedOn w:val="DefaultParagraphFont"/>
    <w:uiPriority w:val="99"/>
    <w:semiHidden/>
    <w:rsid w:val="00F9113D"/>
    <w:rPr>
      <w:rFonts w:ascii="Consolas" w:hAnsi="Consolas"/>
      <w:sz w:val="20"/>
      <w:szCs w:val="20"/>
      <w:lang w:val="en-AU"/>
    </w:rPr>
  </w:style>
  <w:style w:type="character" w:styleId="HTMLVariable">
    <w:name w:val="HTML Variable"/>
    <w:basedOn w:val="DefaultParagraphFont"/>
    <w:uiPriority w:val="99"/>
    <w:semiHidden/>
    <w:rsid w:val="00F9113D"/>
    <w:rPr>
      <w:i/>
      <w:iCs/>
      <w:lang w:val="en-AU"/>
    </w:rPr>
  </w:style>
  <w:style w:type="paragraph" w:styleId="Index1">
    <w:name w:val="index 1"/>
    <w:basedOn w:val="Normal"/>
    <w:next w:val="Normal"/>
    <w:autoRedefine/>
    <w:uiPriority w:val="99"/>
    <w:semiHidden/>
    <w:rsid w:val="00F9113D"/>
    <w:pPr>
      <w:spacing w:line="240" w:lineRule="auto"/>
      <w:ind w:left="180" w:hanging="180"/>
    </w:pPr>
  </w:style>
  <w:style w:type="paragraph" w:styleId="Index2">
    <w:name w:val="index 2"/>
    <w:basedOn w:val="Normal"/>
    <w:next w:val="Normal"/>
    <w:autoRedefine/>
    <w:uiPriority w:val="99"/>
    <w:semiHidden/>
    <w:rsid w:val="00F9113D"/>
    <w:pPr>
      <w:spacing w:line="240" w:lineRule="auto"/>
      <w:ind w:left="360" w:hanging="180"/>
    </w:pPr>
  </w:style>
  <w:style w:type="paragraph" w:styleId="Index3">
    <w:name w:val="index 3"/>
    <w:basedOn w:val="Normal"/>
    <w:next w:val="Normal"/>
    <w:autoRedefine/>
    <w:uiPriority w:val="99"/>
    <w:semiHidden/>
    <w:rsid w:val="00F9113D"/>
    <w:pPr>
      <w:spacing w:line="240" w:lineRule="auto"/>
      <w:ind w:left="540" w:hanging="180"/>
    </w:pPr>
  </w:style>
  <w:style w:type="paragraph" w:styleId="Index4">
    <w:name w:val="index 4"/>
    <w:basedOn w:val="Normal"/>
    <w:next w:val="Normal"/>
    <w:autoRedefine/>
    <w:uiPriority w:val="99"/>
    <w:semiHidden/>
    <w:rsid w:val="00F9113D"/>
    <w:pPr>
      <w:spacing w:line="240" w:lineRule="auto"/>
      <w:ind w:left="720" w:hanging="180"/>
    </w:pPr>
  </w:style>
  <w:style w:type="paragraph" w:styleId="Index5">
    <w:name w:val="index 5"/>
    <w:basedOn w:val="Normal"/>
    <w:next w:val="Normal"/>
    <w:autoRedefine/>
    <w:uiPriority w:val="99"/>
    <w:semiHidden/>
    <w:rsid w:val="00F9113D"/>
    <w:pPr>
      <w:spacing w:line="240" w:lineRule="auto"/>
      <w:ind w:left="900" w:hanging="180"/>
    </w:pPr>
  </w:style>
  <w:style w:type="paragraph" w:styleId="Index6">
    <w:name w:val="index 6"/>
    <w:basedOn w:val="Normal"/>
    <w:next w:val="Normal"/>
    <w:autoRedefine/>
    <w:uiPriority w:val="99"/>
    <w:semiHidden/>
    <w:rsid w:val="00F9113D"/>
    <w:pPr>
      <w:spacing w:line="240" w:lineRule="auto"/>
      <w:ind w:left="1080" w:hanging="180"/>
    </w:pPr>
  </w:style>
  <w:style w:type="paragraph" w:styleId="Index7">
    <w:name w:val="index 7"/>
    <w:basedOn w:val="Normal"/>
    <w:next w:val="Normal"/>
    <w:autoRedefine/>
    <w:uiPriority w:val="99"/>
    <w:semiHidden/>
    <w:rsid w:val="00F9113D"/>
    <w:pPr>
      <w:spacing w:line="240" w:lineRule="auto"/>
      <w:ind w:left="1260" w:hanging="180"/>
    </w:pPr>
  </w:style>
  <w:style w:type="paragraph" w:styleId="Index8">
    <w:name w:val="index 8"/>
    <w:basedOn w:val="Normal"/>
    <w:next w:val="Normal"/>
    <w:autoRedefine/>
    <w:uiPriority w:val="99"/>
    <w:semiHidden/>
    <w:rsid w:val="00F9113D"/>
    <w:pPr>
      <w:spacing w:line="240" w:lineRule="auto"/>
      <w:ind w:left="1440" w:hanging="180"/>
    </w:pPr>
  </w:style>
  <w:style w:type="paragraph" w:styleId="Index9">
    <w:name w:val="index 9"/>
    <w:basedOn w:val="Normal"/>
    <w:next w:val="Normal"/>
    <w:autoRedefine/>
    <w:uiPriority w:val="99"/>
    <w:semiHidden/>
    <w:rsid w:val="00F9113D"/>
    <w:pPr>
      <w:spacing w:line="240" w:lineRule="auto"/>
      <w:ind w:left="1620" w:hanging="180"/>
    </w:pPr>
  </w:style>
  <w:style w:type="paragraph" w:styleId="IndexHeading">
    <w:name w:val="index heading"/>
    <w:basedOn w:val="Normal"/>
    <w:next w:val="Index1"/>
    <w:uiPriority w:val="99"/>
    <w:semiHidden/>
    <w:rsid w:val="00F9113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9113D"/>
    <w:rPr>
      <w:b/>
      <w:bCs/>
      <w:i/>
      <w:iCs/>
      <w:color w:val="86BC25" w:themeColor="accent1"/>
      <w:lang w:val="en-AU"/>
    </w:rPr>
  </w:style>
  <w:style w:type="paragraph" w:styleId="IntenseQuote">
    <w:name w:val="Intense Quote"/>
    <w:basedOn w:val="Normal"/>
    <w:next w:val="Normal"/>
    <w:link w:val="IntenseQuoteChar"/>
    <w:uiPriority w:val="30"/>
    <w:semiHidden/>
    <w:rsid w:val="00F9113D"/>
    <w:pPr>
      <w:pBdr>
        <w:bottom w:val="single" w:sz="4" w:space="4" w:color="86BC25" w:themeColor="accent1"/>
      </w:pBdr>
      <w:spacing w:before="200" w:after="280"/>
      <w:ind w:left="936" w:right="936"/>
    </w:pPr>
    <w:rPr>
      <w:b/>
      <w:bCs/>
      <w:i/>
      <w:iCs/>
      <w:color w:val="86BC25" w:themeColor="accent1"/>
    </w:rPr>
  </w:style>
  <w:style w:type="character" w:customStyle="1" w:styleId="IntenseQuoteChar">
    <w:name w:val="Intense Quote Char"/>
    <w:basedOn w:val="DefaultParagraphFont"/>
    <w:link w:val="IntenseQuote"/>
    <w:uiPriority w:val="30"/>
    <w:semiHidden/>
    <w:rsid w:val="00F9113D"/>
    <w:rPr>
      <w:b/>
      <w:bCs/>
      <w:i/>
      <w:iCs/>
      <w:color w:val="86BC25" w:themeColor="accent1"/>
    </w:rPr>
  </w:style>
  <w:style w:type="character" w:styleId="IntenseReference">
    <w:name w:val="Intense Reference"/>
    <w:basedOn w:val="DefaultParagraphFont"/>
    <w:uiPriority w:val="99"/>
    <w:semiHidden/>
    <w:qFormat/>
    <w:rsid w:val="00F9113D"/>
    <w:rPr>
      <w:b/>
      <w:bCs/>
      <w:smallCaps/>
      <w:color w:val="046A38" w:themeColor="accent2"/>
      <w:spacing w:val="5"/>
      <w:u w:val="single"/>
      <w:lang w:val="en-AU"/>
    </w:rPr>
  </w:style>
  <w:style w:type="table" w:styleId="LightGrid">
    <w:name w:val="Light Grid"/>
    <w:basedOn w:val="TableNormal"/>
    <w:uiPriority w:val="62"/>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ightGrid-Accent2">
    <w:name w:val="Light Grid Accent 2"/>
    <w:basedOn w:val="TableNormal"/>
    <w:uiPriority w:val="62"/>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18" w:space="0" w:color="046A38" w:themeColor="accent2"/>
          <w:right w:val="single" w:sz="8" w:space="0" w:color="046A38" w:themeColor="accent2"/>
          <w:insideH w:val="nil"/>
          <w:insideV w:val="single" w:sz="8" w:space="0" w:color="046A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insideH w:val="nil"/>
          <w:insideV w:val="single" w:sz="8" w:space="0" w:color="046A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shd w:val="clear" w:color="auto" w:fill="9FFBCE" w:themeFill="accent2" w:themeFillTint="3F"/>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shd w:val="clear" w:color="auto" w:fill="9FFBCE" w:themeFill="accent2" w:themeFillTint="3F"/>
      </w:tcPr>
    </w:tblStylePr>
    <w:tblStylePr w:type="band2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tcPr>
    </w:tblStylePr>
  </w:style>
  <w:style w:type="table" w:styleId="LightGrid-Accent3">
    <w:name w:val="Light Grid Accent 3"/>
    <w:basedOn w:val="TableNormal"/>
    <w:uiPriority w:val="62"/>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ightGrid-Accent4">
    <w:name w:val="Light Grid Accent 4"/>
    <w:basedOn w:val="TableNormal"/>
    <w:uiPriority w:val="62"/>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18" w:space="0" w:color="012169" w:themeColor="accent4"/>
          <w:right w:val="single" w:sz="8" w:space="0" w:color="012169" w:themeColor="accent4"/>
          <w:insideH w:val="nil"/>
          <w:insideV w:val="single" w:sz="8" w:space="0" w:color="01216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insideH w:val="nil"/>
          <w:insideV w:val="single" w:sz="8" w:space="0" w:color="01216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shd w:val="clear" w:color="auto" w:fill="9BB9FE" w:themeFill="accent4" w:themeFillTint="3F"/>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shd w:val="clear" w:color="auto" w:fill="9BB9FE" w:themeFill="accent4" w:themeFillTint="3F"/>
      </w:tcPr>
    </w:tblStylePr>
    <w:tblStylePr w:type="band2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tcPr>
    </w:tblStylePr>
  </w:style>
  <w:style w:type="table" w:styleId="LightGrid-Accent5">
    <w:name w:val="Light Grid Accent 5"/>
    <w:basedOn w:val="TableNormal"/>
    <w:uiPriority w:val="62"/>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18" w:space="0" w:color="0097A9" w:themeColor="accent5"/>
          <w:right w:val="single" w:sz="8" w:space="0" w:color="0097A9" w:themeColor="accent5"/>
          <w:insideH w:val="nil"/>
          <w:insideV w:val="single" w:sz="8" w:space="0" w:color="0097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insideH w:val="nil"/>
          <w:insideV w:val="single" w:sz="8" w:space="0" w:color="0097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shd w:val="clear" w:color="auto" w:fill="AAF5FF" w:themeFill="accent5" w:themeFillTint="3F"/>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shd w:val="clear" w:color="auto" w:fill="AAF5FF" w:themeFill="accent5" w:themeFillTint="3F"/>
      </w:tcPr>
    </w:tblStylePr>
    <w:tblStylePr w:type="band2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tcPr>
    </w:tblStylePr>
  </w:style>
  <w:style w:type="table" w:styleId="LightGrid-Accent6">
    <w:name w:val="Light Grid Accent 6"/>
    <w:basedOn w:val="TableNormal"/>
    <w:uiPriority w:val="62"/>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18" w:space="0" w:color="75787B" w:themeColor="accent6"/>
          <w:right w:val="single" w:sz="8" w:space="0" w:color="75787B" w:themeColor="accent6"/>
          <w:insideH w:val="nil"/>
          <w:insideV w:val="single" w:sz="8" w:space="0" w:color="75787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insideH w:val="nil"/>
          <w:insideV w:val="single" w:sz="8" w:space="0" w:color="75787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shd w:val="clear" w:color="auto" w:fill="DCDDDE" w:themeFill="accent6" w:themeFillTint="3F"/>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shd w:val="clear" w:color="auto" w:fill="DCDDDE" w:themeFill="accent6" w:themeFillTint="3F"/>
      </w:tcPr>
    </w:tblStylePr>
    <w:tblStylePr w:type="band2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tcPr>
    </w:tblStylePr>
  </w:style>
  <w:style w:type="table" w:styleId="LightList">
    <w:name w:val="Light List"/>
    <w:basedOn w:val="TableNormal"/>
    <w:uiPriority w:val="61"/>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ightList-Accent2">
    <w:name w:val="Light List Accent 2"/>
    <w:basedOn w:val="TableNormal"/>
    <w:uiPriority w:val="61"/>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pPr>
        <w:spacing w:before="0" w:after="0" w:line="240" w:lineRule="auto"/>
      </w:pPr>
      <w:rPr>
        <w:b/>
        <w:bCs/>
        <w:color w:val="FFFFFF" w:themeColor="background1"/>
      </w:rPr>
      <w:tblPr/>
      <w:tcPr>
        <w:shd w:val="clear" w:color="auto" w:fill="046A38" w:themeFill="accent2"/>
      </w:tcPr>
    </w:tblStylePr>
    <w:tblStylePr w:type="lastRow">
      <w:pPr>
        <w:spacing w:before="0" w:after="0" w:line="240" w:lineRule="auto"/>
      </w:pPr>
      <w:rPr>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tcBorders>
      </w:tcPr>
    </w:tblStylePr>
    <w:tblStylePr w:type="firstCol">
      <w:rPr>
        <w:b/>
        <w:bCs/>
      </w:rPr>
    </w:tblStylePr>
    <w:tblStylePr w:type="lastCol">
      <w:rPr>
        <w:b/>
        <w:bCs/>
      </w:r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style>
  <w:style w:type="table" w:styleId="LightList-Accent3">
    <w:name w:val="Light List Accent 3"/>
    <w:basedOn w:val="TableNormal"/>
    <w:uiPriority w:val="61"/>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pPr>
        <w:spacing w:before="0" w:after="0" w:line="240" w:lineRule="auto"/>
      </w:pPr>
      <w:rPr>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ightList-Accent4">
    <w:name w:val="Light List Accent 4"/>
    <w:basedOn w:val="TableNormal"/>
    <w:uiPriority w:val="61"/>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pPr>
        <w:spacing w:before="0" w:after="0" w:line="240" w:lineRule="auto"/>
      </w:pPr>
      <w:rPr>
        <w:b/>
        <w:bCs/>
        <w:color w:val="FFFFFF" w:themeColor="background1"/>
      </w:rPr>
      <w:tblPr/>
      <w:tcPr>
        <w:shd w:val="clear" w:color="auto" w:fill="012169" w:themeFill="accent4"/>
      </w:tcPr>
    </w:tblStylePr>
    <w:tblStylePr w:type="lastRow">
      <w:pPr>
        <w:spacing w:before="0" w:after="0" w:line="240" w:lineRule="auto"/>
      </w:pPr>
      <w:rPr>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tcBorders>
      </w:tcPr>
    </w:tblStylePr>
    <w:tblStylePr w:type="firstCol">
      <w:rPr>
        <w:b/>
        <w:bCs/>
      </w:rPr>
    </w:tblStylePr>
    <w:tblStylePr w:type="lastCol">
      <w:rPr>
        <w:b/>
        <w:bCs/>
      </w:r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style>
  <w:style w:type="table" w:styleId="LightList-Accent5">
    <w:name w:val="Light List Accent 5"/>
    <w:basedOn w:val="TableNormal"/>
    <w:uiPriority w:val="61"/>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pPr>
        <w:spacing w:before="0" w:after="0" w:line="240" w:lineRule="auto"/>
      </w:pPr>
      <w:rPr>
        <w:b/>
        <w:bCs/>
        <w:color w:val="FFFFFF" w:themeColor="background1"/>
      </w:rPr>
      <w:tblPr/>
      <w:tcPr>
        <w:shd w:val="clear" w:color="auto" w:fill="0097A9" w:themeFill="accent5"/>
      </w:tcPr>
    </w:tblStylePr>
    <w:tblStylePr w:type="lastRow">
      <w:pPr>
        <w:spacing w:before="0" w:after="0" w:line="240" w:lineRule="auto"/>
      </w:pPr>
      <w:rPr>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tcBorders>
      </w:tcPr>
    </w:tblStylePr>
    <w:tblStylePr w:type="firstCol">
      <w:rPr>
        <w:b/>
        <w:bCs/>
      </w:rPr>
    </w:tblStylePr>
    <w:tblStylePr w:type="lastCol">
      <w:rPr>
        <w:b/>
        <w:bCs/>
      </w:r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style>
  <w:style w:type="table" w:styleId="LightList-Accent6">
    <w:name w:val="Light List Accent 6"/>
    <w:basedOn w:val="TableNormal"/>
    <w:uiPriority w:val="61"/>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pPr>
        <w:spacing w:before="0" w:after="0" w:line="240" w:lineRule="auto"/>
      </w:pPr>
      <w:rPr>
        <w:b/>
        <w:bCs/>
        <w:color w:val="FFFFFF" w:themeColor="background1"/>
      </w:rPr>
      <w:tblPr/>
      <w:tcPr>
        <w:shd w:val="clear" w:color="auto" w:fill="75787B" w:themeFill="accent6"/>
      </w:tcPr>
    </w:tblStylePr>
    <w:tblStylePr w:type="lastRow">
      <w:pPr>
        <w:spacing w:before="0" w:after="0" w:line="240" w:lineRule="auto"/>
      </w:pPr>
      <w:rPr>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tcBorders>
      </w:tcPr>
    </w:tblStylePr>
    <w:tblStylePr w:type="firstCol">
      <w:rPr>
        <w:b/>
        <w:bCs/>
      </w:rPr>
    </w:tblStylePr>
    <w:tblStylePr w:type="lastCol">
      <w:rPr>
        <w:b/>
        <w:bCs/>
      </w:r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style>
  <w:style w:type="table" w:styleId="LightShading">
    <w:name w:val="Light Shading"/>
    <w:basedOn w:val="TableNormal"/>
    <w:uiPriority w:val="60"/>
    <w:rsid w:val="00F9113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9113D"/>
    <w:pPr>
      <w:spacing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LightShading-Accent2">
    <w:name w:val="Light Shading Accent 2"/>
    <w:basedOn w:val="TableNormal"/>
    <w:uiPriority w:val="60"/>
    <w:rsid w:val="00F9113D"/>
    <w:pPr>
      <w:spacing w:line="240" w:lineRule="auto"/>
    </w:pPr>
    <w:rPr>
      <w:color w:val="034F29" w:themeColor="accent2" w:themeShade="BF"/>
    </w:rPr>
    <w:tblPr>
      <w:tblStyleRowBandSize w:val="1"/>
      <w:tblStyleColBandSize w:val="1"/>
      <w:tblBorders>
        <w:top w:val="single" w:sz="8" w:space="0" w:color="046A38" w:themeColor="accent2"/>
        <w:bottom w:val="single" w:sz="8" w:space="0" w:color="046A38" w:themeColor="accent2"/>
      </w:tblBorders>
    </w:tblPr>
    <w:tblStylePr w:type="fir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la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left w:val="nil"/>
          <w:right w:val="nil"/>
          <w:insideH w:val="nil"/>
          <w:insideV w:val="nil"/>
        </w:tcBorders>
        <w:shd w:val="clear" w:color="auto" w:fill="9FFBCE" w:themeFill="accent2" w:themeFillTint="3F"/>
      </w:tcPr>
    </w:tblStylePr>
  </w:style>
  <w:style w:type="table" w:styleId="LightShading-Accent3">
    <w:name w:val="Light Shading Accent 3"/>
    <w:basedOn w:val="TableNormal"/>
    <w:uiPriority w:val="60"/>
    <w:rsid w:val="00F9113D"/>
    <w:pPr>
      <w:spacing w:line="240" w:lineRule="auto"/>
    </w:pPr>
    <w:rPr>
      <w:color w:val="2291D1" w:themeColor="accent3" w:themeShade="BF"/>
    </w:rPr>
    <w:tblPr>
      <w:tblStyleRowBandSize w:val="1"/>
      <w:tblStyleColBandSize w:val="1"/>
      <w:tblBorders>
        <w:top w:val="single" w:sz="8" w:space="0" w:color="62B5E5" w:themeColor="accent3"/>
        <w:bottom w:val="single" w:sz="8" w:space="0" w:color="62B5E5" w:themeColor="accent3"/>
      </w:tblBorders>
    </w:tblPr>
    <w:tblStylePr w:type="fir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ightShading-Accent4">
    <w:name w:val="Light Shading Accent 4"/>
    <w:basedOn w:val="TableNormal"/>
    <w:uiPriority w:val="60"/>
    <w:rsid w:val="00F9113D"/>
    <w:pPr>
      <w:spacing w:line="240" w:lineRule="auto"/>
    </w:pPr>
    <w:rPr>
      <w:color w:val="00184E" w:themeColor="accent4" w:themeShade="BF"/>
    </w:rPr>
    <w:tblPr>
      <w:tblStyleRowBandSize w:val="1"/>
      <w:tblStyleColBandSize w:val="1"/>
      <w:tblBorders>
        <w:top w:val="single" w:sz="8" w:space="0" w:color="012169" w:themeColor="accent4"/>
        <w:bottom w:val="single" w:sz="8" w:space="0" w:color="012169" w:themeColor="accent4"/>
      </w:tblBorders>
    </w:tblPr>
    <w:tblStylePr w:type="fir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la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left w:val="nil"/>
          <w:right w:val="nil"/>
          <w:insideH w:val="nil"/>
          <w:insideV w:val="nil"/>
        </w:tcBorders>
        <w:shd w:val="clear" w:color="auto" w:fill="9BB9FE" w:themeFill="accent4" w:themeFillTint="3F"/>
      </w:tcPr>
    </w:tblStylePr>
  </w:style>
  <w:style w:type="table" w:styleId="LightShading-Accent5">
    <w:name w:val="Light Shading Accent 5"/>
    <w:basedOn w:val="TableNormal"/>
    <w:uiPriority w:val="60"/>
    <w:rsid w:val="00F9113D"/>
    <w:pPr>
      <w:spacing w:line="240" w:lineRule="auto"/>
    </w:pPr>
    <w:rPr>
      <w:color w:val="00707E" w:themeColor="accent5" w:themeShade="BF"/>
    </w:rPr>
    <w:tblPr>
      <w:tblStyleRowBandSize w:val="1"/>
      <w:tblStyleColBandSize w:val="1"/>
      <w:tblBorders>
        <w:top w:val="single" w:sz="8" w:space="0" w:color="0097A9" w:themeColor="accent5"/>
        <w:bottom w:val="single" w:sz="8" w:space="0" w:color="0097A9" w:themeColor="accent5"/>
      </w:tblBorders>
    </w:tblPr>
    <w:tblStylePr w:type="fir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la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left w:val="nil"/>
          <w:right w:val="nil"/>
          <w:insideH w:val="nil"/>
          <w:insideV w:val="nil"/>
        </w:tcBorders>
        <w:shd w:val="clear" w:color="auto" w:fill="AAF5FF" w:themeFill="accent5" w:themeFillTint="3F"/>
      </w:tcPr>
    </w:tblStylePr>
  </w:style>
  <w:style w:type="table" w:styleId="LightShading-Accent6">
    <w:name w:val="Light Shading Accent 6"/>
    <w:basedOn w:val="TableNormal"/>
    <w:uiPriority w:val="60"/>
    <w:rsid w:val="00F9113D"/>
    <w:pPr>
      <w:spacing w:line="240" w:lineRule="auto"/>
    </w:pPr>
    <w:rPr>
      <w:color w:val="57595C" w:themeColor="accent6" w:themeShade="BF"/>
    </w:rPr>
    <w:tblPr>
      <w:tblStyleRowBandSize w:val="1"/>
      <w:tblStyleColBandSize w:val="1"/>
      <w:tblBorders>
        <w:top w:val="single" w:sz="8" w:space="0" w:color="75787B" w:themeColor="accent6"/>
        <w:bottom w:val="single" w:sz="8" w:space="0" w:color="75787B" w:themeColor="accent6"/>
      </w:tblBorders>
    </w:tblPr>
    <w:tblStylePr w:type="fir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la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style>
  <w:style w:type="character" w:styleId="LineNumber">
    <w:name w:val="line number"/>
    <w:basedOn w:val="DefaultParagraphFont"/>
    <w:uiPriority w:val="99"/>
    <w:semiHidden/>
    <w:rsid w:val="00F9113D"/>
    <w:rPr>
      <w:lang w:val="en-AU"/>
    </w:rPr>
  </w:style>
  <w:style w:type="paragraph" w:styleId="List">
    <w:name w:val="List"/>
    <w:basedOn w:val="Normal"/>
    <w:uiPriority w:val="99"/>
    <w:semiHidden/>
    <w:rsid w:val="00F9113D"/>
    <w:pPr>
      <w:ind w:left="283" w:hanging="283"/>
      <w:contextualSpacing/>
    </w:pPr>
  </w:style>
  <w:style w:type="paragraph" w:styleId="List2">
    <w:name w:val="List 2"/>
    <w:basedOn w:val="Normal"/>
    <w:uiPriority w:val="99"/>
    <w:semiHidden/>
    <w:rsid w:val="00F9113D"/>
    <w:pPr>
      <w:ind w:left="566" w:hanging="283"/>
      <w:contextualSpacing/>
    </w:pPr>
  </w:style>
  <w:style w:type="paragraph" w:styleId="List3">
    <w:name w:val="List 3"/>
    <w:basedOn w:val="Normal"/>
    <w:uiPriority w:val="99"/>
    <w:semiHidden/>
    <w:rsid w:val="00F9113D"/>
    <w:pPr>
      <w:ind w:left="849" w:hanging="283"/>
      <w:contextualSpacing/>
    </w:pPr>
  </w:style>
  <w:style w:type="paragraph" w:styleId="List4">
    <w:name w:val="List 4"/>
    <w:basedOn w:val="Normal"/>
    <w:uiPriority w:val="99"/>
    <w:semiHidden/>
    <w:rsid w:val="00F9113D"/>
    <w:pPr>
      <w:ind w:left="1132" w:hanging="283"/>
      <w:contextualSpacing/>
    </w:pPr>
  </w:style>
  <w:style w:type="paragraph" w:styleId="List5">
    <w:name w:val="List 5"/>
    <w:basedOn w:val="Normal"/>
    <w:uiPriority w:val="99"/>
    <w:semiHidden/>
    <w:rsid w:val="00F9113D"/>
    <w:pPr>
      <w:ind w:left="1415" w:hanging="283"/>
      <w:contextualSpacing/>
    </w:pPr>
  </w:style>
  <w:style w:type="paragraph" w:styleId="ListBullet3">
    <w:name w:val="List Bullet 3"/>
    <w:basedOn w:val="Normal"/>
    <w:uiPriority w:val="3"/>
    <w:rsid w:val="003A65F2"/>
    <w:pPr>
      <w:numPr>
        <w:numId w:val="16"/>
      </w:numPr>
      <w:spacing w:after="0"/>
      <w:ind w:left="1020" w:hanging="340"/>
      <w:contextualSpacing/>
    </w:pPr>
  </w:style>
  <w:style w:type="paragraph" w:styleId="ListBullet4">
    <w:name w:val="List Bullet 4"/>
    <w:basedOn w:val="Normal"/>
    <w:uiPriority w:val="99"/>
    <w:semiHidden/>
    <w:rsid w:val="00F9113D"/>
    <w:pPr>
      <w:numPr>
        <w:numId w:val="3"/>
      </w:numPr>
      <w:contextualSpacing/>
    </w:pPr>
  </w:style>
  <w:style w:type="paragraph" w:styleId="ListBullet5">
    <w:name w:val="List Bullet 5"/>
    <w:basedOn w:val="Normal"/>
    <w:uiPriority w:val="99"/>
    <w:semiHidden/>
    <w:rsid w:val="00F9113D"/>
    <w:pPr>
      <w:numPr>
        <w:numId w:val="4"/>
      </w:numPr>
      <w:contextualSpacing/>
    </w:pPr>
  </w:style>
  <w:style w:type="paragraph" w:styleId="ListContinue">
    <w:name w:val="List Continue"/>
    <w:basedOn w:val="Normal"/>
    <w:uiPriority w:val="99"/>
    <w:semiHidden/>
    <w:rsid w:val="00F9113D"/>
    <w:pPr>
      <w:ind w:left="283"/>
      <w:contextualSpacing/>
    </w:pPr>
  </w:style>
  <w:style w:type="paragraph" w:styleId="ListContinue2">
    <w:name w:val="List Continue 2"/>
    <w:basedOn w:val="Normal"/>
    <w:uiPriority w:val="99"/>
    <w:semiHidden/>
    <w:rsid w:val="00F9113D"/>
    <w:pPr>
      <w:ind w:left="566"/>
      <w:contextualSpacing/>
    </w:pPr>
  </w:style>
  <w:style w:type="paragraph" w:styleId="ListContinue3">
    <w:name w:val="List Continue 3"/>
    <w:basedOn w:val="Normal"/>
    <w:uiPriority w:val="99"/>
    <w:semiHidden/>
    <w:rsid w:val="00F9113D"/>
    <w:pPr>
      <w:ind w:left="849"/>
      <w:contextualSpacing/>
    </w:pPr>
  </w:style>
  <w:style w:type="paragraph" w:styleId="ListContinue4">
    <w:name w:val="List Continue 4"/>
    <w:basedOn w:val="Normal"/>
    <w:uiPriority w:val="99"/>
    <w:semiHidden/>
    <w:rsid w:val="00F9113D"/>
    <w:pPr>
      <w:ind w:left="1132"/>
      <w:contextualSpacing/>
    </w:pPr>
  </w:style>
  <w:style w:type="paragraph" w:styleId="ListContinue5">
    <w:name w:val="List Continue 5"/>
    <w:basedOn w:val="Normal"/>
    <w:uiPriority w:val="99"/>
    <w:semiHidden/>
    <w:rsid w:val="00F9113D"/>
    <w:pPr>
      <w:ind w:left="1415"/>
      <w:contextualSpacing/>
    </w:pPr>
  </w:style>
  <w:style w:type="paragraph" w:styleId="ListNumber3">
    <w:name w:val="List Number 3"/>
    <w:basedOn w:val="Normal"/>
    <w:uiPriority w:val="99"/>
    <w:semiHidden/>
    <w:rsid w:val="00F9113D"/>
    <w:pPr>
      <w:numPr>
        <w:ilvl w:val="2"/>
        <w:numId w:val="14"/>
      </w:numPr>
      <w:contextualSpacing/>
    </w:pPr>
  </w:style>
  <w:style w:type="paragraph" w:styleId="ListNumber4">
    <w:name w:val="List Number 4"/>
    <w:basedOn w:val="Normal"/>
    <w:uiPriority w:val="99"/>
    <w:semiHidden/>
    <w:rsid w:val="00F9113D"/>
    <w:pPr>
      <w:numPr>
        <w:numId w:val="5"/>
      </w:numPr>
      <w:contextualSpacing/>
    </w:pPr>
  </w:style>
  <w:style w:type="paragraph" w:styleId="ListNumber5">
    <w:name w:val="List Number 5"/>
    <w:basedOn w:val="Normal"/>
    <w:uiPriority w:val="99"/>
    <w:semiHidden/>
    <w:rsid w:val="00F9113D"/>
    <w:pPr>
      <w:numPr>
        <w:numId w:val="6"/>
      </w:numPr>
      <w:contextualSpacing/>
    </w:pPr>
  </w:style>
  <w:style w:type="paragraph" w:styleId="ListParagraph">
    <w:name w:val="List Paragraph"/>
    <w:aliases w:val="Use Case List Paragraph,List Paragraph - bullets,standard lewis,Numbered Para 1,Dot pt,No Spacing1,List Paragraph Char Char Char,Indicator Text,List Paragraph1,Bullet Points,Bullet (1st level),First level bullet point,Recommendation,B1,L"/>
    <w:basedOn w:val="Normal"/>
    <w:link w:val="ListParagraphChar"/>
    <w:uiPriority w:val="34"/>
    <w:qFormat/>
    <w:rsid w:val="00F9113D"/>
    <w:pPr>
      <w:ind w:left="720"/>
      <w:contextualSpacing/>
    </w:pPr>
  </w:style>
  <w:style w:type="paragraph" w:styleId="MacroText">
    <w:name w:val="macro"/>
    <w:link w:val="MacroTextChar"/>
    <w:uiPriority w:val="99"/>
    <w:semiHidden/>
    <w:rsid w:val="00F9113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F9113D"/>
    <w:rPr>
      <w:rFonts w:ascii="Consolas" w:hAnsi="Consolas"/>
      <w:sz w:val="20"/>
      <w:szCs w:val="20"/>
      <w:lang w:val="en-AU"/>
    </w:rPr>
  </w:style>
  <w:style w:type="table" w:styleId="MediumGrid1">
    <w:name w:val="Medium Grid 1"/>
    <w:basedOn w:val="TableNormal"/>
    <w:uiPriority w:val="67"/>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insideV w:val="single" w:sz="8" w:space="0" w:color="A8DB4C" w:themeColor="accent1" w:themeTint="BF"/>
      </w:tblBorders>
    </w:tblPr>
    <w:tcPr>
      <w:shd w:val="clear" w:color="auto" w:fill="E2F3C3" w:themeFill="accent1" w:themeFillTint="3F"/>
    </w:tcPr>
    <w:tblStylePr w:type="firstRow">
      <w:rPr>
        <w:b/>
        <w:bCs/>
      </w:rPr>
    </w:tblStylePr>
    <w:tblStylePr w:type="lastRow">
      <w:rPr>
        <w:b/>
        <w:bCs/>
      </w:rPr>
      <w:tblPr/>
      <w:tcPr>
        <w:tcBorders>
          <w:top w:val="single" w:sz="18" w:space="0" w:color="A8DB4C" w:themeColor="accent1" w:themeTint="BF"/>
        </w:tcBorders>
      </w:tcPr>
    </w:tblStylePr>
    <w:tblStylePr w:type="firstCol">
      <w:rPr>
        <w:b/>
        <w:bCs/>
      </w:rPr>
    </w:tblStylePr>
    <w:tblStylePr w:type="lastCol">
      <w:rPr>
        <w:b/>
        <w:bCs/>
      </w:r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MediumGrid1-Accent2">
    <w:name w:val="Medium Grid 1 Accent 2"/>
    <w:basedOn w:val="TableNormal"/>
    <w:uiPriority w:val="67"/>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insideV w:val="single" w:sz="8" w:space="0" w:color="07CA6B" w:themeColor="accent2" w:themeTint="BF"/>
      </w:tblBorders>
    </w:tblPr>
    <w:tcPr>
      <w:shd w:val="clear" w:color="auto" w:fill="9FFBCE" w:themeFill="accent2" w:themeFillTint="3F"/>
    </w:tcPr>
    <w:tblStylePr w:type="firstRow">
      <w:rPr>
        <w:b/>
        <w:bCs/>
      </w:rPr>
    </w:tblStylePr>
    <w:tblStylePr w:type="lastRow">
      <w:rPr>
        <w:b/>
        <w:bCs/>
      </w:rPr>
      <w:tblPr/>
      <w:tcPr>
        <w:tcBorders>
          <w:top w:val="single" w:sz="18" w:space="0" w:color="07CA6B" w:themeColor="accent2" w:themeTint="BF"/>
        </w:tcBorders>
      </w:tcPr>
    </w:tblStylePr>
    <w:tblStylePr w:type="firstCol">
      <w:rPr>
        <w:b/>
        <w:bCs/>
      </w:rPr>
    </w:tblStylePr>
    <w:tblStylePr w:type="lastCol">
      <w:rPr>
        <w:b/>
        <w:bCs/>
      </w:r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MediumGrid1-Accent3">
    <w:name w:val="Medium Grid 1 Accent 3"/>
    <w:basedOn w:val="TableNormal"/>
    <w:uiPriority w:val="67"/>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Pr>
    <w:tblStylePr w:type="firstRow">
      <w:rPr>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rid1-Accent4">
    <w:name w:val="Medium Grid 1 Accent 4"/>
    <w:basedOn w:val="TableNormal"/>
    <w:uiPriority w:val="67"/>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insideV w:val="single" w:sz="8" w:space="0" w:color="0240CD" w:themeColor="accent4" w:themeTint="BF"/>
      </w:tblBorders>
    </w:tblPr>
    <w:tcPr>
      <w:shd w:val="clear" w:color="auto" w:fill="9BB9FE" w:themeFill="accent4" w:themeFillTint="3F"/>
    </w:tcPr>
    <w:tblStylePr w:type="firstRow">
      <w:rPr>
        <w:b/>
        <w:bCs/>
      </w:rPr>
    </w:tblStylePr>
    <w:tblStylePr w:type="lastRow">
      <w:rPr>
        <w:b/>
        <w:bCs/>
      </w:rPr>
      <w:tblPr/>
      <w:tcPr>
        <w:tcBorders>
          <w:top w:val="single" w:sz="18" w:space="0" w:color="0240CD" w:themeColor="accent4" w:themeTint="BF"/>
        </w:tcBorders>
      </w:tcPr>
    </w:tblStylePr>
    <w:tblStylePr w:type="firstCol">
      <w:rPr>
        <w:b/>
        <w:bCs/>
      </w:rPr>
    </w:tblStylePr>
    <w:tblStylePr w:type="lastCol">
      <w:rPr>
        <w:b/>
        <w:bCs/>
      </w:r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MediumGrid1-Accent5">
    <w:name w:val="Medium Grid 1 Accent 5"/>
    <w:basedOn w:val="TableNormal"/>
    <w:uiPriority w:val="67"/>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insideV w:val="single" w:sz="8" w:space="0" w:color="00E2FE" w:themeColor="accent5" w:themeTint="BF"/>
      </w:tblBorders>
    </w:tblPr>
    <w:tcPr>
      <w:shd w:val="clear" w:color="auto" w:fill="AAF5FF" w:themeFill="accent5" w:themeFillTint="3F"/>
    </w:tcPr>
    <w:tblStylePr w:type="firstRow">
      <w:rPr>
        <w:b/>
        <w:bCs/>
      </w:rPr>
    </w:tblStylePr>
    <w:tblStylePr w:type="lastRow">
      <w:rPr>
        <w:b/>
        <w:bCs/>
      </w:rPr>
      <w:tblPr/>
      <w:tcPr>
        <w:tcBorders>
          <w:top w:val="single" w:sz="18" w:space="0" w:color="00E2FE" w:themeColor="accent5" w:themeTint="BF"/>
        </w:tcBorders>
      </w:tcPr>
    </w:tblStylePr>
    <w:tblStylePr w:type="firstCol">
      <w:rPr>
        <w:b/>
        <w:bCs/>
      </w:rPr>
    </w:tblStylePr>
    <w:tblStylePr w:type="lastCol">
      <w:rPr>
        <w:b/>
        <w:bCs/>
      </w:r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MediumGrid1-Accent6">
    <w:name w:val="Medium Grid 1 Accent 6"/>
    <w:basedOn w:val="TableNormal"/>
    <w:uiPriority w:val="67"/>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insideV w:val="single" w:sz="8" w:space="0" w:color="97999C"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7999C" w:themeColor="accent6" w:themeTint="BF"/>
        </w:tcBorders>
      </w:tcPr>
    </w:tblStylePr>
    <w:tblStylePr w:type="firstCol">
      <w:rPr>
        <w:b/>
        <w:bCs/>
      </w:rPr>
    </w:tblStylePr>
    <w:tblStylePr w:type="lastCol">
      <w:rPr>
        <w:b/>
        <w:bCs/>
      </w:r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MediumGrid2">
    <w:name w:val="Medium Grid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cPr>
      <w:shd w:val="clear" w:color="auto" w:fill="E2F3C3" w:themeFill="accent1" w:themeFillTint="3F"/>
    </w:tcPr>
    <w:tblStylePr w:type="firstRow">
      <w:rPr>
        <w:b/>
        <w:bCs/>
        <w:color w:val="000000" w:themeColor="text1"/>
      </w:rPr>
      <w:tblPr/>
      <w:tcPr>
        <w:shd w:val="clear" w:color="auto" w:fill="F3FA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1" w:themeFillTint="33"/>
      </w:tcPr>
    </w:tblStylePr>
    <w:tblStylePr w:type="band1Vert">
      <w:tblPr/>
      <w:tcPr>
        <w:shd w:val="clear" w:color="auto" w:fill="C5E788" w:themeFill="accent1" w:themeFillTint="7F"/>
      </w:tcPr>
    </w:tblStylePr>
    <w:tblStylePr w:type="band1Horz">
      <w:tblPr/>
      <w:tcPr>
        <w:tcBorders>
          <w:insideH w:val="single" w:sz="6" w:space="0" w:color="86BC25" w:themeColor="accent1"/>
          <w:insideV w:val="single" w:sz="6" w:space="0" w:color="86BC25" w:themeColor="accent1"/>
        </w:tcBorders>
        <w:shd w:val="clear" w:color="auto" w:fill="C5E7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cPr>
      <w:shd w:val="clear" w:color="auto" w:fill="9FFBCE" w:themeFill="accent2" w:themeFillTint="3F"/>
    </w:tcPr>
    <w:tblStylePr w:type="firstRow">
      <w:rPr>
        <w:b/>
        <w:bCs/>
        <w:color w:val="000000" w:themeColor="text1"/>
      </w:rPr>
      <w:tblPr/>
      <w:tcPr>
        <w:shd w:val="clear" w:color="auto" w:fill="D9F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2" w:themeFillTint="33"/>
      </w:tcPr>
    </w:tblStylePr>
    <w:tblStylePr w:type="band1Vert">
      <w:tblPr/>
      <w:tcPr>
        <w:shd w:val="clear" w:color="auto" w:fill="3EF79D" w:themeFill="accent2" w:themeFillTint="7F"/>
      </w:tcPr>
    </w:tblStylePr>
    <w:tblStylePr w:type="band1Horz">
      <w:tblPr/>
      <w:tcPr>
        <w:tcBorders>
          <w:insideH w:val="single" w:sz="6" w:space="0" w:color="046A38" w:themeColor="accent2"/>
          <w:insideV w:val="single" w:sz="6" w:space="0" w:color="046A38" w:themeColor="accent2"/>
        </w:tcBorders>
        <w:shd w:val="clear" w:color="auto" w:fill="3EF7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Pr>
    <w:tblStylePr w:type="firstRow">
      <w:rPr>
        <w:b/>
        <w:bCs/>
        <w:color w:val="000000" w:themeColor="text1"/>
      </w:rPr>
      <w:tblPr/>
      <w:tcPr>
        <w:shd w:val="clear" w:color="auto" w:fill="EF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cPr>
      <w:shd w:val="clear" w:color="auto" w:fill="9BB9FE" w:themeFill="accent4" w:themeFillTint="3F"/>
    </w:tcPr>
    <w:tblStylePr w:type="firstRow">
      <w:rPr>
        <w:b/>
        <w:bCs/>
        <w:color w:val="000000" w:themeColor="text1"/>
      </w:rPr>
      <w:tblPr/>
      <w:tcPr>
        <w:shd w:val="clear" w:color="auto" w:fill="D7E3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4" w:themeFillTint="33"/>
      </w:tcPr>
    </w:tblStylePr>
    <w:tblStylePr w:type="band1Vert">
      <w:tblPr/>
      <w:tcPr>
        <w:shd w:val="clear" w:color="auto" w:fill="3773FD" w:themeFill="accent4" w:themeFillTint="7F"/>
      </w:tcPr>
    </w:tblStylePr>
    <w:tblStylePr w:type="band1Horz">
      <w:tblPr/>
      <w:tcPr>
        <w:tcBorders>
          <w:insideH w:val="single" w:sz="6" w:space="0" w:color="012169" w:themeColor="accent4"/>
          <w:insideV w:val="single" w:sz="6" w:space="0" w:color="012169" w:themeColor="accent4"/>
        </w:tcBorders>
        <w:shd w:val="clear" w:color="auto" w:fill="3773F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cPr>
      <w:shd w:val="clear" w:color="auto" w:fill="AAF5FF" w:themeFill="accent5" w:themeFillTint="3F"/>
    </w:tcPr>
    <w:tblStylePr w:type="firstRow">
      <w:rPr>
        <w:b/>
        <w:bCs/>
        <w:color w:val="000000" w:themeColor="text1"/>
      </w:rPr>
      <w:tblPr/>
      <w:tcPr>
        <w:shd w:val="clear" w:color="auto" w:fill="DD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7FF" w:themeFill="accent5" w:themeFillTint="33"/>
      </w:tcPr>
    </w:tblStylePr>
    <w:tblStylePr w:type="band1Vert">
      <w:tblPr/>
      <w:tcPr>
        <w:shd w:val="clear" w:color="auto" w:fill="55ECFF" w:themeFill="accent5" w:themeFillTint="7F"/>
      </w:tcPr>
    </w:tblStylePr>
    <w:tblStylePr w:type="band1Horz">
      <w:tblPr/>
      <w:tcPr>
        <w:tcBorders>
          <w:insideH w:val="single" w:sz="6" w:space="0" w:color="0097A9" w:themeColor="accent5"/>
          <w:insideV w:val="single" w:sz="6" w:space="0" w:color="0097A9" w:themeColor="accent5"/>
        </w:tcBorders>
        <w:shd w:val="clear" w:color="auto" w:fill="55E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6" w:themeFillTint="33"/>
      </w:tcPr>
    </w:tblStylePr>
    <w:tblStylePr w:type="band1Vert">
      <w:tblPr/>
      <w:tcPr>
        <w:shd w:val="clear" w:color="auto" w:fill="B9BBBD" w:themeFill="accent6" w:themeFillTint="7F"/>
      </w:tcPr>
    </w:tblStylePr>
    <w:tblStylePr w:type="band1Horz">
      <w:tblPr/>
      <w:tcPr>
        <w:tcBorders>
          <w:insideH w:val="single" w:sz="6" w:space="0" w:color="75787B" w:themeColor="accent6"/>
          <w:insideV w:val="single" w:sz="6" w:space="0" w:color="75787B" w:themeColor="accent6"/>
        </w:tcBorders>
        <w:shd w:val="clear" w:color="auto" w:fill="B9BBB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1" w:themeFillTint="7F"/>
      </w:tcPr>
    </w:tblStylePr>
  </w:style>
  <w:style w:type="table" w:styleId="MediumGrid3-Accent2">
    <w:name w:val="Medium Grid 3 Accent 2"/>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2" w:themeFillTint="7F"/>
      </w:tcPr>
    </w:tblStylePr>
  </w:style>
  <w:style w:type="table" w:styleId="MediumGrid3-Accent3">
    <w:name w:val="Medium Grid 3 Accent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rid3-Accent4">
    <w:name w:val="Medium Grid 3 Accent 4"/>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4" w:themeFillTint="7F"/>
      </w:tcPr>
    </w:tblStylePr>
  </w:style>
  <w:style w:type="table" w:styleId="MediumGrid3-Accent5">
    <w:name w:val="Medium Grid 3 Accent 5"/>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5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E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ECFF" w:themeFill="accent5" w:themeFillTint="7F"/>
      </w:tcPr>
    </w:tblStylePr>
  </w:style>
  <w:style w:type="table" w:styleId="MediumGrid3-Accent6">
    <w:name w:val="Medium Grid 3 Accent 6"/>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787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787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BB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BBD" w:themeFill="accent6" w:themeFillTint="7F"/>
      </w:tcPr>
    </w:tblStylePr>
  </w:style>
  <w:style w:type="table" w:styleId="MediumList1">
    <w:name w:val="Medium List 1"/>
    <w:basedOn w:val="TableNormal"/>
    <w:uiPriority w:val="65"/>
    <w:rsid w:val="00F9113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9113D"/>
    <w:pPr>
      <w:spacing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44546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ediumList1-Accent2">
    <w:name w:val="Medium List 1 Accent 2"/>
    <w:basedOn w:val="TableNormal"/>
    <w:uiPriority w:val="65"/>
    <w:rsid w:val="00F9113D"/>
    <w:pPr>
      <w:spacing w:line="240" w:lineRule="auto"/>
    </w:pPr>
    <w:rPr>
      <w:color w:val="000000" w:themeColor="text1"/>
    </w:rPr>
    <w:tblPr>
      <w:tblStyleRowBandSize w:val="1"/>
      <w:tblStyleColBandSize w:val="1"/>
      <w:tblBorders>
        <w:top w:val="single" w:sz="8" w:space="0" w:color="046A38" w:themeColor="accent2"/>
        <w:bottom w:val="single" w:sz="8" w:space="0" w:color="046A38" w:themeColor="accent2"/>
      </w:tblBorders>
    </w:tblPr>
    <w:tblStylePr w:type="firstRow">
      <w:rPr>
        <w:rFonts w:asciiTheme="majorHAnsi" w:eastAsiaTheme="majorEastAsia" w:hAnsiTheme="majorHAnsi" w:cstheme="majorBidi"/>
      </w:rPr>
      <w:tblPr/>
      <w:tcPr>
        <w:tcBorders>
          <w:top w:val="nil"/>
          <w:bottom w:val="single" w:sz="8" w:space="0" w:color="046A38" w:themeColor="accent2"/>
        </w:tcBorders>
      </w:tcPr>
    </w:tblStylePr>
    <w:tblStylePr w:type="lastRow">
      <w:rPr>
        <w:b/>
        <w:bCs/>
        <w:color w:val="44546A" w:themeColor="text2"/>
      </w:rPr>
      <w:tblPr/>
      <w:tcPr>
        <w:tcBorders>
          <w:top w:val="single" w:sz="8" w:space="0" w:color="046A38" w:themeColor="accent2"/>
          <w:bottom w:val="single" w:sz="8" w:space="0" w:color="046A38" w:themeColor="accent2"/>
        </w:tcBorders>
      </w:tcPr>
    </w:tblStylePr>
    <w:tblStylePr w:type="firstCol">
      <w:rPr>
        <w:b/>
        <w:bCs/>
      </w:rPr>
    </w:tblStylePr>
    <w:tblStylePr w:type="lastCol">
      <w:rPr>
        <w:b/>
        <w:bCs/>
      </w:rPr>
      <w:tblPr/>
      <w:tcPr>
        <w:tcBorders>
          <w:top w:val="single" w:sz="8" w:space="0" w:color="046A38" w:themeColor="accent2"/>
          <w:bottom w:val="single" w:sz="8" w:space="0" w:color="046A38" w:themeColor="accent2"/>
        </w:tcBorders>
      </w:tcPr>
    </w:tblStylePr>
    <w:tblStylePr w:type="band1Vert">
      <w:tblPr/>
      <w:tcPr>
        <w:shd w:val="clear" w:color="auto" w:fill="9FFBCE" w:themeFill="accent2" w:themeFillTint="3F"/>
      </w:tcPr>
    </w:tblStylePr>
    <w:tblStylePr w:type="band1Horz">
      <w:tblPr/>
      <w:tcPr>
        <w:shd w:val="clear" w:color="auto" w:fill="9FFBCE" w:themeFill="accent2" w:themeFillTint="3F"/>
      </w:tcPr>
    </w:tblStylePr>
  </w:style>
  <w:style w:type="table" w:styleId="MediumList1-Accent3">
    <w:name w:val="Medium List 1 Accent 3"/>
    <w:basedOn w:val="TableNormal"/>
    <w:uiPriority w:val="65"/>
    <w:rsid w:val="00F9113D"/>
    <w:pPr>
      <w:spacing w:line="240" w:lineRule="auto"/>
    </w:pPr>
    <w:rPr>
      <w:color w:val="000000" w:themeColor="text1"/>
    </w:rPr>
    <w:tblPr>
      <w:tblStyleRowBandSize w:val="1"/>
      <w:tblStyleColBandSize w:val="1"/>
      <w:tblBorders>
        <w:top w:val="single" w:sz="8" w:space="0" w:color="62B5E5" w:themeColor="accent3"/>
        <w:bottom w:val="single" w:sz="8" w:space="0" w:color="62B5E5" w:themeColor="accent3"/>
      </w:tblBorders>
    </w:tblPr>
    <w:tblStylePr w:type="firstRow">
      <w:rPr>
        <w:rFonts w:asciiTheme="majorHAnsi" w:eastAsiaTheme="majorEastAsia" w:hAnsiTheme="majorHAnsi" w:cstheme="majorBidi"/>
      </w:rPr>
      <w:tblPr/>
      <w:tcPr>
        <w:tcBorders>
          <w:top w:val="nil"/>
          <w:bottom w:val="single" w:sz="8" w:space="0" w:color="62B5E5" w:themeColor="accent3"/>
        </w:tcBorders>
      </w:tcPr>
    </w:tblStylePr>
    <w:tblStylePr w:type="lastRow">
      <w:rPr>
        <w:b/>
        <w:bCs/>
        <w:color w:val="44546A"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1-Accent4">
    <w:name w:val="Medium List 1 Accent 4"/>
    <w:basedOn w:val="TableNormal"/>
    <w:uiPriority w:val="65"/>
    <w:rsid w:val="00F9113D"/>
    <w:pPr>
      <w:spacing w:line="240" w:lineRule="auto"/>
    </w:pPr>
    <w:rPr>
      <w:color w:val="000000" w:themeColor="text1"/>
    </w:rPr>
    <w:tblPr>
      <w:tblStyleRowBandSize w:val="1"/>
      <w:tblStyleColBandSize w:val="1"/>
      <w:tblBorders>
        <w:top w:val="single" w:sz="8" w:space="0" w:color="012169" w:themeColor="accent4"/>
        <w:bottom w:val="single" w:sz="8" w:space="0" w:color="012169" w:themeColor="accent4"/>
      </w:tblBorders>
    </w:tblPr>
    <w:tblStylePr w:type="firstRow">
      <w:rPr>
        <w:rFonts w:asciiTheme="majorHAnsi" w:eastAsiaTheme="majorEastAsia" w:hAnsiTheme="majorHAnsi" w:cstheme="majorBidi"/>
      </w:rPr>
      <w:tblPr/>
      <w:tcPr>
        <w:tcBorders>
          <w:top w:val="nil"/>
          <w:bottom w:val="single" w:sz="8" w:space="0" w:color="012169" w:themeColor="accent4"/>
        </w:tcBorders>
      </w:tcPr>
    </w:tblStylePr>
    <w:tblStylePr w:type="lastRow">
      <w:rPr>
        <w:b/>
        <w:bCs/>
        <w:color w:val="44546A" w:themeColor="text2"/>
      </w:rPr>
      <w:tblPr/>
      <w:tcPr>
        <w:tcBorders>
          <w:top w:val="single" w:sz="8" w:space="0" w:color="012169" w:themeColor="accent4"/>
          <w:bottom w:val="single" w:sz="8" w:space="0" w:color="012169" w:themeColor="accent4"/>
        </w:tcBorders>
      </w:tcPr>
    </w:tblStylePr>
    <w:tblStylePr w:type="firstCol">
      <w:rPr>
        <w:b/>
        <w:bCs/>
      </w:rPr>
    </w:tblStylePr>
    <w:tblStylePr w:type="lastCol">
      <w:rPr>
        <w:b/>
        <w:bCs/>
      </w:rPr>
      <w:tblPr/>
      <w:tcPr>
        <w:tcBorders>
          <w:top w:val="single" w:sz="8" w:space="0" w:color="012169" w:themeColor="accent4"/>
          <w:bottom w:val="single" w:sz="8" w:space="0" w:color="012169" w:themeColor="accent4"/>
        </w:tcBorders>
      </w:tcPr>
    </w:tblStylePr>
    <w:tblStylePr w:type="band1Vert">
      <w:tblPr/>
      <w:tcPr>
        <w:shd w:val="clear" w:color="auto" w:fill="9BB9FE" w:themeFill="accent4" w:themeFillTint="3F"/>
      </w:tcPr>
    </w:tblStylePr>
    <w:tblStylePr w:type="band1Horz">
      <w:tblPr/>
      <w:tcPr>
        <w:shd w:val="clear" w:color="auto" w:fill="9BB9FE" w:themeFill="accent4" w:themeFillTint="3F"/>
      </w:tcPr>
    </w:tblStylePr>
  </w:style>
  <w:style w:type="table" w:styleId="MediumList1-Accent5">
    <w:name w:val="Medium List 1 Accent 5"/>
    <w:basedOn w:val="TableNormal"/>
    <w:uiPriority w:val="65"/>
    <w:rsid w:val="00F9113D"/>
    <w:pPr>
      <w:spacing w:line="240" w:lineRule="auto"/>
    </w:pPr>
    <w:rPr>
      <w:color w:val="000000" w:themeColor="text1"/>
    </w:rPr>
    <w:tblPr>
      <w:tblStyleRowBandSize w:val="1"/>
      <w:tblStyleColBandSize w:val="1"/>
      <w:tblBorders>
        <w:top w:val="single" w:sz="8" w:space="0" w:color="0097A9" w:themeColor="accent5"/>
        <w:bottom w:val="single" w:sz="8" w:space="0" w:color="0097A9" w:themeColor="accent5"/>
      </w:tblBorders>
    </w:tblPr>
    <w:tblStylePr w:type="firstRow">
      <w:rPr>
        <w:rFonts w:asciiTheme="majorHAnsi" w:eastAsiaTheme="majorEastAsia" w:hAnsiTheme="majorHAnsi" w:cstheme="majorBidi"/>
      </w:rPr>
      <w:tblPr/>
      <w:tcPr>
        <w:tcBorders>
          <w:top w:val="nil"/>
          <w:bottom w:val="single" w:sz="8" w:space="0" w:color="0097A9" w:themeColor="accent5"/>
        </w:tcBorders>
      </w:tcPr>
    </w:tblStylePr>
    <w:tblStylePr w:type="lastRow">
      <w:rPr>
        <w:b/>
        <w:bCs/>
        <w:color w:val="44546A" w:themeColor="text2"/>
      </w:rPr>
      <w:tblPr/>
      <w:tcPr>
        <w:tcBorders>
          <w:top w:val="single" w:sz="8" w:space="0" w:color="0097A9" w:themeColor="accent5"/>
          <w:bottom w:val="single" w:sz="8" w:space="0" w:color="0097A9" w:themeColor="accent5"/>
        </w:tcBorders>
      </w:tcPr>
    </w:tblStylePr>
    <w:tblStylePr w:type="firstCol">
      <w:rPr>
        <w:b/>
        <w:bCs/>
      </w:rPr>
    </w:tblStylePr>
    <w:tblStylePr w:type="lastCol">
      <w:rPr>
        <w:b/>
        <w:bCs/>
      </w:rPr>
      <w:tblPr/>
      <w:tcPr>
        <w:tcBorders>
          <w:top w:val="single" w:sz="8" w:space="0" w:color="0097A9" w:themeColor="accent5"/>
          <w:bottom w:val="single" w:sz="8" w:space="0" w:color="0097A9" w:themeColor="accent5"/>
        </w:tcBorders>
      </w:tcPr>
    </w:tblStylePr>
    <w:tblStylePr w:type="band1Vert">
      <w:tblPr/>
      <w:tcPr>
        <w:shd w:val="clear" w:color="auto" w:fill="AAF5FF" w:themeFill="accent5" w:themeFillTint="3F"/>
      </w:tcPr>
    </w:tblStylePr>
    <w:tblStylePr w:type="band1Horz">
      <w:tblPr/>
      <w:tcPr>
        <w:shd w:val="clear" w:color="auto" w:fill="AAF5FF" w:themeFill="accent5" w:themeFillTint="3F"/>
      </w:tcPr>
    </w:tblStylePr>
  </w:style>
  <w:style w:type="table" w:styleId="MediumList1-Accent6">
    <w:name w:val="Medium List 1 Accent 6"/>
    <w:basedOn w:val="TableNormal"/>
    <w:uiPriority w:val="65"/>
    <w:rsid w:val="00F9113D"/>
    <w:pPr>
      <w:spacing w:line="240" w:lineRule="auto"/>
    </w:pPr>
    <w:rPr>
      <w:color w:val="000000" w:themeColor="text1"/>
    </w:rPr>
    <w:tblPr>
      <w:tblStyleRowBandSize w:val="1"/>
      <w:tblStyleColBandSize w:val="1"/>
      <w:tblBorders>
        <w:top w:val="single" w:sz="8" w:space="0" w:color="75787B" w:themeColor="accent6"/>
        <w:bottom w:val="single" w:sz="8" w:space="0" w:color="75787B" w:themeColor="accent6"/>
      </w:tblBorders>
    </w:tblPr>
    <w:tblStylePr w:type="firstRow">
      <w:rPr>
        <w:rFonts w:asciiTheme="majorHAnsi" w:eastAsiaTheme="majorEastAsia" w:hAnsiTheme="majorHAnsi" w:cstheme="majorBidi"/>
      </w:rPr>
      <w:tblPr/>
      <w:tcPr>
        <w:tcBorders>
          <w:top w:val="nil"/>
          <w:bottom w:val="single" w:sz="8" w:space="0" w:color="75787B" w:themeColor="accent6"/>
        </w:tcBorders>
      </w:tcPr>
    </w:tblStylePr>
    <w:tblStylePr w:type="lastRow">
      <w:rPr>
        <w:b/>
        <w:bCs/>
        <w:color w:val="44546A" w:themeColor="text2"/>
      </w:rPr>
      <w:tblPr/>
      <w:tcPr>
        <w:tcBorders>
          <w:top w:val="single" w:sz="8" w:space="0" w:color="75787B" w:themeColor="accent6"/>
          <w:bottom w:val="single" w:sz="8" w:space="0" w:color="75787B" w:themeColor="accent6"/>
        </w:tcBorders>
      </w:tcPr>
    </w:tblStylePr>
    <w:tblStylePr w:type="firstCol">
      <w:rPr>
        <w:b/>
        <w:bCs/>
      </w:rPr>
    </w:tblStylePr>
    <w:tblStylePr w:type="lastCol">
      <w:rPr>
        <w:b/>
        <w:bCs/>
      </w:rPr>
      <w:tblPr/>
      <w:tcPr>
        <w:tcBorders>
          <w:top w:val="single" w:sz="8" w:space="0" w:color="75787B" w:themeColor="accent6"/>
          <w:bottom w:val="single" w:sz="8" w:space="0" w:color="75787B"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style>
  <w:style w:type="table" w:styleId="MediumList2">
    <w:name w:val="Medium Lis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rPr>
        <w:sz w:val="24"/>
        <w:szCs w:val="24"/>
      </w:rPr>
      <w:tblPr/>
      <w:tcPr>
        <w:tcBorders>
          <w:top w:val="nil"/>
          <w:left w:val="nil"/>
          <w:bottom w:val="single" w:sz="24" w:space="0" w:color="86BC25" w:themeColor="accent1"/>
          <w:right w:val="nil"/>
          <w:insideH w:val="nil"/>
          <w:insideV w:val="nil"/>
        </w:tcBorders>
        <w:shd w:val="clear" w:color="auto" w:fill="FFFFFF" w:themeFill="background1"/>
      </w:tcPr>
    </w:tblStylePr>
    <w:tblStylePr w:type="lastRow">
      <w:tblPr/>
      <w:tcPr>
        <w:tcBorders>
          <w:top w:val="single" w:sz="8" w:space="0" w:color="86BC2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1"/>
          <w:insideH w:val="nil"/>
          <w:insideV w:val="nil"/>
        </w:tcBorders>
        <w:shd w:val="clear" w:color="auto" w:fill="FFFFFF" w:themeFill="background1"/>
      </w:tcPr>
    </w:tblStylePr>
    <w:tblStylePr w:type="lastCol">
      <w:tblPr/>
      <w:tcPr>
        <w:tcBorders>
          <w:top w:val="nil"/>
          <w:left w:val="single" w:sz="8" w:space="0" w:color="86BC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top w:val="nil"/>
          <w:bottom w:val="nil"/>
          <w:insideH w:val="nil"/>
          <w:insideV w:val="nil"/>
        </w:tcBorders>
        <w:shd w:val="clear" w:color="auto" w:fill="E2F3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rPr>
        <w:sz w:val="24"/>
        <w:szCs w:val="24"/>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tblPr/>
      <w:tcPr>
        <w:tcBorders>
          <w:top w:val="single" w:sz="8" w:space="0" w:color="046A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2"/>
          <w:insideH w:val="nil"/>
          <w:insideV w:val="nil"/>
        </w:tcBorders>
        <w:shd w:val="clear" w:color="auto" w:fill="FFFFFF" w:themeFill="background1"/>
      </w:tcPr>
    </w:tblStylePr>
    <w:tblStylePr w:type="lastCol">
      <w:tblPr/>
      <w:tcPr>
        <w:tcBorders>
          <w:top w:val="nil"/>
          <w:left w:val="single" w:sz="8" w:space="0" w:color="046A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top w:val="nil"/>
          <w:bottom w:val="nil"/>
          <w:insideH w:val="nil"/>
          <w:insideV w:val="nil"/>
        </w:tcBorders>
        <w:shd w:val="clear" w:color="auto" w:fill="9FF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rPr>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rPr>
        <w:sz w:val="24"/>
        <w:szCs w:val="24"/>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tblPr/>
      <w:tcPr>
        <w:tcBorders>
          <w:top w:val="single" w:sz="8" w:space="0" w:color="01216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4"/>
          <w:insideH w:val="nil"/>
          <w:insideV w:val="nil"/>
        </w:tcBorders>
        <w:shd w:val="clear" w:color="auto" w:fill="FFFFFF" w:themeFill="background1"/>
      </w:tcPr>
    </w:tblStylePr>
    <w:tblStylePr w:type="lastCol">
      <w:tblPr/>
      <w:tcPr>
        <w:tcBorders>
          <w:top w:val="nil"/>
          <w:left w:val="single" w:sz="8" w:space="0" w:color="01216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top w:val="nil"/>
          <w:bottom w:val="nil"/>
          <w:insideH w:val="nil"/>
          <w:insideV w:val="nil"/>
        </w:tcBorders>
        <w:shd w:val="clear" w:color="auto" w:fill="9BB9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rPr>
        <w:sz w:val="24"/>
        <w:szCs w:val="24"/>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tblPr/>
      <w:tcPr>
        <w:tcBorders>
          <w:top w:val="single" w:sz="8" w:space="0" w:color="0097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9" w:themeColor="accent5"/>
          <w:insideH w:val="nil"/>
          <w:insideV w:val="nil"/>
        </w:tcBorders>
        <w:shd w:val="clear" w:color="auto" w:fill="FFFFFF" w:themeFill="background1"/>
      </w:tcPr>
    </w:tblStylePr>
    <w:tblStylePr w:type="lastCol">
      <w:tblPr/>
      <w:tcPr>
        <w:tcBorders>
          <w:top w:val="nil"/>
          <w:left w:val="single" w:sz="8" w:space="0" w:color="0097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top w:val="nil"/>
          <w:bottom w:val="nil"/>
          <w:insideH w:val="nil"/>
          <w:insideV w:val="nil"/>
        </w:tcBorders>
        <w:shd w:val="clear" w:color="auto" w:fill="AAF5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rPr>
        <w:sz w:val="24"/>
        <w:szCs w:val="24"/>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tblPr/>
      <w:tcPr>
        <w:tcBorders>
          <w:top w:val="single" w:sz="8" w:space="0" w:color="75787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787B" w:themeColor="accent6"/>
          <w:insideH w:val="nil"/>
          <w:insideV w:val="nil"/>
        </w:tcBorders>
        <w:shd w:val="clear" w:color="auto" w:fill="FFFFFF" w:themeFill="background1"/>
      </w:tcPr>
    </w:tblStylePr>
    <w:tblStylePr w:type="lastCol">
      <w:tblPr/>
      <w:tcPr>
        <w:tcBorders>
          <w:top w:val="nil"/>
          <w:left w:val="single" w:sz="8" w:space="0" w:color="75787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tblBorders>
    </w:tblPr>
    <w:tblStylePr w:type="firstRow">
      <w:pPr>
        <w:spacing w:before="0" w:after="0" w:line="240" w:lineRule="auto"/>
      </w:pPr>
      <w:rPr>
        <w:b/>
        <w:bCs/>
        <w:color w:val="FFFFFF" w:themeColor="background1"/>
      </w:rPr>
      <w:tblPr/>
      <w:tcPr>
        <w:tc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shd w:val="clear" w:color="auto" w:fill="046A38" w:themeFill="accent2"/>
      </w:tcPr>
    </w:tblStylePr>
    <w:tblStylePr w:type="lastRow">
      <w:pPr>
        <w:spacing w:before="0" w:after="0" w:line="240" w:lineRule="auto"/>
      </w:pPr>
      <w:rPr>
        <w:b/>
        <w:bCs/>
      </w:rPr>
      <w:tblPr/>
      <w:tcPr>
        <w:tcBorders>
          <w:top w:val="double" w:sz="6"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FBCE" w:themeFill="accent2" w:themeFillTint="3F"/>
      </w:tcPr>
    </w:tblStylePr>
    <w:tblStylePr w:type="band1Horz">
      <w:tblPr/>
      <w:tcPr>
        <w:tcBorders>
          <w:insideH w:val="nil"/>
          <w:insideV w:val="nil"/>
        </w:tcBorders>
        <w:shd w:val="clear" w:color="auto" w:fill="9FF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blStylePr w:type="firstRow">
      <w:pPr>
        <w:spacing w:before="0" w:after="0" w:line="240" w:lineRule="auto"/>
      </w:pPr>
      <w:rPr>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tblBorders>
    </w:tblPr>
    <w:tblStylePr w:type="firstRow">
      <w:pPr>
        <w:spacing w:before="0" w:after="0" w:line="240" w:lineRule="auto"/>
      </w:pPr>
      <w:rPr>
        <w:b/>
        <w:bCs/>
        <w:color w:val="FFFFFF" w:themeColor="background1"/>
      </w:rPr>
      <w:tblPr/>
      <w:tcPr>
        <w:tc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shd w:val="clear" w:color="auto" w:fill="012169" w:themeFill="accent4"/>
      </w:tcPr>
    </w:tblStylePr>
    <w:tblStylePr w:type="lastRow">
      <w:pPr>
        <w:spacing w:before="0" w:after="0" w:line="240" w:lineRule="auto"/>
      </w:pPr>
      <w:rPr>
        <w:b/>
        <w:bCs/>
      </w:rPr>
      <w:tblPr/>
      <w:tcPr>
        <w:tcBorders>
          <w:top w:val="double" w:sz="6"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4" w:themeFillTint="3F"/>
      </w:tcPr>
    </w:tblStylePr>
    <w:tblStylePr w:type="band1Horz">
      <w:tblPr/>
      <w:tcPr>
        <w:tcBorders>
          <w:insideH w:val="nil"/>
          <w:insideV w:val="nil"/>
        </w:tcBorders>
        <w:shd w:val="clear" w:color="auto" w:fill="9BB9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tblBorders>
    </w:tblPr>
    <w:tblStylePr w:type="firstRow">
      <w:pPr>
        <w:spacing w:before="0" w:after="0" w:line="240" w:lineRule="auto"/>
      </w:pPr>
      <w:rPr>
        <w:b/>
        <w:bCs/>
        <w:color w:val="FFFFFF" w:themeColor="background1"/>
      </w:rPr>
      <w:tblPr/>
      <w:tcPr>
        <w:tc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shd w:val="clear" w:color="auto" w:fill="0097A9" w:themeFill="accent5"/>
      </w:tcPr>
    </w:tblStylePr>
    <w:tblStylePr w:type="lastRow">
      <w:pPr>
        <w:spacing w:before="0" w:after="0" w:line="240" w:lineRule="auto"/>
      </w:pPr>
      <w:rPr>
        <w:b/>
        <w:bCs/>
      </w:rPr>
      <w:tblPr/>
      <w:tcPr>
        <w:tcBorders>
          <w:top w:val="double" w:sz="6"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5" w:themeFillTint="3F"/>
      </w:tcPr>
    </w:tblStylePr>
    <w:tblStylePr w:type="band1Horz">
      <w:tblPr/>
      <w:tcPr>
        <w:tcBorders>
          <w:insideH w:val="nil"/>
          <w:insideV w:val="nil"/>
        </w:tcBorders>
        <w:shd w:val="clear" w:color="auto" w:fill="AAF5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tblBorders>
    </w:tblPr>
    <w:tblStylePr w:type="firstRow">
      <w:pPr>
        <w:spacing w:before="0" w:after="0" w:line="240" w:lineRule="auto"/>
      </w:pPr>
      <w:rPr>
        <w:b/>
        <w:bCs/>
        <w:color w:val="FFFFFF" w:themeColor="background1"/>
      </w:rPr>
      <w:tblPr/>
      <w:tcPr>
        <w:tc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shd w:val="clear" w:color="auto" w:fill="75787B" w:themeFill="accent6"/>
      </w:tcPr>
    </w:tblStylePr>
    <w:tblStylePr w:type="lastRow">
      <w:pPr>
        <w:spacing w:before="0" w:after="0" w:line="240" w:lineRule="auto"/>
      </w:pPr>
      <w:rPr>
        <w:b/>
        <w:bCs/>
      </w:rPr>
      <w:tblPr/>
      <w:tcPr>
        <w:tcBorders>
          <w:top w:val="double" w:sz="6"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6A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6A38" w:themeFill="accent2"/>
      </w:tcPr>
    </w:tblStylePr>
    <w:tblStylePr w:type="lastCol">
      <w:rPr>
        <w:b/>
        <w:bCs/>
        <w:color w:val="FFFFFF" w:themeColor="background1"/>
      </w:rPr>
      <w:tblPr/>
      <w:tcPr>
        <w:tcBorders>
          <w:left w:val="nil"/>
          <w:right w:val="nil"/>
          <w:insideH w:val="nil"/>
          <w:insideV w:val="nil"/>
        </w:tcBorders>
        <w:shd w:val="clear" w:color="auto" w:fill="046A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4"/>
      </w:tcPr>
    </w:tblStylePr>
    <w:tblStylePr w:type="lastCol">
      <w:rPr>
        <w:b/>
        <w:bCs/>
        <w:color w:val="FFFFFF" w:themeColor="background1"/>
      </w:rPr>
      <w:tblPr/>
      <w:tcPr>
        <w:tcBorders>
          <w:left w:val="nil"/>
          <w:right w:val="nil"/>
          <w:insideH w:val="nil"/>
          <w:insideV w:val="nil"/>
        </w:tcBorders>
        <w:shd w:val="clear" w:color="auto" w:fill="01216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A9" w:themeFill="accent5"/>
      </w:tcPr>
    </w:tblStylePr>
    <w:tblStylePr w:type="lastCol">
      <w:rPr>
        <w:b/>
        <w:bCs/>
        <w:color w:val="FFFFFF" w:themeColor="background1"/>
      </w:rPr>
      <w:tblPr/>
      <w:tcPr>
        <w:tcBorders>
          <w:left w:val="nil"/>
          <w:right w:val="nil"/>
          <w:insideH w:val="nil"/>
          <w:insideV w:val="nil"/>
        </w:tcBorders>
        <w:shd w:val="clear" w:color="auto" w:fill="0097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787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787B" w:themeFill="accent6"/>
      </w:tcPr>
    </w:tblStylePr>
    <w:tblStylePr w:type="lastCol">
      <w:rPr>
        <w:b/>
        <w:bCs/>
        <w:color w:val="FFFFFF" w:themeColor="background1"/>
      </w:rPr>
      <w:tblPr/>
      <w:tcPr>
        <w:tcBorders>
          <w:left w:val="nil"/>
          <w:right w:val="nil"/>
          <w:insideH w:val="nil"/>
          <w:insideV w:val="nil"/>
        </w:tcBorders>
        <w:shd w:val="clear" w:color="auto" w:fill="75787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911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9113D"/>
    <w:rPr>
      <w:rFonts w:asciiTheme="majorHAnsi" w:eastAsiaTheme="majorEastAsia" w:hAnsiTheme="majorHAnsi" w:cstheme="majorBidi"/>
      <w:sz w:val="24"/>
      <w:szCs w:val="24"/>
      <w:shd w:val="pct20" w:color="auto" w:fill="auto"/>
    </w:rPr>
  </w:style>
  <w:style w:type="paragraph" w:styleId="NoSpacing">
    <w:name w:val="No Spacing"/>
    <w:qFormat/>
    <w:rsid w:val="00DA30BF"/>
    <w:rPr>
      <w:lang w:val="en-AU"/>
    </w:rPr>
  </w:style>
  <w:style w:type="paragraph" w:styleId="NormalWeb">
    <w:name w:val="Normal (Web)"/>
    <w:basedOn w:val="Normal"/>
    <w:uiPriority w:val="99"/>
    <w:semiHidden/>
    <w:rsid w:val="00F9113D"/>
    <w:rPr>
      <w:rFonts w:ascii="Times New Roman" w:hAnsi="Times New Roman" w:cs="Times New Roman"/>
      <w:sz w:val="24"/>
      <w:szCs w:val="24"/>
    </w:rPr>
  </w:style>
  <w:style w:type="paragraph" w:styleId="NormalIndent">
    <w:name w:val="Normal Indent"/>
    <w:basedOn w:val="Normal"/>
    <w:uiPriority w:val="99"/>
    <w:semiHidden/>
    <w:rsid w:val="00F9113D"/>
    <w:pPr>
      <w:ind w:left="1304"/>
    </w:pPr>
  </w:style>
  <w:style w:type="paragraph" w:styleId="NoteHeading">
    <w:name w:val="Note Heading"/>
    <w:basedOn w:val="Normal"/>
    <w:next w:val="Normal"/>
    <w:link w:val="NoteHeadingChar"/>
    <w:uiPriority w:val="99"/>
    <w:semiHidden/>
    <w:rsid w:val="00F9113D"/>
    <w:pPr>
      <w:spacing w:line="240" w:lineRule="auto"/>
    </w:pPr>
  </w:style>
  <w:style w:type="character" w:customStyle="1" w:styleId="NoteHeadingChar">
    <w:name w:val="Note Heading Char"/>
    <w:basedOn w:val="DefaultParagraphFont"/>
    <w:link w:val="NoteHeading"/>
    <w:uiPriority w:val="99"/>
    <w:semiHidden/>
    <w:rsid w:val="00F9113D"/>
  </w:style>
  <w:style w:type="character" w:styleId="PageNumber">
    <w:name w:val="page number"/>
    <w:basedOn w:val="DefaultParagraphFont"/>
    <w:uiPriority w:val="10"/>
    <w:semiHidden/>
    <w:rsid w:val="00F9113D"/>
    <w:rPr>
      <w:lang w:val="en-AU"/>
    </w:rPr>
  </w:style>
  <w:style w:type="paragraph" w:styleId="PlainText">
    <w:name w:val="Plain Text"/>
    <w:basedOn w:val="Normal"/>
    <w:link w:val="PlainTextChar"/>
    <w:uiPriority w:val="99"/>
    <w:semiHidden/>
    <w:rsid w:val="00F9113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113D"/>
    <w:rPr>
      <w:rFonts w:ascii="Consolas" w:hAnsi="Consolas"/>
      <w:sz w:val="21"/>
      <w:szCs w:val="21"/>
    </w:rPr>
  </w:style>
  <w:style w:type="paragraph" w:styleId="Quote">
    <w:name w:val="Quote"/>
    <w:basedOn w:val="Normal"/>
    <w:next w:val="Normal"/>
    <w:link w:val="QuoteChar"/>
    <w:uiPriority w:val="29"/>
    <w:semiHidden/>
    <w:qFormat/>
    <w:rsid w:val="00F9113D"/>
    <w:pPr>
      <w:spacing w:after="0"/>
    </w:pPr>
    <w:rPr>
      <w:i/>
      <w:iCs/>
      <w:color w:val="000000" w:themeColor="text1"/>
    </w:rPr>
  </w:style>
  <w:style w:type="character" w:customStyle="1" w:styleId="QuoteChar">
    <w:name w:val="Quote Char"/>
    <w:basedOn w:val="DefaultParagraphFont"/>
    <w:link w:val="Quote"/>
    <w:uiPriority w:val="29"/>
    <w:semiHidden/>
    <w:rsid w:val="00F9113D"/>
    <w:rPr>
      <w:i/>
      <w:iCs/>
      <w:color w:val="000000" w:themeColor="text1"/>
    </w:rPr>
  </w:style>
  <w:style w:type="paragraph" w:styleId="Salutation">
    <w:name w:val="Salutation"/>
    <w:basedOn w:val="Normal"/>
    <w:next w:val="Normal"/>
    <w:link w:val="SalutationChar"/>
    <w:uiPriority w:val="99"/>
    <w:semiHidden/>
    <w:rsid w:val="00F9113D"/>
  </w:style>
  <w:style w:type="character" w:customStyle="1" w:styleId="SalutationChar">
    <w:name w:val="Salutation Char"/>
    <w:basedOn w:val="DefaultParagraphFont"/>
    <w:link w:val="Salutation"/>
    <w:uiPriority w:val="99"/>
    <w:semiHidden/>
    <w:rsid w:val="00F9113D"/>
  </w:style>
  <w:style w:type="paragraph" w:styleId="Signature">
    <w:name w:val="Signature"/>
    <w:basedOn w:val="Normal"/>
    <w:link w:val="SignatureChar"/>
    <w:uiPriority w:val="99"/>
    <w:semiHidden/>
    <w:rsid w:val="00F9113D"/>
    <w:pPr>
      <w:keepNext/>
      <w:keepLines/>
    </w:pPr>
  </w:style>
  <w:style w:type="character" w:customStyle="1" w:styleId="SignatureChar">
    <w:name w:val="Signature Char"/>
    <w:basedOn w:val="DefaultParagraphFont"/>
    <w:link w:val="Signature"/>
    <w:uiPriority w:val="99"/>
    <w:semiHidden/>
    <w:rsid w:val="00F9113D"/>
  </w:style>
  <w:style w:type="character" w:styleId="Strong">
    <w:name w:val="Strong"/>
    <w:basedOn w:val="DefaultParagraphFont"/>
    <w:uiPriority w:val="22"/>
    <w:semiHidden/>
    <w:qFormat/>
    <w:rsid w:val="00F9113D"/>
    <w:rPr>
      <w:b/>
      <w:bCs/>
      <w:lang w:val="en-AU"/>
    </w:rPr>
  </w:style>
  <w:style w:type="paragraph" w:styleId="Subtitle">
    <w:name w:val="Subtitle"/>
    <w:basedOn w:val="Normal"/>
    <w:next w:val="Normal"/>
    <w:link w:val="SubtitleChar"/>
    <w:uiPriority w:val="11"/>
    <w:semiHidden/>
    <w:qFormat/>
    <w:rsid w:val="00F9113D"/>
    <w:pPr>
      <w:numPr>
        <w:ilvl w:val="1"/>
      </w:numPr>
      <w:spacing w:after="0"/>
    </w:pPr>
    <w:rPr>
      <w:rFonts w:eastAsiaTheme="majorEastAsia" w:cstheme="majorBidi"/>
      <w:i/>
      <w:iCs/>
      <w:color w:val="86BC25" w:themeColor="accent1"/>
      <w:spacing w:val="15"/>
      <w:sz w:val="24"/>
      <w:szCs w:val="24"/>
    </w:rPr>
  </w:style>
  <w:style w:type="character" w:customStyle="1" w:styleId="SubtitleChar">
    <w:name w:val="Subtitle Char"/>
    <w:basedOn w:val="DefaultParagraphFont"/>
    <w:link w:val="Subtitle"/>
    <w:uiPriority w:val="11"/>
    <w:semiHidden/>
    <w:rsid w:val="00F9113D"/>
    <w:rPr>
      <w:rFonts w:eastAsiaTheme="majorEastAsia" w:cstheme="majorBidi"/>
      <w:i/>
      <w:iCs/>
      <w:color w:val="86BC25" w:themeColor="accent1"/>
      <w:spacing w:val="15"/>
      <w:sz w:val="24"/>
      <w:szCs w:val="24"/>
    </w:rPr>
  </w:style>
  <w:style w:type="character" w:styleId="SubtleEmphasis">
    <w:name w:val="Subtle Emphasis"/>
    <w:basedOn w:val="DefaultParagraphFont"/>
    <w:uiPriority w:val="99"/>
    <w:semiHidden/>
    <w:qFormat/>
    <w:rsid w:val="00F9113D"/>
    <w:rPr>
      <w:i/>
      <w:iCs/>
      <w:color w:val="808080" w:themeColor="text1" w:themeTint="7F"/>
      <w:lang w:val="en-AU"/>
    </w:rPr>
  </w:style>
  <w:style w:type="character" w:styleId="SubtleReference">
    <w:name w:val="Subtle Reference"/>
    <w:basedOn w:val="DefaultParagraphFont"/>
    <w:uiPriority w:val="99"/>
    <w:semiHidden/>
    <w:qFormat/>
    <w:rsid w:val="00F9113D"/>
    <w:rPr>
      <w:smallCaps/>
      <w:color w:val="046A38" w:themeColor="accent2"/>
      <w:u w:val="single"/>
      <w:lang w:val="en-AU"/>
    </w:rPr>
  </w:style>
  <w:style w:type="table" w:styleId="Table3Deffects1">
    <w:name w:val="Table 3D effects 1"/>
    <w:basedOn w:val="TableNormal"/>
    <w:uiPriority w:val="99"/>
    <w:semiHidden/>
    <w:unhideWhenUsed/>
    <w:rsid w:val="00F9113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113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113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113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113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113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113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113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113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113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113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113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113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113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113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113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113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113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113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113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9113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113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113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113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9113D"/>
    <w:pPr>
      <w:ind w:left="180" w:hanging="180"/>
    </w:pPr>
  </w:style>
  <w:style w:type="paragraph" w:styleId="TableofFigures">
    <w:name w:val="table of figures"/>
    <w:basedOn w:val="Normal"/>
    <w:next w:val="Normal"/>
    <w:uiPriority w:val="99"/>
    <w:semiHidden/>
    <w:rsid w:val="00F9113D"/>
  </w:style>
  <w:style w:type="table" w:styleId="TableProfessional">
    <w:name w:val="Table Professional"/>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113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113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113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9113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113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9113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113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9113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F9113D"/>
    <w:pPr>
      <w:pBdr>
        <w:bottom w:val="single" w:sz="8" w:space="4" w:color="86BC2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semiHidden/>
    <w:rsid w:val="00F9113D"/>
    <w:rPr>
      <w:rFonts w:eastAsiaTheme="majorEastAsia" w:cstheme="majorBidi"/>
      <w:color w:val="323E4F" w:themeColor="text2" w:themeShade="BF"/>
      <w:spacing w:val="5"/>
      <w:kern w:val="28"/>
      <w:sz w:val="52"/>
      <w:szCs w:val="52"/>
    </w:rPr>
  </w:style>
  <w:style w:type="paragraph" w:styleId="TOAHeading">
    <w:name w:val="toa heading"/>
    <w:basedOn w:val="Normal"/>
    <w:next w:val="Normal"/>
    <w:uiPriority w:val="99"/>
    <w:semiHidden/>
    <w:rsid w:val="00F9113D"/>
    <w:pPr>
      <w:spacing w:before="120"/>
    </w:pPr>
    <w:rPr>
      <w:rFonts w:asciiTheme="majorHAnsi" w:eastAsiaTheme="majorEastAsia" w:hAnsiTheme="majorHAnsi" w:cstheme="majorBidi"/>
      <w:b/>
      <w:bCs/>
      <w:sz w:val="24"/>
      <w:szCs w:val="24"/>
    </w:rPr>
  </w:style>
  <w:style w:type="paragraph" w:styleId="TOC2">
    <w:name w:val="toc 2"/>
    <w:basedOn w:val="Normal"/>
    <w:next w:val="Normal"/>
    <w:uiPriority w:val="39"/>
    <w:rsid w:val="00A242DE"/>
    <w:pPr>
      <w:tabs>
        <w:tab w:val="left" w:pos="567"/>
        <w:tab w:val="right" w:pos="6917"/>
      </w:tabs>
      <w:spacing w:after="100"/>
      <w:ind w:left="1134" w:right="567" w:hanging="567"/>
      <w:contextualSpacing/>
    </w:pPr>
  </w:style>
  <w:style w:type="paragraph" w:styleId="TOC3">
    <w:name w:val="toc 3"/>
    <w:basedOn w:val="Normal"/>
    <w:next w:val="Normal"/>
    <w:uiPriority w:val="39"/>
    <w:rsid w:val="00A242DE"/>
    <w:pPr>
      <w:tabs>
        <w:tab w:val="left" w:pos="1021"/>
        <w:tab w:val="right" w:pos="6917"/>
      </w:tabs>
      <w:spacing w:after="100"/>
      <w:ind w:left="567" w:right="567"/>
      <w:contextualSpacing/>
    </w:pPr>
  </w:style>
  <w:style w:type="paragraph" w:styleId="TOC4">
    <w:name w:val="toc 4"/>
    <w:basedOn w:val="Normal"/>
    <w:next w:val="Normal"/>
    <w:uiPriority w:val="39"/>
    <w:rsid w:val="00F0232D"/>
    <w:pPr>
      <w:spacing w:after="100"/>
      <w:ind w:right="567"/>
      <w:contextualSpacing/>
    </w:pPr>
  </w:style>
  <w:style w:type="paragraph" w:styleId="TOC5">
    <w:name w:val="toc 5"/>
    <w:basedOn w:val="Normal"/>
    <w:next w:val="Normal"/>
    <w:uiPriority w:val="39"/>
    <w:rsid w:val="00E821B3"/>
    <w:pPr>
      <w:spacing w:after="100"/>
      <w:ind w:left="567" w:right="567"/>
      <w:contextualSpacing/>
    </w:pPr>
  </w:style>
  <w:style w:type="paragraph" w:styleId="TOC6">
    <w:name w:val="toc 6"/>
    <w:basedOn w:val="Normal"/>
    <w:next w:val="Normal"/>
    <w:uiPriority w:val="39"/>
    <w:rsid w:val="00F0232D"/>
    <w:pPr>
      <w:spacing w:after="100"/>
      <w:ind w:right="567"/>
      <w:contextualSpacing/>
    </w:pPr>
  </w:style>
  <w:style w:type="paragraph" w:styleId="TOC7">
    <w:name w:val="toc 7"/>
    <w:basedOn w:val="Normal"/>
    <w:next w:val="Normal"/>
    <w:uiPriority w:val="39"/>
    <w:rsid w:val="00F0232D"/>
    <w:pPr>
      <w:spacing w:after="100"/>
      <w:ind w:right="567"/>
      <w:contextualSpacing/>
    </w:pPr>
  </w:style>
  <w:style w:type="paragraph" w:styleId="TOC8">
    <w:name w:val="toc 8"/>
    <w:basedOn w:val="Normal"/>
    <w:next w:val="Normal"/>
    <w:uiPriority w:val="39"/>
    <w:rsid w:val="00F0232D"/>
    <w:pPr>
      <w:spacing w:after="100"/>
      <w:ind w:right="567"/>
      <w:contextualSpacing/>
    </w:pPr>
  </w:style>
  <w:style w:type="paragraph" w:styleId="TOC9">
    <w:name w:val="toc 9"/>
    <w:basedOn w:val="Normal"/>
    <w:next w:val="Normal"/>
    <w:uiPriority w:val="39"/>
    <w:rsid w:val="00E821B3"/>
    <w:pPr>
      <w:spacing w:after="100"/>
      <w:ind w:left="567" w:right="567"/>
      <w:contextualSpacing/>
    </w:pPr>
  </w:style>
  <w:style w:type="paragraph" w:styleId="TOCHeading">
    <w:name w:val="TOC Heading"/>
    <w:next w:val="Normal"/>
    <w:uiPriority w:val="39"/>
    <w:qFormat/>
    <w:rsid w:val="00F9113D"/>
    <w:pPr>
      <w:spacing w:after="480" w:line="720" w:lineRule="atLeast"/>
    </w:pPr>
    <w:rPr>
      <w:rFonts w:eastAsiaTheme="majorEastAsia" w:cstheme="majorBidi"/>
      <w:bCs/>
      <w:sz w:val="60"/>
      <w:szCs w:val="28"/>
      <w:lang w:val="en-AU"/>
    </w:rPr>
  </w:style>
  <w:style w:type="paragraph" w:customStyle="1" w:styleId="Template-Adresse">
    <w:name w:val="Template - Adresse"/>
    <w:basedOn w:val="Normal"/>
    <w:uiPriority w:val="9"/>
    <w:semiHidden/>
    <w:rsid w:val="00F9113D"/>
    <w:pPr>
      <w:tabs>
        <w:tab w:val="left" w:pos="567"/>
      </w:tabs>
      <w:spacing w:after="0" w:line="280" w:lineRule="atLeast"/>
    </w:pPr>
    <w:rPr>
      <w:noProof/>
      <w:sz w:val="16"/>
    </w:rPr>
  </w:style>
  <w:style w:type="paragraph" w:customStyle="1" w:styleId="Template-Dato">
    <w:name w:val="Template - Dato"/>
    <w:basedOn w:val="Normal"/>
    <w:uiPriority w:val="9"/>
    <w:semiHidden/>
    <w:rsid w:val="00F9113D"/>
    <w:pPr>
      <w:spacing w:after="0" w:line="280" w:lineRule="atLeast"/>
    </w:pPr>
    <w:rPr>
      <w:noProof/>
      <w:sz w:val="16"/>
    </w:rPr>
  </w:style>
  <w:style w:type="paragraph" w:customStyle="1" w:styleId="Letterheadaddressnospacing">
    <w:name w:val="Letterhead address (no spacing)"/>
    <w:uiPriority w:val="99"/>
    <w:semiHidden/>
    <w:qFormat/>
    <w:rsid w:val="001D0641"/>
    <w:pPr>
      <w:framePr w:wrap="around" w:vAnchor="page" w:hAnchor="page" w:x="1" w:y="1"/>
      <w:spacing w:line="240" w:lineRule="auto"/>
      <w:suppressOverlap/>
    </w:pPr>
    <w:rPr>
      <w:rFonts w:eastAsia="Times New Roman" w:cs="Times New Roman"/>
      <w:noProof/>
      <w:color w:val="7F7F7F" w:themeColor="text1" w:themeTint="80"/>
      <w:sz w:val="14"/>
      <w:lang w:val="en-AU" w:bidi="en-US"/>
    </w:rPr>
  </w:style>
  <w:style w:type="paragraph" w:customStyle="1" w:styleId="DocumentHeading">
    <w:name w:val="Document Heading"/>
    <w:basedOn w:val="Normal"/>
    <w:next w:val="BodyText"/>
    <w:uiPriority w:val="99"/>
    <w:semiHidden/>
    <w:rsid w:val="00F9113D"/>
    <w:pPr>
      <w:suppressAutoHyphens/>
      <w:spacing w:before="240" w:after="240"/>
    </w:pPr>
    <w:rPr>
      <w:b/>
    </w:rPr>
  </w:style>
  <w:style w:type="paragraph" w:customStyle="1" w:styleId="Disclaimer">
    <w:name w:val="Disclaimer"/>
    <w:basedOn w:val="Footer"/>
    <w:uiPriority w:val="11"/>
    <w:semiHidden/>
    <w:rsid w:val="00FE6C88"/>
    <w:pPr>
      <w:tabs>
        <w:tab w:val="clear" w:pos="7371"/>
      </w:tabs>
      <w:spacing w:line="130" w:lineRule="atLeast"/>
      <w:suppressOverlap/>
    </w:pPr>
    <w:rPr>
      <w:rFonts w:eastAsia="Times New Roman" w:cs="Arial"/>
      <w:noProof/>
      <w:sz w:val="11"/>
      <w:szCs w:val="17"/>
      <w:lang w:eastAsia="en-GB"/>
    </w:rPr>
  </w:style>
  <w:style w:type="paragraph" w:customStyle="1" w:styleId="SenderName">
    <w:name w:val="Sender Name"/>
    <w:basedOn w:val="Normal"/>
    <w:uiPriority w:val="8"/>
    <w:rsid w:val="00F9113D"/>
    <w:pPr>
      <w:keepNext/>
      <w:keepLines/>
      <w:spacing w:after="0"/>
    </w:pPr>
    <w:rPr>
      <w:b/>
      <w:szCs w:val="17"/>
    </w:rPr>
  </w:style>
  <w:style w:type="paragraph" w:customStyle="1" w:styleId="SignatureName">
    <w:name w:val="Signature Name"/>
    <w:basedOn w:val="Normal"/>
    <w:next w:val="SignatureTitle"/>
    <w:uiPriority w:val="7"/>
    <w:semiHidden/>
    <w:rsid w:val="00F9113D"/>
    <w:pPr>
      <w:keepNext/>
      <w:keepLines/>
      <w:spacing w:after="0"/>
    </w:pPr>
    <w:rPr>
      <w:b/>
      <w:color w:val="62B5E5" w:themeColor="accent3"/>
    </w:rPr>
  </w:style>
  <w:style w:type="paragraph" w:customStyle="1" w:styleId="SignatureTitle">
    <w:name w:val="Signature Title"/>
    <w:basedOn w:val="Normal"/>
    <w:next w:val="BodyText"/>
    <w:uiPriority w:val="7"/>
    <w:semiHidden/>
    <w:rsid w:val="00F9113D"/>
    <w:pPr>
      <w:spacing w:after="0"/>
    </w:pPr>
    <w:rPr>
      <w:b/>
    </w:rPr>
  </w:style>
  <w:style w:type="paragraph" w:customStyle="1" w:styleId="Heading2un-numbered">
    <w:name w:val="Heading 2 (un-numbered)"/>
    <w:basedOn w:val="Heading2"/>
    <w:next w:val="Normal"/>
    <w:uiPriority w:val="2"/>
    <w:qFormat/>
    <w:rsid w:val="00CF23CD"/>
    <w:pPr>
      <w:numPr>
        <w:ilvl w:val="0"/>
        <w:numId w:val="0"/>
      </w:numPr>
    </w:pPr>
  </w:style>
  <w:style w:type="paragraph" w:customStyle="1" w:styleId="Heading3un-numbered">
    <w:name w:val="Heading 3 (un-numbered)"/>
    <w:basedOn w:val="Heading3"/>
    <w:next w:val="Normal"/>
    <w:uiPriority w:val="2"/>
    <w:qFormat/>
    <w:rsid w:val="00F9113D"/>
    <w:pPr>
      <w:numPr>
        <w:ilvl w:val="0"/>
        <w:numId w:val="0"/>
      </w:numPr>
    </w:pPr>
  </w:style>
  <w:style w:type="paragraph" w:customStyle="1" w:styleId="Heading4un-numbered">
    <w:name w:val="Heading 4 (un-numbered)"/>
    <w:basedOn w:val="Heading4"/>
    <w:next w:val="Normal"/>
    <w:uiPriority w:val="2"/>
    <w:qFormat/>
    <w:rsid w:val="00F9113D"/>
    <w:pPr>
      <w:numPr>
        <w:ilvl w:val="0"/>
        <w:numId w:val="0"/>
      </w:numPr>
    </w:pPr>
  </w:style>
  <w:style w:type="paragraph" w:customStyle="1" w:styleId="BulletedText1">
    <w:name w:val="Bulleted Text 1"/>
    <w:basedOn w:val="Normal"/>
    <w:uiPriority w:val="4"/>
    <w:semiHidden/>
    <w:qFormat/>
    <w:rsid w:val="00F9113D"/>
    <w:pPr>
      <w:numPr>
        <w:numId w:val="1"/>
      </w:numPr>
      <w:suppressAutoHyphens/>
      <w:spacing w:after="0" w:line="250" w:lineRule="atLeast"/>
    </w:pPr>
  </w:style>
  <w:style w:type="paragraph" w:customStyle="1" w:styleId="BulletedText2">
    <w:name w:val="Bulleted Text 2"/>
    <w:basedOn w:val="Normal"/>
    <w:uiPriority w:val="4"/>
    <w:semiHidden/>
    <w:rsid w:val="00F9113D"/>
    <w:pPr>
      <w:numPr>
        <w:ilvl w:val="1"/>
        <w:numId w:val="1"/>
      </w:numPr>
      <w:suppressAutoHyphens/>
      <w:spacing w:after="0" w:line="250" w:lineRule="atLeast"/>
    </w:pPr>
  </w:style>
  <w:style w:type="paragraph" w:customStyle="1" w:styleId="Numberslevel1">
    <w:name w:val="Numbers level 1"/>
    <w:basedOn w:val="Normal"/>
    <w:uiPriority w:val="4"/>
    <w:semiHidden/>
    <w:qFormat/>
    <w:rsid w:val="00F9113D"/>
    <w:pPr>
      <w:numPr>
        <w:numId w:val="7"/>
      </w:numPr>
      <w:suppressAutoHyphens/>
      <w:spacing w:after="0" w:line="250" w:lineRule="atLeast"/>
    </w:pPr>
  </w:style>
  <w:style w:type="paragraph" w:customStyle="1" w:styleId="Numberslevel2">
    <w:name w:val="Numbers level 2"/>
    <w:basedOn w:val="Normal"/>
    <w:uiPriority w:val="4"/>
    <w:semiHidden/>
    <w:rsid w:val="00F9113D"/>
    <w:pPr>
      <w:numPr>
        <w:ilvl w:val="1"/>
        <w:numId w:val="7"/>
      </w:numPr>
      <w:suppressAutoHyphens/>
      <w:spacing w:after="0" w:line="250" w:lineRule="atLeast"/>
    </w:pPr>
  </w:style>
  <w:style w:type="paragraph" w:customStyle="1" w:styleId="Numberslevel3">
    <w:name w:val="Numbers level 3"/>
    <w:basedOn w:val="Normal"/>
    <w:uiPriority w:val="4"/>
    <w:semiHidden/>
    <w:rsid w:val="00F9113D"/>
    <w:pPr>
      <w:numPr>
        <w:ilvl w:val="2"/>
        <w:numId w:val="7"/>
      </w:numPr>
      <w:suppressAutoHyphens/>
      <w:spacing w:after="0" w:line="250" w:lineRule="atLeast"/>
    </w:pPr>
  </w:style>
  <w:style w:type="paragraph" w:customStyle="1" w:styleId="TabletextLeftTotal">
    <w:name w:val="Table text Left Total"/>
    <w:basedOn w:val="TabletextLeft"/>
    <w:uiPriority w:val="5"/>
    <w:rsid w:val="00135C5C"/>
    <w:rPr>
      <w:b/>
    </w:rPr>
  </w:style>
  <w:style w:type="paragraph" w:customStyle="1" w:styleId="TabletextRightTotal">
    <w:name w:val="Table text Right Total"/>
    <w:basedOn w:val="TabletextRight"/>
    <w:uiPriority w:val="5"/>
    <w:rsid w:val="002C7E6E"/>
    <w:rPr>
      <w:b/>
    </w:rPr>
  </w:style>
  <w:style w:type="table" w:customStyle="1" w:styleId="DeloitteBandedrows">
    <w:name w:val="Deloitte Banded rows"/>
    <w:basedOn w:val="TableNormal"/>
    <w:uiPriority w:val="99"/>
    <w:rsid w:val="00FC1637"/>
    <w:pPr>
      <w:spacing w:line="200" w:lineRule="atLeast"/>
      <w:ind w:left="57" w:right="57"/>
    </w:pPr>
    <w:rPr>
      <w:sz w:val="17"/>
    </w:rPr>
    <w:tblPr>
      <w:tblStyleRowBandSize w:val="1"/>
      <w:tblBorders>
        <w:bottom w:val="single" w:sz="4" w:space="0" w:color="62B5E5" w:themeColor="accent3"/>
      </w:tblBorders>
      <w:tblCellMar>
        <w:top w:w="85" w:type="dxa"/>
        <w:left w:w="0" w:type="dxa"/>
        <w:bottom w:w="85" w:type="dxa"/>
        <w:right w:w="0" w:type="dxa"/>
      </w:tblCellMar>
    </w:tblPr>
    <w:tblStylePr w:type="firstRow">
      <w:tblPr/>
      <w:tcPr>
        <w:tcBorders>
          <w:top w:val="single" w:sz="24" w:space="0" w:color="62B5E5" w:themeColor="accent3"/>
          <w:bottom w:val="single" w:sz="4" w:space="0" w:color="62B5E5" w:themeColor="accent3"/>
        </w:tcBorders>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62B5E5" w:themeFill="accent3"/>
      </w:tcPr>
    </w:tblStylePr>
  </w:style>
  <w:style w:type="paragraph" w:customStyle="1" w:styleId="FPPicture">
    <w:name w:val="FP Picture"/>
    <w:basedOn w:val="Normal"/>
    <w:uiPriority w:val="9"/>
    <w:semiHidden/>
    <w:rsid w:val="00F9113D"/>
    <w:pPr>
      <w:spacing w:after="0"/>
      <w:ind w:left="-57"/>
    </w:pPr>
    <w:rPr>
      <w:color w:val="FF0000"/>
      <w:sz w:val="36"/>
    </w:rPr>
  </w:style>
  <w:style w:type="paragraph" w:customStyle="1" w:styleId="CV-Name">
    <w:name w:val="CV - Name"/>
    <w:basedOn w:val="Normal"/>
    <w:uiPriority w:val="7"/>
    <w:rsid w:val="005B00B8"/>
    <w:pPr>
      <w:spacing w:after="240"/>
      <w:contextualSpacing/>
    </w:pPr>
    <w:rPr>
      <w:b/>
      <w:color w:val="62B5E5" w:themeColor="accent3"/>
    </w:rPr>
  </w:style>
  <w:style w:type="paragraph" w:customStyle="1" w:styleId="HeadingA">
    <w:name w:val="Heading A"/>
    <w:next w:val="Normal"/>
    <w:uiPriority w:val="3"/>
    <w:rsid w:val="00550003"/>
    <w:pPr>
      <w:keepNext/>
      <w:keepLines/>
      <w:spacing w:before="240" w:line="280" w:lineRule="atLeast"/>
    </w:pPr>
    <w:rPr>
      <w:rFonts w:eastAsia="Times New Roman" w:cs="Times New Roman"/>
      <w:b/>
      <w:color w:val="62B5E5" w:themeColor="accent3"/>
      <w:sz w:val="22"/>
      <w:szCs w:val="28"/>
      <w:lang w:val="en-AU"/>
    </w:rPr>
  </w:style>
  <w:style w:type="paragraph" w:customStyle="1" w:styleId="HeadingB">
    <w:name w:val="Heading B"/>
    <w:basedOn w:val="HeadingA"/>
    <w:next w:val="Normal"/>
    <w:uiPriority w:val="3"/>
    <w:rsid w:val="005E5001"/>
    <w:pPr>
      <w:spacing w:before="0"/>
    </w:pPr>
    <w:rPr>
      <w:color w:val="auto"/>
      <w:szCs w:val="26"/>
    </w:rPr>
  </w:style>
  <w:style w:type="paragraph" w:customStyle="1" w:styleId="HeadingC">
    <w:name w:val="Heading C"/>
    <w:basedOn w:val="Normal"/>
    <w:next w:val="Normal"/>
    <w:uiPriority w:val="3"/>
    <w:rsid w:val="00F84828"/>
    <w:pPr>
      <w:keepNext/>
      <w:keepLines/>
      <w:spacing w:after="0"/>
    </w:pPr>
    <w:rPr>
      <w:rFonts w:eastAsia="Times New Roman" w:cs="Times New Roman"/>
      <w:b/>
      <w:color w:val="75787B" w:themeColor="accent6"/>
      <w:szCs w:val="28"/>
    </w:rPr>
  </w:style>
  <w:style w:type="paragraph" w:customStyle="1" w:styleId="CaptionFigure">
    <w:name w:val="Caption_Figure"/>
    <w:basedOn w:val="Normal"/>
    <w:next w:val="Normal"/>
    <w:uiPriority w:val="4"/>
    <w:rsid w:val="006C74B8"/>
    <w:pPr>
      <w:keepNext/>
      <w:keepLines/>
      <w:numPr>
        <w:ilvl w:val="8"/>
        <w:numId w:val="2"/>
      </w:numPr>
    </w:pPr>
    <w:rPr>
      <w:bCs/>
      <w:color w:val="75787B" w:themeColor="accent6"/>
      <w:sz w:val="17"/>
      <w:szCs w:val="22"/>
    </w:rPr>
  </w:style>
  <w:style w:type="paragraph" w:customStyle="1" w:styleId="CaptionChart">
    <w:name w:val="Caption_Chart"/>
    <w:basedOn w:val="Normal"/>
    <w:next w:val="Normal"/>
    <w:uiPriority w:val="4"/>
    <w:rsid w:val="006C74B8"/>
    <w:pPr>
      <w:keepNext/>
      <w:keepLines/>
      <w:numPr>
        <w:ilvl w:val="7"/>
        <w:numId w:val="2"/>
      </w:numPr>
    </w:pPr>
    <w:rPr>
      <w:color w:val="75787B" w:themeColor="accent6"/>
      <w:sz w:val="17"/>
    </w:rPr>
  </w:style>
  <w:style w:type="paragraph" w:customStyle="1" w:styleId="ExecutiveHeading">
    <w:name w:val="Executive Heading"/>
    <w:basedOn w:val="Heading1un-numbered"/>
    <w:next w:val="Normal"/>
    <w:uiPriority w:val="3"/>
    <w:rsid w:val="005E5001"/>
    <w:pPr>
      <w:numPr>
        <w:numId w:val="10"/>
      </w:numPr>
    </w:pPr>
  </w:style>
  <w:style w:type="paragraph" w:customStyle="1" w:styleId="Reference">
    <w:name w:val="Reference"/>
    <w:basedOn w:val="Normal"/>
    <w:uiPriority w:val="4"/>
    <w:rsid w:val="002C1140"/>
    <w:pPr>
      <w:spacing w:before="240" w:after="240"/>
      <w:ind w:left="567" w:hanging="567"/>
    </w:pPr>
    <w:rPr>
      <w:rFonts w:eastAsia="Times New Roman" w:cs="Times New Roman"/>
      <w:szCs w:val="20"/>
    </w:rPr>
  </w:style>
  <w:style w:type="paragraph" w:customStyle="1" w:styleId="ExecChartCaption">
    <w:name w:val="Exec Chart Caption"/>
    <w:basedOn w:val="Caption"/>
    <w:next w:val="Normal"/>
    <w:uiPriority w:val="4"/>
    <w:rsid w:val="00CA0756"/>
    <w:pPr>
      <w:numPr>
        <w:ilvl w:val="2"/>
        <w:numId w:val="10"/>
      </w:numPr>
    </w:pPr>
    <w:rPr>
      <w:rFonts w:eastAsia="Times New Roman" w:cs="Times New Roman"/>
      <w:szCs w:val="20"/>
    </w:rPr>
  </w:style>
  <w:style w:type="paragraph" w:customStyle="1" w:styleId="ExecFigureCaption">
    <w:name w:val="Exec Figure Caption"/>
    <w:basedOn w:val="Caption"/>
    <w:next w:val="Normal"/>
    <w:uiPriority w:val="4"/>
    <w:rsid w:val="00CA0756"/>
    <w:pPr>
      <w:numPr>
        <w:ilvl w:val="3"/>
        <w:numId w:val="10"/>
      </w:numPr>
    </w:pPr>
    <w:rPr>
      <w:rFonts w:eastAsia="Times New Roman" w:cs="Times New Roman"/>
      <w:szCs w:val="20"/>
    </w:rPr>
  </w:style>
  <w:style w:type="paragraph" w:customStyle="1" w:styleId="ExecTableCaption">
    <w:name w:val="Exec Table Caption"/>
    <w:basedOn w:val="Caption"/>
    <w:next w:val="Normal"/>
    <w:uiPriority w:val="4"/>
    <w:rsid w:val="00044286"/>
    <w:pPr>
      <w:numPr>
        <w:ilvl w:val="1"/>
        <w:numId w:val="10"/>
      </w:numPr>
      <w:ind w:left="0"/>
    </w:pPr>
    <w:rPr>
      <w:rFonts w:eastAsia="Times New Roman" w:cs="Times New Roman"/>
      <w:szCs w:val="20"/>
    </w:rPr>
  </w:style>
  <w:style w:type="paragraph" w:customStyle="1" w:styleId="Appendixhead2">
    <w:name w:val="Appendix_head_2"/>
    <w:basedOn w:val="Heading2"/>
    <w:next w:val="Normal"/>
    <w:link w:val="Appendixhead2Char"/>
    <w:uiPriority w:val="3"/>
    <w:rsid w:val="00A95553"/>
    <w:pPr>
      <w:numPr>
        <w:numId w:val="11"/>
      </w:numPr>
      <w:tabs>
        <w:tab w:val="left" w:pos="851"/>
      </w:tabs>
      <w:outlineLvl w:val="9"/>
    </w:pPr>
    <w:rPr>
      <w:rFonts w:eastAsia="Times New Roman" w:cs="Times New Roman"/>
      <w:bCs w:val="0"/>
      <w:szCs w:val="28"/>
      <w:lang w:eastAsia="en-AU"/>
    </w:rPr>
  </w:style>
  <w:style w:type="paragraph" w:customStyle="1" w:styleId="Appendixhead3">
    <w:name w:val="Appendix_head_3"/>
    <w:basedOn w:val="Heading3"/>
    <w:next w:val="Normal"/>
    <w:link w:val="Appendixhead3Char"/>
    <w:uiPriority w:val="3"/>
    <w:rsid w:val="00E06F2E"/>
    <w:pPr>
      <w:numPr>
        <w:numId w:val="11"/>
      </w:numPr>
      <w:outlineLvl w:val="9"/>
    </w:pPr>
    <w:rPr>
      <w:rFonts w:eastAsia="Times New Roman" w:cs="Times New Roman"/>
      <w:bCs w:val="0"/>
      <w:szCs w:val="20"/>
    </w:rPr>
  </w:style>
  <w:style w:type="paragraph" w:customStyle="1" w:styleId="Appendixhead4">
    <w:name w:val="Appendix_head_4"/>
    <w:basedOn w:val="Heading4"/>
    <w:next w:val="Normal"/>
    <w:uiPriority w:val="3"/>
    <w:rsid w:val="00F84828"/>
    <w:pPr>
      <w:numPr>
        <w:numId w:val="11"/>
      </w:numPr>
      <w:tabs>
        <w:tab w:val="clear" w:pos="340"/>
      </w:tabs>
      <w:outlineLvl w:val="9"/>
    </w:pPr>
    <w:rPr>
      <w:rFonts w:eastAsia="Times New Roman" w:cs="Times New Roman"/>
      <w:bCs w:val="0"/>
      <w:iCs w:val="0"/>
      <w:szCs w:val="24"/>
      <w:lang w:eastAsia="en-AU"/>
    </w:rPr>
  </w:style>
  <w:style w:type="paragraph" w:customStyle="1" w:styleId="Appendixhead1">
    <w:name w:val="Appendix_head_1"/>
    <w:basedOn w:val="Normal"/>
    <w:next w:val="Normal"/>
    <w:link w:val="Appendixhead1Char"/>
    <w:uiPriority w:val="3"/>
    <w:rsid w:val="009E2F33"/>
    <w:pPr>
      <w:keepNext/>
      <w:keepLines/>
      <w:pageBreakBefore/>
      <w:numPr>
        <w:numId w:val="11"/>
      </w:numPr>
      <w:spacing w:after="480" w:line="720" w:lineRule="atLeast"/>
    </w:pPr>
    <w:rPr>
      <w:rFonts w:eastAsia="Times New Roman" w:cs="Arial"/>
      <w:sz w:val="60"/>
      <w:szCs w:val="20"/>
    </w:rPr>
  </w:style>
  <w:style w:type="character" w:customStyle="1" w:styleId="Appendixhead1Char">
    <w:name w:val="Appendix_head_1 Char"/>
    <w:basedOn w:val="DefaultParagraphFont"/>
    <w:link w:val="Appendixhead1"/>
    <w:uiPriority w:val="3"/>
    <w:rsid w:val="009E2F33"/>
    <w:rPr>
      <w:rFonts w:ascii="Calibri Light" w:eastAsia="Times New Roman" w:hAnsi="Calibri Light" w:cs="Arial"/>
      <w:sz w:val="60"/>
      <w:szCs w:val="20"/>
      <w:lang w:val="en-AU"/>
    </w:rPr>
  </w:style>
  <w:style w:type="paragraph" w:customStyle="1" w:styleId="AppendixTableCaption">
    <w:name w:val="Appendix Table Caption"/>
    <w:basedOn w:val="Appendixhead4"/>
    <w:next w:val="Normal"/>
    <w:link w:val="AppendixTableCaptionChar"/>
    <w:uiPriority w:val="4"/>
    <w:rsid w:val="00E52616"/>
    <w:pPr>
      <w:numPr>
        <w:ilvl w:val="6"/>
      </w:numPr>
      <w:spacing w:after="240"/>
      <w:ind w:left="0"/>
      <w:outlineLvl w:val="7"/>
    </w:pPr>
    <w:rPr>
      <w:b w:val="0"/>
      <w:sz w:val="17"/>
      <w:szCs w:val="22"/>
    </w:rPr>
  </w:style>
  <w:style w:type="paragraph" w:customStyle="1" w:styleId="AppendixChartCaption">
    <w:name w:val="Appendix Chart Caption"/>
    <w:basedOn w:val="AppendixTableCaption"/>
    <w:next w:val="Normal"/>
    <w:link w:val="AppendixChartCaptionChar"/>
    <w:uiPriority w:val="4"/>
    <w:rsid w:val="00CA0756"/>
    <w:pPr>
      <w:numPr>
        <w:ilvl w:val="7"/>
      </w:numPr>
      <w:outlineLvl w:val="5"/>
    </w:pPr>
  </w:style>
  <w:style w:type="paragraph" w:customStyle="1" w:styleId="AppendixFigureCaption">
    <w:name w:val="Appendix Figure Caption"/>
    <w:basedOn w:val="AppendixChartCaption"/>
    <w:next w:val="Normal"/>
    <w:link w:val="AppendixFigureCaptionChar"/>
    <w:uiPriority w:val="4"/>
    <w:rsid w:val="00CA0756"/>
    <w:pPr>
      <w:numPr>
        <w:ilvl w:val="8"/>
      </w:numPr>
      <w:outlineLvl w:val="6"/>
    </w:pPr>
  </w:style>
  <w:style w:type="character" w:customStyle="1" w:styleId="Appendixhead2Char">
    <w:name w:val="Appendix_head_2 Char"/>
    <w:basedOn w:val="DefaultParagraphFont"/>
    <w:link w:val="Appendixhead2"/>
    <w:uiPriority w:val="3"/>
    <w:rsid w:val="00A95553"/>
    <w:rPr>
      <w:rFonts w:ascii="Calibri Light" w:eastAsia="Times New Roman" w:hAnsi="Calibri Light" w:cs="Times New Roman"/>
      <w:b/>
      <w:color w:val="62B5E5" w:themeColor="accent3"/>
      <w:sz w:val="22"/>
      <w:szCs w:val="28"/>
      <w:lang w:val="en-AU" w:eastAsia="en-AU"/>
    </w:rPr>
  </w:style>
  <w:style w:type="character" w:customStyle="1" w:styleId="AppendixTableCaptionChar">
    <w:name w:val="Appendix Table Caption Char"/>
    <w:basedOn w:val="DefaultParagraphFont"/>
    <w:link w:val="AppendixTableCaption"/>
    <w:uiPriority w:val="4"/>
    <w:rsid w:val="00CA0756"/>
    <w:rPr>
      <w:rFonts w:ascii="Calibri Light" w:eastAsia="Times New Roman" w:hAnsi="Calibri Light" w:cs="Times New Roman"/>
      <w:color w:val="75787B" w:themeColor="accent6"/>
      <w:sz w:val="17"/>
      <w:szCs w:val="22"/>
      <w:lang w:val="en-AU" w:eastAsia="en-AU"/>
    </w:rPr>
  </w:style>
  <w:style w:type="character" w:customStyle="1" w:styleId="Appendixhead3Char">
    <w:name w:val="Appendix_head_3 Char"/>
    <w:basedOn w:val="DefaultParagraphFont"/>
    <w:link w:val="Appendixhead3"/>
    <w:uiPriority w:val="3"/>
    <w:rsid w:val="00E06F2E"/>
    <w:rPr>
      <w:rFonts w:ascii="Calibri Light" w:eastAsia="Times New Roman" w:hAnsi="Calibri Light" w:cs="Times New Roman"/>
      <w:b/>
      <w:szCs w:val="20"/>
      <w:lang w:val="en-AU"/>
    </w:rPr>
  </w:style>
  <w:style w:type="character" w:customStyle="1" w:styleId="AppendixFigureCaptionChar">
    <w:name w:val="Appendix Figure Caption Char"/>
    <w:basedOn w:val="DefaultParagraphFont"/>
    <w:link w:val="AppendixFigureCaption"/>
    <w:uiPriority w:val="4"/>
    <w:rsid w:val="00CA0756"/>
    <w:rPr>
      <w:rFonts w:ascii="Calibri Light" w:eastAsia="Times New Roman" w:hAnsi="Calibri Light" w:cs="Times New Roman"/>
      <w:color w:val="75787B" w:themeColor="accent6"/>
      <w:sz w:val="17"/>
      <w:szCs w:val="22"/>
      <w:lang w:val="en-AU" w:eastAsia="en-AU"/>
    </w:rPr>
  </w:style>
  <w:style w:type="character" w:customStyle="1" w:styleId="AppendixChartCaptionChar">
    <w:name w:val="Appendix Chart Caption Char"/>
    <w:basedOn w:val="AppendixTableCaptionChar"/>
    <w:link w:val="AppendixChartCaption"/>
    <w:uiPriority w:val="4"/>
    <w:rsid w:val="00CA0756"/>
    <w:rPr>
      <w:rFonts w:ascii="Calibri Light" w:eastAsia="Times New Roman" w:hAnsi="Calibri Light" w:cs="Times New Roman"/>
      <w:color w:val="75787B" w:themeColor="accent6"/>
      <w:sz w:val="17"/>
      <w:szCs w:val="22"/>
      <w:lang w:val="en-AU" w:eastAsia="en-AU"/>
    </w:rPr>
  </w:style>
  <w:style w:type="paragraph" w:customStyle="1" w:styleId="SourcetextTableorChart">
    <w:name w:val="Source text Table or Chart"/>
    <w:basedOn w:val="Caption"/>
    <w:next w:val="Normal"/>
    <w:uiPriority w:val="6"/>
    <w:semiHidden/>
    <w:rsid w:val="00B5479F"/>
    <w:pPr>
      <w:keepNext w:val="0"/>
      <w:keepLines w:val="0"/>
      <w:spacing w:before="120"/>
    </w:pPr>
    <w:rPr>
      <w:sz w:val="14"/>
    </w:rPr>
  </w:style>
  <w:style w:type="paragraph" w:customStyle="1" w:styleId="AlphabeticList">
    <w:name w:val="Alphabetic List"/>
    <w:basedOn w:val="Normal"/>
    <w:uiPriority w:val="4"/>
    <w:qFormat/>
    <w:rsid w:val="007F7A8C"/>
    <w:pPr>
      <w:numPr>
        <w:numId w:val="12"/>
      </w:numPr>
      <w:spacing w:after="0"/>
      <w:contextualSpacing/>
    </w:pPr>
    <w:rPr>
      <w:rFonts w:eastAsia="Times New Roman" w:cs="Times New Roman"/>
      <w:szCs w:val="20"/>
    </w:rPr>
  </w:style>
  <w:style w:type="paragraph" w:customStyle="1" w:styleId="CV-Heading">
    <w:name w:val="CV - Heading"/>
    <w:basedOn w:val="Normal"/>
    <w:uiPriority w:val="7"/>
    <w:rsid w:val="005B00B8"/>
    <w:pPr>
      <w:spacing w:before="240" w:after="0"/>
      <w:contextualSpacing/>
    </w:pPr>
    <w:rPr>
      <w:b/>
    </w:rPr>
  </w:style>
  <w:style w:type="paragraph" w:customStyle="1" w:styleId="TableHeadingCentre">
    <w:name w:val="Table Heading Centre"/>
    <w:basedOn w:val="TableHeadingLeft"/>
    <w:uiPriority w:val="5"/>
    <w:rsid w:val="00BD7322"/>
    <w:pPr>
      <w:jc w:val="center"/>
    </w:pPr>
  </w:style>
  <w:style w:type="paragraph" w:customStyle="1" w:styleId="TableHeadingRight">
    <w:name w:val="Table Heading Right"/>
    <w:basedOn w:val="TableHeadingCentre"/>
    <w:uiPriority w:val="5"/>
    <w:rsid w:val="00BD7322"/>
    <w:pPr>
      <w:jc w:val="right"/>
    </w:pPr>
  </w:style>
  <w:style w:type="paragraph" w:customStyle="1" w:styleId="TabletextRight">
    <w:name w:val="Table text Right"/>
    <w:basedOn w:val="TabletextLeft"/>
    <w:uiPriority w:val="5"/>
    <w:rsid w:val="002E67BC"/>
    <w:pPr>
      <w:jc w:val="right"/>
    </w:pPr>
  </w:style>
  <w:style w:type="paragraph" w:customStyle="1" w:styleId="TabletextCentre">
    <w:name w:val="Table text Centre"/>
    <w:basedOn w:val="TabletextRight"/>
    <w:uiPriority w:val="5"/>
    <w:rsid w:val="00BD7322"/>
    <w:pPr>
      <w:jc w:val="center"/>
    </w:pPr>
  </w:style>
  <w:style w:type="paragraph" w:customStyle="1" w:styleId="TableNote">
    <w:name w:val="Table Note"/>
    <w:basedOn w:val="TabletextLeft"/>
    <w:uiPriority w:val="5"/>
    <w:semiHidden/>
    <w:rsid w:val="002E67BC"/>
    <w:rPr>
      <w:sz w:val="15"/>
    </w:rPr>
  </w:style>
  <w:style w:type="paragraph" w:customStyle="1" w:styleId="TabletextCentreTotal">
    <w:name w:val="Table text Centre Total"/>
    <w:basedOn w:val="TabletextCentre"/>
    <w:uiPriority w:val="5"/>
    <w:rsid w:val="00BD7322"/>
    <w:rPr>
      <w:b/>
    </w:rPr>
  </w:style>
  <w:style w:type="paragraph" w:customStyle="1" w:styleId="AlphabeticList2">
    <w:name w:val="Alphabetic List 2"/>
    <w:basedOn w:val="AlphabeticList"/>
    <w:uiPriority w:val="4"/>
    <w:qFormat/>
    <w:rsid w:val="000A0317"/>
    <w:pPr>
      <w:numPr>
        <w:ilvl w:val="1"/>
      </w:numPr>
    </w:pPr>
  </w:style>
  <w:style w:type="table" w:styleId="GridTable1Light">
    <w:name w:val="Grid Table 1 Light"/>
    <w:basedOn w:val="TableNormal"/>
    <w:uiPriority w:val="46"/>
    <w:rsid w:val="000116B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16B0"/>
    <w:pPr>
      <w:spacing w:line="240" w:lineRule="auto"/>
    </w:p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16B0"/>
    <w:pPr>
      <w:spacing w:line="240" w:lineRule="auto"/>
    </w:p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16B0"/>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16B0"/>
    <w:pPr>
      <w:spacing w:line="240" w:lineRule="auto"/>
    </w:p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16B0"/>
    <w:pPr>
      <w:spacing w:line="240" w:lineRule="auto"/>
    </w:p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16B0"/>
    <w:pPr>
      <w:spacing w:line="240" w:lineRule="auto"/>
    </w:p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16B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16B0"/>
    <w:pPr>
      <w:spacing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2-Accent2">
    <w:name w:val="Grid Table 2 Accent 2"/>
    <w:basedOn w:val="TableNormal"/>
    <w:uiPriority w:val="47"/>
    <w:rsid w:val="000116B0"/>
    <w:pPr>
      <w:spacing w:line="240" w:lineRule="auto"/>
    </w:p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2-Accent3">
    <w:name w:val="Grid Table 2 Accent 3"/>
    <w:basedOn w:val="TableNormal"/>
    <w:uiPriority w:val="47"/>
    <w:rsid w:val="000116B0"/>
    <w:pPr>
      <w:spacing w:line="240" w:lineRule="auto"/>
    </w:p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2-Accent4">
    <w:name w:val="Grid Table 2 Accent 4"/>
    <w:basedOn w:val="TableNormal"/>
    <w:uiPriority w:val="47"/>
    <w:rsid w:val="000116B0"/>
    <w:pPr>
      <w:spacing w:line="240" w:lineRule="auto"/>
    </w:p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2-Accent5">
    <w:name w:val="Grid Table 2 Accent 5"/>
    <w:basedOn w:val="TableNormal"/>
    <w:uiPriority w:val="47"/>
    <w:rsid w:val="000116B0"/>
    <w:pPr>
      <w:spacing w:line="240" w:lineRule="auto"/>
    </w:p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2-Accent6">
    <w:name w:val="Grid Table 2 Accent 6"/>
    <w:basedOn w:val="TableNormal"/>
    <w:uiPriority w:val="47"/>
    <w:rsid w:val="000116B0"/>
    <w:pPr>
      <w:spacing w:line="240" w:lineRule="auto"/>
    </w:p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3">
    <w:name w:val="Grid Table 3"/>
    <w:basedOn w:val="TableNormal"/>
    <w:uiPriority w:val="48"/>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styleId="GridTable3-Accent2">
    <w:name w:val="Grid Table 3 Accent 2"/>
    <w:basedOn w:val="TableNormal"/>
    <w:uiPriority w:val="48"/>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styleId="GridTable3-Accent3">
    <w:name w:val="Grid Table 3 Accent 3"/>
    <w:basedOn w:val="TableNormal"/>
    <w:uiPriority w:val="48"/>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styleId="GridTable3-Accent4">
    <w:name w:val="Grid Table 3 Accent 4"/>
    <w:basedOn w:val="TableNormal"/>
    <w:uiPriority w:val="48"/>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styleId="GridTable3-Accent5">
    <w:name w:val="Grid Table 3 Accent 5"/>
    <w:basedOn w:val="TableNormal"/>
    <w:uiPriority w:val="48"/>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styleId="GridTable3-Accent6">
    <w:name w:val="Grid Table 3 Accent 6"/>
    <w:basedOn w:val="TableNormal"/>
    <w:uiPriority w:val="48"/>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styleId="GridTable4">
    <w:name w:val="Grid Table 4"/>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4-Accent2">
    <w:name w:val="Grid Table 4 Accent 2"/>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4-Accent3">
    <w:name w:val="Grid Table 4 Accent 3"/>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4-Accent4">
    <w:name w:val="Grid Table 4 Accent 4"/>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4-Accent5">
    <w:name w:val="Grid Table 4 Accent 5"/>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4-Accent6">
    <w:name w:val="Grid Table 4 Accent 6"/>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5Dark">
    <w:name w:val="Grid Table 5 Dark"/>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styleId="GridTable5Dark-Accent2">
    <w:name w:val="Grid Table 5 Dark Accent 2"/>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styleId="GridTable5Dark-Accent3">
    <w:name w:val="Grid Table 5 Dark Accent 3"/>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styleId="GridTable5Dark-Accent4">
    <w:name w:val="Grid Table 5 Dark Accent 4"/>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styleId="GridTable5Dark-Accent5">
    <w:name w:val="Grid Table 5 Dark Accent 5"/>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styleId="GridTable5Dark-Accent6">
    <w:name w:val="Grid Table 5 Dark Accent 6"/>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styleId="GridTable6Colorful">
    <w:name w:val="Grid Table 6 Colorful"/>
    <w:basedOn w:val="TableNormal"/>
    <w:uiPriority w:val="51"/>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6Colorful-Accent2">
    <w:name w:val="Grid Table 6 Colorful Accent 2"/>
    <w:basedOn w:val="TableNormal"/>
    <w:uiPriority w:val="51"/>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6Colorful-Accent3">
    <w:name w:val="Grid Table 6 Colorful Accent 3"/>
    <w:basedOn w:val="TableNormal"/>
    <w:uiPriority w:val="51"/>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6Colorful-Accent4">
    <w:name w:val="Grid Table 6 Colorful Accent 4"/>
    <w:basedOn w:val="TableNormal"/>
    <w:uiPriority w:val="51"/>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6Colorful-Accent5">
    <w:name w:val="Grid Table 6 Colorful Accent 5"/>
    <w:basedOn w:val="TableNormal"/>
    <w:uiPriority w:val="51"/>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6Colorful-Accent6">
    <w:name w:val="Grid Table 6 Colorful Accent 6"/>
    <w:basedOn w:val="TableNormal"/>
    <w:uiPriority w:val="51"/>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7Colorful">
    <w:name w:val="Grid Table 7 Colorful"/>
    <w:basedOn w:val="TableNormal"/>
    <w:uiPriority w:val="52"/>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styleId="GridTable7Colorful-Accent2">
    <w:name w:val="Grid Table 7 Colorful Accent 2"/>
    <w:basedOn w:val="TableNormal"/>
    <w:uiPriority w:val="52"/>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styleId="GridTable7Colorful-Accent3">
    <w:name w:val="Grid Table 7 Colorful Accent 3"/>
    <w:basedOn w:val="TableNormal"/>
    <w:uiPriority w:val="52"/>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styleId="GridTable7Colorful-Accent4">
    <w:name w:val="Grid Table 7 Colorful Accent 4"/>
    <w:basedOn w:val="TableNormal"/>
    <w:uiPriority w:val="52"/>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styleId="GridTable7Colorful-Accent5">
    <w:name w:val="Grid Table 7 Colorful Accent 5"/>
    <w:basedOn w:val="TableNormal"/>
    <w:uiPriority w:val="52"/>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styleId="GridTable7Colorful-Accent6">
    <w:name w:val="Grid Table 7 Colorful Accent 6"/>
    <w:basedOn w:val="TableNormal"/>
    <w:uiPriority w:val="52"/>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styleId="ListTable1Light">
    <w:name w:val="List Table 1 Light"/>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1Light-Accent2">
    <w:name w:val="List Table 1 Light Accent 2"/>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1Light-Accent3">
    <w:name w:val="List Table 1 Light Accent 3"/>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1Light-Accent4">
    <w:name w:val="List Table 1 Light Accent 4"/>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1Light-Accent5">
    <w:name w:val="List Table 1 Light Accent 5"/>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1Light-Accent6">
    <w:name w:val="List Table 1 Light Accent 6"/>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2">
    <w:name w:val="List Table 2"/>
    <w:basedOn w:val="TableNormal"/>
    <w:uiPriority w:val="47"/>
    <w:rsid w:val="000116B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16B0"/>
    <w:pPr>
      <w:spacing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2-Accent2">
    <w:name w:val="List Table 2 Accent 2"/>
    <w:basedOn w:val="TableNormal"/>
    <w:uiPriority w:val="47"/>
    <w:rsid w:val="000116B0"/>
    <w:pPr>
      <w:spacing w:line="240" w:lineRule="auto"/>
    </w:p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2-Accent3">
    <w:name w:val="List Table 2 Accent 3"/>
    <w:basedOn w:val="TableNormal"/>
    <w:uiPriority w:val="47"/>
    <w:rsid w:val="000116B0"/>
    <w:pPr>
      <w:spacing w:line="240" w:lineRule="auto"/>
    </w:p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2-Accent4">
    <w:name w:val="List Table 2 Accent 4"/>
    <w:basedOn w:val="TableNormal"/>
    <w:uiPriority w:val="47"/>
    <w:rsid w:val="000116B0"/>
    <w:pPr>
      <w:spacing w:line="240" w:lineRule="auto"/>
    </w:p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2-Accent5">
    <w:name w:val="List Table 2 Accent 5"/>
    <w:basedOn w:val="TableNormal"/>
    <w:uiPriority w:val="47"/>
    <w:rsid w:val="000116B0"/>
    <w:pPr>
      <w:spacing w:line="240" w:lineRule="auto"/>
    </w:p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2-Accent6">
    <w:name w:val="List Table 2 Accent 6"/>
    <w:basedOn w:val="TableNormal"/>
    <w:uiPriority w:val="47"/>
    <w:rsid w:val="000116B0"/>
    <w:pPr>
      <w:spacing w:line="240" w:lineRule="auto"/>
    </w:p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3">
    <w:name w:val="List Table 3"/>
    <w:basedOn w:val="TableNormal"/>
    <w:uiPriority w:val="48"/>
    <w:rsid w:val="000116B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16B0"/>
    <w:pPr>
      <w:spacing w:line="240" w:lineRule="auto"/>
    </w:p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styleId="ListTable3-Accent2">
    <w:name w:val="List Table 3 Accent 2"/>
    <w:basedOn w:val="TableNormal"/>
    <w:uiPriority w:val="48"/>
    <w:rsid w:val="000116B0"/>
    <w:pPr>
      <w:spacing w:line="240" w:lineRule="auto"/>
    </w:p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styleId="ListTable3-Accent3">
    <w:name w:val="List Table 3 Accent 3"/>
    <w:basedOn w:val="TableNormal"/>
    <w:uiPriority w:val="48"/>
    <w:rsid w:val="000116B0"/>
    <w:pPr>
      <w:spacing w:line="240" w:lineRule="auto"/>
    </w:p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styleId="ListTable3-Accent4">
    <w:name w:val="List Table 3 Accent 4"/>
    <w:basedOn w:val="TableNormal"/>
    <w:uiPriority w:val="48"/>
    <w:rsid w:val="000116B0"/>
    <w:pPr>
      <w:spacing w:line="240" w:lineRule="auto"/>
    </w:p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styleId="ListTable3-Accent5">
    <w:name w:val="List Table 3 Accent 5"/>
    <w:basedOn w:val="TableNormal"/>
    <w:uiPriority w:val="48"/>
    <w:rsid w:val="000116B0"/>
    <w:pPr>
      <w:spacing w:line="240" w:lineRule="auto"/>
    </w:p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styleId="ListTable3-Accent6">
    <w:name w:val="List Table 3 Accent 6"/>
    <w:basedOn w:val="TableNormal"/>
    <w:uiPriority w:val="48"/>
    <w:rsid w:val="000116B0"/>
    <w:pPr>
      <w:spacing w:line="240" w:lineRule="auto"/>
    </w:p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styleId="ListTable4">
    <w:name w:val="List Table 4"/>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4-Accent2">
    <w:name w:val="List Table 4 Accent 2"/>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4-Accent3">
    <w:name w:val="List Table 4 Accent 3"/>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4-Accent4">
    <w:name w:val="List Table 4 Accent 4"/>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4-Accent5">
    <w:name w:val="List Table 4 Accent 5"/>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4-Accent6">
    <w:name w:val="List Table 4 Accent 6"/>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5Dark">
    <w:name w:val="List Table 5 Dark"/>
    <w:basedOn w:val="TableNormal"/>
    <w:uiPriority w:val="50"/>
    <w:rsid w:val="000116B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16B0"/>
    <w:pPr>
      <w:spacing w:line="240" w:lineRule="auto"/>
    </w:pPr>
    <w:rPr>
      <w:color w:val="FFFFFF" w:themeColor="background1"/>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16B0"/>
    <w:pPr>
      <w:spacing w:line="240" w:lineRule="auto"/>
    </w:pPr>
    <w:rPr>
      <w:color w:val="FFFFFF" w:themeColor="background1"/>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16B0"/>
    <w:pPr>
      <w:spacing w:line="240" w:lineRule="auto"/>
    </w:pPr>
    <w:rPr>
      <w:color w:val="FFFFFF" w:themeColor="background1"/>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16B0"/>
    <w:pPr>
      <w:spacing w:line="240" w:lineRule="auto"/>
    </w:pPr>
    <w:rPr>
      <w:color w:val="FFFFFF" w:themeColor="background1"/>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16B0"/>
    <w:pPr>
      <w:spacing w:line="240" w:lineRule="auto"/>
    </w:pPr>
    <w:rPr>
      <w:color w:val="FFFFFF" w:themeColor="background1"/>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16B0"/>
    <w:pPr>
      <w:spacing w:line="240" w:lineRule="auto"/>
    </w:pPr>
    <w:rPr>
      <w:color w:val="FFFFFF" w:themeColor="background1"/>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16B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16B0"/>
    <w:pPr>
      <w:spacing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6Colorful-Accent2">
    <w:name w:val="List Table 6 Colorful Accent 2"/>
    <w:basedOn w:val="TableNormal"/>
    <w:uiPriority w:val="51"/>
    <w:rsid w:val="000116B0"/>
    <w:pPr>
      <w:spacing w:line="240" w:lineRule="auto"/>
    </w:pPr>
    <w:rPr>
      <w:color w:val="034F29" w:themeColor="accent2" w:themeShade="BF"/>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6Colorful-Accent3">
    <w:name w:val="List Table 6 Colorful Accent 3"/>
    <w:basedOn w:val="TableNormal"/>
    <w:uiPriority w:val="51"/>
    <w:rsid w:val="000116B0"/>
    <w:pPr>
      <w:spacing w:line="240" w:lineRule="auto"/>
    </w:pPr>
    <w:rPr>
      <w:color w:val="2291D1" w:themeColor="accent3" w:themeShade="BF"/>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6Colorful-Accent4">
    <w:name w:val="List Table 6 Colorful Accent 4"/>
    <w:basedOn w:val="TableNormal"/>
    <w:uiPriority w:val="51"/>
    <w:rsid w:val="000116B0"/>
    <w:pPr>
      <w:spacing w:line="240" w:lineRule="auto"/>
    </w:pPr>
    <w:rPr>
      <w:color w:val="00184E" w:themeColor="accent4" w:themeShade="BF"/>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6Colorful-Accent5">
    <w:name w:val="List Table 6 Colorful Accent 5"/>
    <w:basedOn w:val="TableNormal"/>
    <w:uiPriority w:val="51"/>
    <w:rsid w:val="000116B0"/>
    <w:pPr>
      <w:spacing w:line="240" w:lineRule="auto"/>
    </w:pPr>
    <w:rPr>
      <w:color w:val="00707E" w:themeColor="accent5" w:themeShade="BF"/>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6Colorful-Accent6">
    <w:name w:val="List Table 6 Colorful Accent 6"/>
    <w:basedOn w:val="TableNormal"/>
    <w:uiPriority w:val="51"/>
    <w:rsid w:val="000116B0"/>
    <w:pPr>
      <w:spacing w:line="240" w:lineRule="auto"/>
    </w:pPr>
    <w:rPr>
      <w:color w:val="57595C" w:themeColor="accent6" w:themeShade="BF"/>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7Colorful">
    <w:name w:val="List Table 7 Colorful"/>
    <w:basedOn w:val="TableNormal"/>
    <w:uiPriority w:val="52"/>
    <w:rsid w:val="000116B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16B0"/>
    <w:pPr>
      <w:spacing w:line="240" w:lineRule="auto"/>
    </w:pPr>
    <w:rPr>
      <w:color w:val="638C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16B0"/>
    <w:pPr>
      <w:spacing w:line="240" w:lineRule="auto"/>
    </w:pPr>
    <w:rPr>
      <w:color w:val="034F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16B0"/>
    <w:pPr>
      <w:spacing w:line="240" w:lineRule="auto"/>
    </w:pPr>
    <w:rPr>
      <w:color w:val="2291D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16B0"/>
    <w:pPr>
      <w:spacing w:line="240" w:lineRule="auto"/>
    </w:pPr>
    <w:rPr>
      <w:color w:val="0018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16B0"/>
    <w:pPr>
      <w:spacing w:line="240" w:lineRule="auto"/>
    </w:pPr>
    <w:rPr>
      <w:color w:val="00707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16B0"/>
    <w:pPr>
      <w:spacing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116B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16B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16B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16B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16B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0116B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itter1">
    <w:name w:val="Tabel - Gitter1"/>
    <w:basedOn w:val="TableNormal"/>
    <w:next w:val="TableGrid"/>
    <w:uiPriority w:val="59"/>
    <w:rsid w:val="001E349B"/>
    <w:pPr>
      <w:spacing w:line="240" w:lineRule="auto"/>
    </w:p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Pullout-QuoteBlue">
    <w:name w:val="Pullout - Quote Blue"/>
    <w:basedOn w:val="Normal"/>
    <w:next w:val="Normal"/>
    <w:uiPriority w:val="6"/>
    <w:rsid w:val="00375DF8"/>
    <w:pPr>
      <w:spacing w:after="0" w:line="360" w:lineRule="atLeast"/>
      <w:ind w:left="227" w:right="227"/>
    </w:pPr>
    <w:rPr>
      <w:i/>
      <w:color w:val="62B5E5" w:themeColor="accent3"/>
      <w:sz w:val="28"/>
    </w:rPr>
  </w:style>
  <w:style w:type="paragraph" w:customStyle="1" w:styleId="Pullout-QuoteGreen">
    <w:name w:val="Pullout - Quote Green"/>
    <w:basedOn w:val="Pullout-QuoteBlue"/>
    <w:next w:val="Normal"/>
    <w:uiPriority w:val="6"/>
    <w:rsid w:val="00656308"/>
    <w:rPr>
      <w:color w:val="86BC25" w:themeColor="accent1"/>
    </w:rPr>
  </w:style>
  <w:style w:type="character" w:customStyle="1" w:styleId="ListParagraphChar">
    <w:name w:val="List Paragraph Char"/>
    <w:aliases w:val="Use Case List Paragraph Char,List Paragraph - bullets Char,standard lewis Char,Numbered Para 1 Char,Dot pt Char,No Spacing1 Char,List Paragraph Char Char Char Char,Indicator Text Char,List Paragraph1 Char,Bullet Points Char,B1 Char"/>
    <w:basedOn w:val="DefaultParagraphFont"/>
    <w:link w:val="ListParagraph"/>
    <w:uiPriority w:val="34"/>
    <w:qFormat/>
    <w:locked/>
    <w:rsid w:val="003F7952"/>
    <w:rPr>
      <w:rFonts w:ascii="Open Sans Light" w:hAnsi="Open Sans Light"/>
      <w:lang w:val="en-AU"/>
    </w:rPr>
  </w:style>
  <w:style w:type="paragraph" w:customStyle="1" w:styleId="DHHStablefigurenote">
    <w:name w:val="DHHS table/figure note"/>
    <w:uiPriority w:val="4"/>
    <w:rsid w:val="0024745C"/>
    <w:pPr>
      <w:spacing w:before="60" w:after="60" w:line="240" w:lineRule="exact"/>
    </w:pPr>
    <w:rPr>
      <w:rFonts w:ascii="Arial" w:eastAsia="Times New Roman" w:hAnsi="Arial" w:cs="Times New Roman"/>
      <w:szCs w:val="20"/>
      <w:lang w:val="en-AU"/>
    </w:rPr>
  </w:style>
  <w:style w:type="paragraph" w:customStyle="1" w:styleId="DHHSfigurecaption">
    <w:name w:val="DHHS figure caption"/>
    <w:next w:val="Normal"/>
    <w:rsid w:val="0024745C"/>
    <w:pPr>
      <w:keepNext/>
      <w:keepLines/>
      <w:spacing w:before="240" w:after="120" w:line="240" w:lineRule="auto"/>
    </w:pPr>
    <w:rPr>
      <w:rFonts w:ascii="Arial" w:eastAsia="Times New Roman" w:hAnsi="Arial" w:cs="Times New Roman"/>
      <w:b/>
      <w:sz w:val="20"/>
      <w:szCs w:val="20"/>
      <w:lang w:val="en-AU"/>
    </w:rPr>
  </w:style>
  <w:style w:type="character" w:styleId="UnresolvedMention">
    <w:name w:val="Unresolved Mention"/>
    <w:basedOn w:val="DefaultParagraphFont"/>
    <w:uiPriority w:val="99"/>
    <w:semiHidden/>
    <w:unhideWhenUsed/>
    <w:rsid w:val="0000591B"/>
    <w:rPr>
      <w:color w:val="605E5C"/>
      <w:shd w:val="clear" w:color="auto" w:fill="E1DFDD"/>
    </w:rPr>
  </w:style>
  <w:style w:type="paragraph" w:styleId="Revision">
    <w:name w:val="Revision"/>
    <w:hidden/>
    <w:uiPriority w:val="99"/>
    <w:semiHidden/>
    <w:rsid w:val="00B04724"/>
    <w:pPr>
      <w:spacing w:line="240" w:lineRule="auto"/>
    </w:pPr>
    <w:rPr>
      <w:rFonts w:ascii="Calibri Light" w:hAnsi="Calibri Light"/>
      <w:lang w:val="en-AU"/>
    </w:rPr>
  </w:style>
  <w:style w:type="character" w:styleId="Mention">
    <w:name w:val="Mention"/>
    <w:basedOn w:val="DefaultParagraphFont"/>
    <w:uiPriority w:val="99"/>
    <w:unhideWhenUsed/>
    <w:rsid w:val="005E32D7"/>
    <w:rPr>
      <w:color w:val="2B579A"/>
      <w:shd w:val="clear" w:color="auto" w:fill="E1DFDD"/>
    </w:rPr>
  </w:style>
  <w:style w:type="character" w:customStyle="1" w:styleId="normaltextrun">
    <w:name w:val="normaltextrun"/>
    <w:basedOn w:val="DefaultParagraphFont"/>
    <w:rsid w:val="00494EAD"/>
  </w:style>
  <w:style w:type="paragraph" w:customStyle="1" w:styleId="DraftHeading3">
    <w:name w:val="Draft Heading 3"/>
    <w:basedOn w:val="Normal"/>
    <w:next w:val="Normal"/>
    <w:link w:val="DraftHeading3Char"/>
    <w:rsid w:val="00E821B3"/>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customStyle="1" w:styleId="DraftHeading3Char">
    <w:name w:val="Draft Heading 3 Char"/>
    <w:basedOn w:val="DefaultParagraphFont"/>
    <w:link w:val="DraftHeading3"/>
    <w:rsid w:val="00E821B3"/>
    <w:rPr>
      <w:rFonts w:ascii="Times New Roman" w:eastAsia="Times New Roman" w:hAnsi="Times New Roman" w:cs="Times New Roman"/>
      <w:sz w:val="24"/>
      <w:szCs w:val="20"/>
      <w:lang w:val="en-AU"/>
    </w:rPr>
  </w:style>
  <w:style w:type="character" w:customStyle="1" w:styleId="ui-provider">
    <w:name w:val="ui-provider"/>
    <w:basedOn w:val="DefaultParagraphFont"/>
    <w:rsid w:val="001A0DE9"/>
  </w:style>
  <w:style w:type="table" w:customStyle="1" w:styleId="Deloittetable1">
    <w:name w:val="Deloitte table1"/>
    <w:basedOn w:val="TableNormal"/>
    <w:uiPriority w:val="99"/>
    <w:rsid w:val="00274B0F"/>
    <w:pPr>
      <w:ind w:left="57" w:right="57"/>
    </w:pPr>
    <w:rPr>
      <w:sz w:val="17"/>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998">
      <w:bodyDiv w:val="1"/>
      <w:marLeft w:val="0"/>
      <w:marRight w:val="0"/>
      <w:marTop w:val="0"/>
      <w:marBottom w:val="0"/>
      <w:divBdr>
        <w:top w:val="none" w:sz="0" w:space="0" w:color="auto"/>
        <w:left w:val="none" w:sz="0" w:space="0" w:color="auto"/>
        <w:bottom w:val="none" w:sz="0" w:space="0" w:color="auto"/>
        <w:right w:val="none" w:sz="0" w:space="0" w:color="auto"/>
      </w:divBdr>
    </w:div>
    <w:div w:id="79299612">
      <w:bodyDiv w:val="1"/>
      <w:marLeft w:val="0"/>
      <w:marRight w:val="0"/>
      <w:marTop w:val="0"/>
      <w:marBottom w:val="0"/>
      <w:divBdr>
        <w:top w:val="none" w:sz="0" w:space="0" w:color="auto"/>
        <w:left w:val="none" w:sz="0" w:space="0" w:color="auto"/>
        <w:bottom w:val="none" w:sz="0" w:space="0" w:color="auto"/>
        <w:right w:val="none" w:sz="0" w:space="0" w:color="auto"/>
      </w:divBdr>
    </w:div>
    <w:div w:id="150948004">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171989769">
      <w:bodyDiv w:val="1"/>
      <w:marLeft w:val="0"/>
      <w:marRight w:val="0"/>
      <w:marTop w:val="0"/>
      <w:marBottom w:val="0"/>
      <w:divBdr>
        <w:top w:val="none" w:sz="0" w:space="0" w:color="auto"/>
        <w:left w:val="none" w:sz="0" w:space="0" w:color="auto"/>
        <w:bottom w:val="none" w:sz="0" w:space="0" w:color="auto"/>
        <w:right w:val="none" w:sz="0" w:space="0" w:color="auto"/>
      </w:divBdr>
    </w:div>
    <w:div w:id="174000459">
      <w:bodyDiv w:val="1"/>
      <w:marLeft w:val="0"/>
      <w:marRight w:val="0"/>
      <w:marTop w:val="0"/>
      <w:marBottom w:val="0"/>
      <w:divBdr>
        <w:top w:val="none" w:sz="0" w:space="0" w:color="auto"/>
        <w:left w:val="none" w:sz="0" w:space="0" w:color="auto"/>
        <w:bottom w:val="none" w:sz="0" w:space="0" w:color="auto"/>
        <w:right w:val="none" w:sz="0" w:space="0" w:color="auto"/>
      </w:divBdr>
    </w:div>
    <w:div w:id="199249509">
      <w:bodyDiv w:val="1"/>
      <w:marLeft w:val="0"/>
      <w:marRight w:val="0"/>
      <w:marTop w:val="0"/>
      <w:marBottom w:val="0"/>
      <w:divBdr>
        <w:top w:val="none" w:sz="0" w:space="0" w:color="auto"/>
        <w:left w:val="none" w:sz="0" w:space="0" w:color="auto"/>
        <w:bottom w:val="none" w:sz="0" w:space="0" w:color="auto"/>
        <w:right w:val="none" w:sz="0" w:space="0" w:color="auto"/>
      </w:divBdr>
    </w:div>
    <w:div w:id="210119536">
      <w:bodyDiv w:val="1"/>
      <w:marLeft w:val="0"/>
      <w:marRight w:val="0"/>
      <w:marTop w:val="0"/>
      <w:marBottom w:val="0"/>
      <w:divBdr>
        <w:top w:val="none" w:sz="0" w:space="0" w:color="auto"/>
        <w:left w:val="none" w:sz="0" w:space="0" w:color="auto"/>
        <w:bottom w:val="none" w:sz="0" w:space="0" w:color="auto"/>
        <w:right w:val="none" w:sz="0" w:space="0" w:color="auto"/>
      </w:divBdr>
    </w:div>
    <w:div w:id="215973573">
      <w:bodyDiv w:val="1"/>
      <w:marLeft w:val="0"/>
      <w:marRight w:val="0"/>
      <w:marTop w:val="0"/>
      <w:marBottom w:val="0"/>
      <w:divBdr>
        <w:top w:val="none" w:sz="0" w:space="0" w:color="auto"/>
        <w:left w:val="none" w:sz="0" w:space="0" w:color="auto"/>
        <w:bottom w:val="none" w:sz="0" w:space="0" w:color="auto"/>
        <w:right w:val="none" w:sz="0" w:space="0" w:color="auto"/>
      </w:divBdr>
    </w:div>
    <w:div w:id="225335496">
      <w:bodyDiv w:val="1"/>
      <w:marLeft w:val="0"/>
      <w:marRight w:val="0"/>
      <w:marTop w:val="0"/>
      <w:marBottom w:val="0"/>
      <w:divBdr>
        <w:top w:val="none" w:sz="0" w:space="0" w:color="auto"/>
        <w:left w:val="none" w:sz="0" w:space="0" w:color="auto"/>
        <w:bottom w:val="none" w:sz="0" w:space="0" w:color="auto"/>
        <w:right w:val="none" w:sz="0" w:space="0" w:color="auto"/>
      </w:divBdr>
    </w:div>
    <w:div w:id="226459517">
      <w:bodyDiv w:val="1"/>
      <w:marLeft w:val="0"/>
      <w:marRight w:val="0"/>
      <w:marTop w:val="0"/>
      <w:marBottom w:val="0"/>
      <w:divBdr>
        <w:top w:val="none" w:sz="0" w:space="0" w:color="auto"/>
        <w:left w:val="none" w:sz="0" w:space="0" w:color="auto"/>
        <w:bottom w:val="none" w:sz="0" w:space="0" w:color="auto"/>
        <w:right w:val="none" w:sz="0" w:space="0" w:color="auto"/>
      </w:divBdr>
    </w:div>
    <w:div w:id="242104151">
      <w:bodyDiv w:val="1"/>
      <w:marLeft w:val="0"/>
      <w:marRight w:val="0"/>
      <w:marTop w:val="0"/>
      <w:marBottom w:val="0"/>
      <w:divBdr>
        <w:top w:val="none" w:sz="0" w:space="0" w:color="auto"/>
        <w:left w:val="none" w:sz="0" w:space="0" w:color="auto"/>
        <w:bottom w:val="none" w:sz="0" w:space="0" w:color="auto"/>
        <w:right w:val="none" w:sz="0" w:space="0" w:color="auto"/>
      </w:divBdr>
    </w:div>
    <w:div w:id="267738381">
      <w:bodyDiv w:val="1"/>
      <w:marLeft w:val="0"/>
      <w:marRight w:val="0"/>
      <w:marTop w:val="0"/>
      <w:marBottom w:val="0"/>
      <w:divBdr>
        <w:top w:val="none" w:sz="0" w:space="0" w:color="auto"/>
        <w:left w:val="none" w:sz="0" w:space="0" w:color="auto"/>
        <w:bottom w:val="none" w:sz="0" w:space="0" w:color="auto"/>
        <w:right w:val="none" w:sz="0" w:space="0" w:color="auto"/>
      </w:divBdr>
    </w:div>
    <w:div w:id="270359349">
      <w:bodyDiv w:val="1"/>
      <w:marLeft w:val="0"/>
      <w:marRight w:val="0"/>
      <w:marTop w:val="0"/>
      <w:marBottom w:val="0"/>
      <w:divBdr>
        <w:top w:val="none" w:sz="0" w:space="0" w:color="auto"/>
        <w:left w:val="none" w:sz="0" w:space="0" w:color="auto"/>
        <w:bottom w:val="none" w:sz="0" w:space="0" w:color="auto"/>
        <w:right w:val="none" w:sz="0" w:space="0" w:color="auto"/>
      </w:divBdr>
    </w:div>
    <w:div w:id="294801827">
      <w:bodyDiv w:val="1"/>
      <w:marLeft w:val="0"/>
      <w:marRight w:val="0"/>
      <w:marTop w:val="0"/>
      <w:marBottom w:val="0"/>
      <w:divBdr>
        <w:top w:val="none" w:sz="0" w:space="0" w:color="auto"/>
        <w:left w:val="none" w:sz="0" w:space="0" w:color="auto"/>
        <w:bottom w:val="none" w:sz="0" w:space="0" w:color="auto"/>
        <w:right w:val="none" w:sz="0" w:space="0" w:color="auto"/>
      </w:divBdr>
    </w:div>
    <w:div w:id="298270302">
      <w:bodyDiv w:val="1"/>
      <w:marLeft w:val="0"/>
      <w:marRight w:val="0"/>
      <w:marTop w:val="0"/>
      <w:marBottom w:val="0"/>
      <w:divBdr>
        <w:top w:val="none" w:sz="0" w:space="0" w:color="auto"/>
        <w:left w:val="none" w:sz="0" w:space="0" w:color="auto"/>
        <w:bottom w:val="none" w:sz="0" w:space="0" w:color="auto"/>
        <w:right w:val="none" w:sz="0" w:space="0" w:color="auto"/>
      </w:divBdr>
    </w:div>
    <w:div w:id="300623517">
      <w:bodyDiv w:val="1"/>
      <w:marLeft w:val="0"/>
      <w:marRight w:val="0"/>
      <w:marTop w:val="0"/>
      <w:marBottom w:val="0"/>
      <w:divBdr>
        <w:top w:val="none" w:sz="0" w:space="0" w:color="auto"/>
        <w:left w:val="none" w:sz="0" w:space="0" w:color="auto"/>
        <w:bottom w:val="none" w:sz="0" w:space="0" w:color="auto"/>
        <w:right w:val="none" w:sz="0" w:space="0" w:color="auto"/>
      </w:divBdr>
      <w:divsChild>
        <w:div w:id="782188638">
          <w:marLeft w:val="0"/>
          <w:marRight w:val="0"/>
          <w:marTop w:val="0"/>
          <w:marBottom w:val="0"/>
          <w:divBdr>
            <w:top w:val="none" w:sz="0" w:space="0" w:color="auto"/>
            <w:left w:val="none" w:sz="0" w:space="0" w:color="auto"/>
            <w:bottom w:val="none" w:sz="0" w:space="0" w:color="auto"/>
            <w:right w:val="none" w:sz="0" w:space="0" w:color="auto"/>
          </w:divBdr>
        </w:div>
        <w:div w:id="1940871228">
          <w:marLeft w:val="0"/>
          <w:marRight w:val="0"/>
          <w:marTop w:val="0"/>
          <w:marBottom w:val="0"/>
          <w:divBdr>
            <w:top w:val="none" w:sz="0" w:space="0" w:color="auto"/>
            <w:left w:val="none" w:sz="0" w:space="0" w:color="auto"/>
            <w:bottom w:val="none" w:sz="0" w:space="0" w:color="auto"/>
            <w:right w:val="none" w:sz="0" w:space="0" w:color="auto"/>
          </w:divBdr>
        </w:div>
      </w:divsChild>
    </w:div>
    <w:div w:id="303002979">
      <w:bodyDiv w:val="1"/>
      <w:marLeft w:val="0"/>
      <w:marRight w:val="0"/>
      <w:marTop w:val="0"/>
      <w:marBottom w:val="0"/>
      <w:divBdr>
        <w:top w:val="none" w:sz="0" w:space="0" w:color="auto"/>
        <w:left w:val="none" w:sz="0" w:space="0" w:color="auto"/>
        <w:bottom w:val="none" w:sz="0" w:space="0" w:color="auto"/>
        <w:right w:val="none" w:sz="0" w:space="0" w:color="auto"/>
      </w:divBdr>
    </w:div>
    <w:div w:id="306788579">
      <w:bodyDiv w:val="1"/>
      <w:marLeft w:val="0"/>
      <w:marRight w:val="0"/>
      <w:marTop w:val="0"/>
      <w:marBottom w:val="0"/>
      <w:divBdr>
        <w:top w:val="none" w:sz="0" w:space="0" w:color="auto"/>
        <w:left w:val="none" w:sz="0" w:space="0" w:color="auto"/>
        <w:bottom w:val="none" w:sz="0" w:space="0" w:color="auto"/>
        <w:right w:val="none" w:sz="0" w:space="0" w:color="auto"/>
      </w:divBdr>
    </w:div>
    <w:div w:id="313531793">
      <w:bodyDiv w:val="1"/>
      <w:marLeft w:val="0"/>
      <w:marRight w:val="0"/>
      <w:marTop w:val="0"/>
      <w:marBottom w:val="0"/>
      <w:divBdr>
        <w:top w:val="none" w:sz="0" w:space="0" w:color="auto"/>
        <w:left w:val="none" w:sz="0" w:space="0" w:color="auto"/>
        <w:bottom w:val="none" w:sz="0" w:space="0" w:color="auto"/>
        <w:right w:val="none" w:sz="0" w:space="0" w:color="auto"/>
      </w:divBdr>
    </w:div>
    <w:div w:id="370308572">
      <w:bodyDiv w:val="1"/>
      <w:marLeft w:val="0"/>
      <w:marRight w:val="0"/>
      <w:marTop w:val="0"/>
      <w:marBottom w:val="0"/>
      <w:divBdr>
        <w:top w:val="none" w:sz="0" w:space="0" w:color="auto"/>
        <w:left w:val="none" w:sz="0" w:space="0" w:color="auto"/>
        <w:bottom w:val="none" w:sz="0" w:space="0" w:color="auto"/>
        <w:right w:val="none" w:sz="0" w:space="0" w:color="auto"/>
      </w:divBdr>
    </w:div>
    <w:div w:id="385034268">
      <w:bodyDiv w:val="1"/>
      <w:marLeft w:val="0"/>
      <w:marRight w:val="0"/>
      <w:marTop w:val="0"/>
      <w:marBottom w:val="0"/>
      <w:divBdr>
        <w:top w:val="none" w:sz="0" w:space="0" w:color="auto"/>
        <w:left w:val="none" w:sz="0" w:space="0" w:color="auto"/>
        <w:bottom w:val="none" w:sz="0" w:space="0" w:color="auto"/>
        <w:right w:val="none" w:sz="0" w:space="0" w:color="auto"/>
      </w:divBdr>
    </w:div>
    <w:div w:id="409355915">
      <w:bodyDiv w:val="1"/>
      <w:marLeft w:val="0"/>
      <w:marRight w:val="0"/>
      <w:marTop w:val="0"/>
      <w:marBottom w:val="0"/>
      <w:divBdr>
        <w:top w:val="none" w:sz="0" w:space="0" w:color="auto"/>
        <w:left w:val="none" w:sz="0" w:space="0" w:color="auto"/>
        <w:bottom w:val="none" w:sz="0" w:space="0" w:color="auto"/>
        <w:right w:val="none" w:sz="0" w:space="0" w:color="auto"/>
      </w:divBdr>
    </w:div>
    <w:div w:id="417680356">
      <w:bodyDiv w:val="1"/>
      <w:marLeft w:val="0"/>
      <w:marRight w:val="0"/>
      <w:marTop w:val="0"/>
      <w:marBottom w:val="0"/>
      <w:divBdr>
        <w:top w:val="none" w:sz="0" w:space="0" w:color="auto"/>
        <w:left w:val="none" w:sz="0" w:space="0" w:color="auto"/>
        <w:bottom w:val="none" w:sz="0" w:space="0" w:color="auto"/>
        <w:right w:val="none" w:sz="0" w:space="0" w:color="auto"/>
      </w:divBdr>
    </w:div>
    <w:div w:id="423575148">
      <w:bodyDiv w:val="1"/>
      <w:marLeft w:val="0"/>
      <w:marRight w:val="0"/>
      <w:marTop w:val="0"/>
      <w:marBottom w:val="0"/>
      <w:divBdr>
        <w:top w:val="none" w:sz="0" w:space="0" w:color="auto"/>
        <w:left w:val="none" w:sz="0" w:space="0" w:color="auto"/>
        <w:bottom w:val="none" w:sz="0" w:space="0" w:color="auto"/>
        <w:right w:val="none" w:sz="0" w:space="0" w:color="auto"/>
      </w:divBdr>
    </w:div>
    <w:div w:id="443813206">
      <w:bodyDiv w:val="1"/>
      <w:marLeft w:val="0"/>
      <w:marRight w:val="0"/>
      <w:marTop w:val="0"/>
      <w:marBottom w:val="0"/>
      <w:divBdr>
        <w:top w:val="none" w:sz="0" w:space="0" w:color="auto"/>
        <w:left w:val="none" w:sz="0" w:space="0" w:color="auto"/>
        <w:bottom w:val="none" w:sz="0" w:space="0" w:color="auto"/>
        <w:right w:val="none" w:sz="0" w:space="0" w:color="auto"/>
      </w:divBdr>
    </w:div>
    <w:div w:id="447896828">
      <w:bodyDiv w:val="1"/>
      <w:marLeft w:val="0"/>
      <w:marRight w:val="0"/>
      <w:marTop w:val="0"/>
      <w:marBottom w:val="0"/>
      <w:divBdr>
        <w:top w:val="none" w:sz="0" w:space="0" w:color="auto"/>
        <w:left w:val="none" w:sz="0" w:space="0" w:color="auto"/>
        <w:bottom w:val="none" w:sz="0" w:space="0" w:color="auto"/>
        <w:right w:val="none" w:sz="0" w:space="0" w:color="auto"/>
      </w:divBdr>
    </w:div>
    <w:div w:id="458063657">
      <w:bodyDiv w:val="1"/>
      <w:marLeft w:val="0"/>
      <w:marRight w:val="0"/>
      <w:marTop w:val="0"/>
      <w:marBottom w:val="0"/>
      <w:divBdr>
        <w:top w:val="none" w:sz="0" w:space="0" w:color="auto"/>
        <w:left w:val="none" w:sz="0" w:space="0" w:color="auto"/>
        <w:bottom w:val="none" w:sz="0" w:space="0" w:color="auto"/>
        <w:right w:val="none" w:sz="0" w:space="0" w:color="auto"/>
      </w:divBdr>
    </w:div>
    <w:div w:id="470831540">
      <w:bodyDiv w:val="1"/>
      <w:marLeft w:val="0"/>
      <w:marRight w:val="0"/>
      <w:marTop w:val="0"/>
      <w:marBottom w:val="0"/>
      <w:divBdr>
        <w:top w:val="none" w:sz="0" w:space="0" w:color="auto"/>
        <w:left w:val="none" w:sz="0" w:space="0" w:color="auto"/>
        <w:bottom w:val="none" w:sz="0" w:space="0" w:color="auto"/>
        <w:right w:val="none" w:sz="0" w:space="0" w:color="auto"/>
      </w:divBdr>
    </w:div>
    <w:div w:id="484904716">
      <w:bodyDiv w:val="1"/>
      <w:marLeft w:val="0"/>
      <w:marRight w:val="0"/>
      <w:marTop w:val="0"/>
      <w:marBottom w:val="0"/>
      <w:divBdr>
        <w:top w:val="none" w:sz="0" w:space="0" w:color="auto"/>
        <w:left w:val="none" w:sz="0" w:space="0" w:color="auto"/>
        <w:bottom w:val="none" w:sz="0" w:space="0" w:color="auto"/>
        <w:right w:val="none" w:sz="0" w:space="0" w:color="auto"/>
      </w:divBdr>
    </w:div>
    <w:div w:id="489565494">
      <w:bodyDiv w:val="1"/>
      <w:marLeft w:val="0"/>
      <w:marRight w:val="0"/>
      <w:marTop w:val="0"/>
      <w:marBottom w:val="0"/>
      <w:divBdr>
        <w:top w:val="none" w:sz="0" w:space="0" w:color="auto"/>
        <w:left w:val="none" w:sz="0" w:space="0" w:color="auto"/>
        <w:bottom w:val="none" w:sz="0" w:space="0" w:color="auto"/>
        <w:right w:val="none" w:sz="0" w:space="0" w:color="auto"/>
      </w:divBdr>
    </w:div>
    <w:div w:id="522012800">
      <w:bodyDiv w:val="1"/>
      <w:marLeft w:val="0"/>
      <w:marRight w:val="0"/>
      <w:marTop w:val="0"/>
      <w:marBottom w:val="0"/>
      <w:divBdr>
        <w:top w:val="none" w:sz="0" w:space="0" w:color="auto"/>
        <w:left w:val="none" w:sz="0" w:space="0" w:color="auto"/>
        <w:bottom w:val="none" w:sz="0" w:space="0" w:color="auto"/>
        <w:right w:val="none" w:sz="0" w:space="0" w:color="auto"/>
      </w:divBdr>
    </w:div>
    <w:div w:id="527720692">
      <w:bodyDiv w:val="1"/>
      <w:marLeft w:val="0"/>
      <w:marRight w:val="0"/>
      <w:marTop w:val="0"/>
      <w:marBottom w:val="0"/>
      <w:divBdr>
        <w:top w:val="none" w:sz="0" w:space="0" w:color="auto"/>
        <w:left w:val="none" w:sz="0" w:space="0" w:color="auto"/>
        <w:bottom w:val="none" w:sz="0" w:space="0" w:color="auto"/>
        <w:right w:val="none" w:sz="0" w:space="0" w:color="auto"/>
      </w:divBdr>
    </w:div>
    <w:div w:id="528875870">
      <w:bodyDiv w:val="1"/>
      <w:marLeft w:val="0"/>
      <w:marRight w:val="0"/>
      <w:marTop w:val="0"/>
      <w:marBottom w:val="0"/>
      <w:divBdr>
        <w:top w:val="none" w:sz="0" w:space="0" w:color="auto"/>
        <w:left w:val="none" w:sz="0" w:space="0" w:color="auto"/>
        <w:bottom w:val="none" w:sz="0" w:space="0" w:color="auto"/>
        <w:right w:val="none" w:sz="0" w:space="0" w:color="auto"/>
      </w:divBdr>
    </w:div>
    <w:div w:id="553465977">
      <w:bodyDiv w:val="1"/>
      <w:marLeft w:val="0"/>
      <w:marRight w:val="0"/>
      <w:marTop w:val="0"/>
      <w:marBottom w:val="0"/>
      <w:divBdr>
        <w:top w:val="none" w:sz="0" w:space="0" w:color="auto"/>
        <w:left w:val="none" w:sz="0" w:space="0" w:color="auto"/>
        <w:bottom w:val="none" w:sz="0" w:space="0" w:color="auto"/>
        <w:right w:val="none" w:sz="0" w:space="0" w:color="auto"/>
      </w:divBdr>
    </w:div>
    <w:div w:id="591016825">
      <w:bodyDiv w:val="1"/>
      <w:marLeft w:val="0"/>
      <w:marRight w:val="0"/>
      <w:marTop w:val="0"/>
      <w:marBottom w:val="0"/>
      <w:divBdr>
        <w:top w:val="none" w:sz="0" w:space="0" w:color="auto"/>
        <w:left w:val="none" w:sz="0" w:space="0" w:color="auto"/>
        <w:bottom w:val="none" w:sz="0" w:space="0" w:color="auto"/>
        <w:right w:val="none" w:sz="0" w:space="0" w:color="auto"/>
      </w:divBdr>
    </w:div>
    <w:div w:id="603879687">
      <w:bodyDiv w:val="1"/>
      <w:marLeft w:val="0"/>
      <w:marRight w:val="0"/>
      <w:marTop w:val="0"/>
      <w:marBottom w:val="0"/>
      <w:divBdr>
        <w:top w:val="none" w:sz="0" w:space="0" w:color="auto"/>
        <w:left w:val="none" w:sz="0" w:space="0" w:color="auto"/>
        <w:bottom w:val="none" w:sz="0" w:space="0" w:color="auto"/>
        <w:right w:val="none" w:sz="0" w:space="0" w:color="auto"/>
      </w:divBdr>
    </w:div>
    <w:div w:id="644429237">
      <w:bodyDiv w:val="1"/>
      <w:marLeft w:val="0"/>
      <w:marRight w:val="0"/>
      <w:marTop w:val="0"/>
      <w:marBottom w:val="0"/>
      <w:divBdr>
        <w:top w:val="none" w:sz="0" w:space="0" w:color="auto"/>
        <w:left w:val="none" w:sz="0" w:space="0" w:color="auto"/>
        <w:bottom w:val="none" w:sz="0" w:space="0" w:color="auto"/>
        <w:right w:val="none" w:sz="0" w:space="0" w:color="auto"/>
      </w:divBdr>
    </w:div>
    <w:div w:id="710299791">
      <w:bodyDiv w:val="1"/>
      <w:marLeft w:val="0"/>
      <w:marRight w:val="0"/>
      <w:marTop w:val="0"/>
      <w:marBottom w:val="0"/>
      <w:divBdr>
        <w:top w:val="none" w:sz="0" w:space="0" w:color="auto"/>
        <w:left w:val="none" w:sz="0" w:space="0" w:color="auto"/>
        <w:bottom w:val="none" w:sz="0" w:space="0" w:color="auto"/>
        <w:right w:val="none" w:sz="0" w:space="0" w:color="auto"/>
      </w:divBdr>
    </w:div>
    <w:div w:id="725419032">
      <w:bodyDiv w:val="1"/>
      <w:marLeft w:val="0"/>
      <w:marRight w:val="0"/>
      <w:marTop w:val="0"/>
      <w:marBottom w:val="0"/>
      <w:divBdr>
        <w:top w:val="none" w:sz="0" w:space="0" w:color="auto"/>
        <w:left w:val="none" w:sz="0" w:space="0" w:color="auto"/>
        <w:bottom w:val="none" w:sz="0" w:space="0" w:color="auto"/>
        <w:right w:val="none" w:sz="0" w:space="0" w:color="auto"/>
      </w:divBdr>
    </w:div>
    <w:div w:id="763189279">
      <w:bodyDiv w:val="1"/>
      <w:marLeft w:val="0"/>
      <w:marRight w:val="0"/>
      <w:marTop w:val="0"/>
      <w:marBottom w:val="0"/>
      <w:divBdr>
        <w:top w:val="none" w:sz="0" w:space="0" w:color="auto"/>
        <w:left w:val="none" w:sz="0" w:space="0" w:color="auto"/>
        <w:bottom w:val="none" w:sz="0" w:space="0" w:color="auto"/>
        <w:right w:val="none" w:sz="0" w:space="0" w:color="auto"/>
      </w:divBdr>
    </w:div>
    <w:div w:id="778260189">
      <w:bodyDiv w:val="1"/>
      <w:marLeft w:val="0"/>
      <w:marRight w:val="0"/>
      <w:marTop w:val="0"/>
      <w:marBottom w:val="0"/>
      <w:divBdr>
        <w:top w:val="none" w:sz="0" w:space="0" w:color="auto"/>
        <w:left w:val="none" w:sz="0" w:space="0" w:color="auto"/>
        <w:bottom w:val="none" w:sz="0" w:space="0" w:color="auto"/>
        <w:right w:val="none" w:sz="0" w:space="0" w:color="auto"/>
      </w:divBdr>
    </w:div>
    <w:div w:id="781998558">
      <w:bodyDiv w:val="1"/>
      <w:marLeft w:val="0"/>
      <w:marRight w:val="0"/>
      <w:marTop w:val="0"/>
      <w:marBottom w:val="0"/>
      <w:divBdr>
        <w:top w:val="none" w:sz="0" w:space="0" w:color="auto"/>
        <w:left w:val="none" w:sz="0" w:space="0" w:color="auto"/>
        <w:bottom w:val="none" w:sz="0" w:space="0" w:color="auto"/>
        <w:right w:val="none" w:sz="0" w:space="0" w:color="auto"/>
      </w:divBdr>
    </w:div>
    <w:div w:id="793333274">
      <w:bodyDiv w:val="1"/>
      <w:marLeft w:val="0"/>
      <w:marRight w:val="0"/>
      <w:marTop w:val="0"/>
      <w:marBottom w:val="0"/>
      <w:divBdr>
        <w:top w:val="none" w:sz="0" w:space="0" w:color="auto"/>
        <w:left w:val="none" w:sz="0" w:space="0" w:color="auto"/>
        <w:bottom w:val="none" w:sz="0" w:space="0" w:color="auto"/>
        <w:right w:val="none" w:sz="0" w:space="0" w:color="auto"/>
      </w:divBdr>
    </w:div>
    <w:div w:id="816534309">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43059144">
      <w:bodyDiv w:val="1"/>
      <w:marLeft w:val="0"/>
      <w:marRight w:val="0"/>
      <w:marTop w:val="0"/>
      <w:marBottom w:val="0"/>
      <w:divBdr>
        <w:top w:val="none" w:sz="0" w:space="0" w:color="auto"/>
        <w:left w:val="none" w:sz="0" w:space="0" w:color="auto"/>
        <w:bottom w:val="none" w:sz="0" w:space="0" w:color="auto"/>
        <w:right w:val="none" w:sz="0" w:space="0" w:color="auto"/>
      </w:divBdr>
    </w:div>
    <w:div w:id="847140875">
      <w:bodyDiv w:val="1"/>
      <w:marLeft w:val="0"/>
      <w:marRight w:val="0"/>
      <w:marTop w:val="0"/>
      <w:marBottom w:val="0"/>
      <w:divBdr>
        <w:top w:val="none" w:sz="0" w:space="0" w:color="auto"/>
        <w:left w:val="none" w:sz="0" w:space="0" w:color="auto"/>
        <w:bottom w:val="none" w:sz="0" w:space="0" w:color="auto"/>
        <w:right w:val="none" w:sz="0" w:space="0" w:color="auto"/>
      </w:divBdr>
    </w:div>
    <w:div w:id="868296480">
      <w:bodyDiv w:val="1"/>
      <w:marLeft w:val="0"/>
      <w:marRight w:val="0"/>
      <w:marTop w:val="0"/>
      <w:marBottom w:val="0"/>
      <w:divBdr>
        <w:top w:val="none" w:sz="0" w:space="0" w:color="auto"/>
        <w:left w:val="none" w:sz="0" w:space="0" w:color="auto"/>
        <w:bottom w:val="none" w:sz="0" w:space="0" w:color="auto"/>
        <w:right w:val="none" w:sz="0" w:space="0" w:color="auto"/>
      </w:divBdr>
    </w:div>
    <w:div w:id="874194501">
      <w:bodyDiv w:val="1"/>
      <w:marLeft w:val="0"/>
      <w:marRight w:val="0"/>
      <w:marTop w:val="0"/>
      <w:marBottom w:val="0"/>
      <w:divBdr>
        <w:top w:val="none" w:sz="0" w:space="0" w:color="auto"/>
        <w:left w:val="none" w:sz="0" w:space="0" w:color="auto"/>
        <w:bottom w:val="none" w:sz="0" w:space="0" w:color="auto"/>
        <w:right w:val="none" w:sz="0" w:space="0" w:color="auto"/>
      </w:divBdr>
    </w:div>
    <w:div w:id="878011045">
      <w:bodyDiv w:val="1"/>
      <w:marLeft w:val="0"/>
      <w:marRight w:val="0"/>
      <w:marTop w:val="0"/>
      <w:marBottom w:val="0"/>
      <w:divBdr>
        <w:top w:val="none" w:sz="0" w:space="0" w:color="auto"/>
        <w:left w:val="none" w:sz="0" w:space="0" w:color="auto"/>
        <w:bottom w:val="none" w:sz="0" w:space="0" w:color="auto"/>
        <w:right w:val="none" w:sz="0" w:space="0" w:color="auto"/>
      </w:divBdr>
    </w:div>
    <w:div w:id="884871702">
      <w:bodyDiv w:val="1"/>
      <w:marLeft w:val="0"/>
      <w:marRight w:val="0"/>
      <w:marTop w:val="0"/>
      <w:marBottom w:val="0"/>
      <w:divBdr>
        <w:top w:val="none" w:sz="0" w:space="0" w:color="auto"/>
        <w:left w:val="none" w:sz="0" w:space="0" w:color="auto"/>
        <w:bottom w:val="none" w:sz="0" w:space="0" w:color="auto"/>
        <w:right w:val="none" w:sz="0" w:space="0" w:color="auto"/>
      </w:divBdr>
    </w:div>
    <w:div w:id="886257659">
      <w:bodyDiv w:val="1"/>
      <w:marLeft w:val="0"/>
      <w:marRight w:val="0"/>
      <w:marTop w:val="0"/>
      <w:marBottom w:val="0"/>
      <w:divBdr>
        <w:top w:val="none" w:sz="0" w:space="0" w:color="auto"/>
        <w:left w:val="none" w:sz="0" w:space="0" w:color="auto"/>
        <w:bottom w:val="none" w:sz="0" w:space="0" w:color="auto"/>
        <w:right w:val="none" w:sz="0" w:space="0" w:color="auto"/>
      </w:divBdr>
    </w:div>
    <w:div w:id="901597470">
      <w:bodyDiv w:val="1"/>
      <w:marLeft w:val="0"/>
      <w:marRight w:val="0"/>
      <w:marTop w:val="0"/>
      <w:marBottom w:val="0"/>
      <w:divBdr>
        <w:top w:val="none" w:sz="0" w:space="0" w:color="auto"/>
        <w:left w:val="none" w:sz="0" w:space="0" w:color="auto"/>
        <w:bottom w:val="none" w:sz="0" w:space="0" w:color="auto"/>
        <w:right w:val="none" w:sz="0" w:space="0" w:color="auto"/>
      </w:divBdr>
    </w:div>
    <w:div w:id="904146043">
      <w:bodyDiv w:val="1"/>
      <w:marLeft w:val="0"/>
      <w:marRight w:val="0"/>
      <w:marTop w:val="0"/>
      <w:marBottom w:val="0"/>
      <w:divBdr>
        <w:top w:val="none" w:sz="0" w:space="0" w:color="auto"/>
        <w:left w:val="none" w:sz="0" w:space="0" w:color="auto"/>
        <w:bottom w:val="none" w:sz="0" w:space="0" w:color="auto"/>
        <w:right w:val="none" w:sz="0" w:space="0" w:color="auto"/>
      </w:divBdr>
    </w:div>
    <w:div w:id="910237461">
      <w:bodyDiv w:val="1"/>
      <w:marLeft w:val="0"/>
      <w:marRight w:val="0"/>
      <w:marTop w:val="0"/>
      <w:marBottom w:val="0"/>
      <w:divBdr>
        <w:top w:val="none" w:sz="0" w:space="0" w:color="auto"/>
        <w:left w:val="none" w:sz="0" w:space="0" w:color="auto"/>
        <w:bottom w:val="none" w:sz="0" w:space="0" w:color="auto"/>
        <w:right w:val="none" w:sz="0" w:space="0" w:color="auto"/>
      </w:divBdr>
    </w:div>
    <w:div w:id="929699939">
      <w:bodyDiv w:val="1"/>
      <w:marLeft w:val="0"/>
      <w:marRight w:val="0"/>
      <w:marTop w:val="0"/>
      <w:marBottom w:val="0"/>
      <w:divBdr>
        <w:top w:val="none" w:sz="0" w:space="0" w:color="auto"/>
        <w:left w:val="none" w:sz="0" w:space="0" w:color="auto"/>
        <w:bottom w:val="none" w:sz="0" w:space="0" w:color="auto"/>
        <w:right w:val="none" w:sz="0" w:space="0" w:color="auto"/>
      </w:divBdr>
    </w:div>
    <w:div w:id="937299652">
      <w:bodyDiv w:val="1"/>
      <w:marLeft w:val="0"/>
      <w:marRight w:val="0"/>
      <w:marTop w:val="0"/>
      <w:marBottom w:val="0"/>
      <w:divBdr>
        <w:top w:val="none" w:sz="0" w:space="0" w:color="auto"/>
        <w:left w:val="none" w:sz="0" w:space="0" w:color="auto"/>
        <w:bottom w:val="none" w:sz="0" w:space="0" w:color="auto"/>
        <w:right w:val="none" w:sz="0" w:space="0" w:color="auto"/>
      </w:divBdr>
    </w:div>
    <w:div w:id="955520459">
      <w:bodyDiv w:val="1"/>
      <w:marLeft w:val="0"/>
      <w:marRight w:val="0"/>
      <w:marTop w:val="0"/>
      <w:marBottom w:val="0"/>
      <w:divBdr>
        <w:top w:val="none" w:sz="0" w:space="0" w:color="auto"/>
        <w:left w:val="none" w:sz="0" w:space="0" w:color="auto"/>
        <w:bottom w:val="none" w:sz="0" w:space="0" w:color="auto"/>
        <w:right w:val="none" w:sz="0" w:space="0" w:color="auto"/>
      </w:divBdr>
      <w:divsChild>
        <w:div w:id="164980557">
          <w:marLeft w:val="274"/>
          <w:marRight w:val="0"/>
          <w:marTop w:val="0"/>
          <w:marBottom w:val="120"/>
          <w:divBdr>
            <w:top w:val="none" w:sz="0" w:space="0" w:color="auto"/>
            <w:left w:val="none" w:sz="0" w:space="0" w:color="auto"/>
            <w:bottom w:val="none" w:sz="0" w:space="0" w:color="auto"/>
            <w:right w:val="none" w:sz="0" w:space="0" w:color="auto"/>
          </w:divBdr>
        </w:div>
        <w:div w:id="377823746">
          <w:marLeft w:val="274"/>
          <w:marRight w:val="0"/>
          <w:marTop w:val="0"/>
          <w:marBottom w:val="120"/>
          <w:divBdr>
            <w:top w:val="none" w:sz="0" w:space="0" w:color="auto"/>
            <w:left w:val="none" w:sz="0" w:space="0" w:color="auto"/>
            <w:bottom w:val="none" w:sz="0" w:space="0" w:color="auto"/>
            <w:right w:val="none" w:sz="0" w:space="0" w:color="auto"/>
          </w:divBdr>
        </w:div>
        <w:div w:id="976683557">
          <w:marLeft w:val="274"/>
          <w:marRight w:val="0"/>
          <w:marTop w:val="0"/>
          <w:marBottom w:val="120"/>
          <w:divBdr>
            <w:top w:val="none" w:sz="0" w:space="0" w:color="auto"/>
            <w:left w:val="none" w:sz="0" w:space="0" w:color="auto"/>
            <w:bottom w:val="none" w:sz="0" w:space="0" w:color="auto"/>
            <w:right w:val="none" w:sz="0" w:space="0" w:color="auto"/>
          </w:divBdr>
        </w:div>
        <w:div w:id="1036660725">
          <w:marLeft w:val="274"/>
          <w:marRight w:val="0"/>
          <w:marTop w:val="0"/>
          <w:marBottom w:val="120"/>
          <w:divBdr>
            <w:top w:val="none" w:sz="0" w:space="0" w:color="auto"/>
            <w:left w:val="none" w:sz="0" w:space="0" w:color="auto"/>
            <w:bottom w:val="none" w:sz="0" w:space="0" w:color="auto"/>
            <w:right w:val="none" w:sz="0" w:space="0" w:color="auto"/>
          </w:divBdr>
        </w:div>
        <w:div w:id="1348219495">
          <w:marLeft w:val="274"/>
          <w:marRight w:val="0"/>
          <w:marTop w:val="0"/>
          <w:marBottom w:val="120"/>
          <w:divBdr>
            <w:top w:val="none" w:sz="0" w:space="0" w:color="auto"/>
            <w:left w:val="none" w:sz="0" w:space="0" w:color="auto"/>
            <w:bottom w:val="none" w:sz="0" w:space="0" w:color="auto"/>
            <w:right w:val="none" w:sz="0" w:space="0" w:color="auto"/>
          </w:divBdr>
        </w:div>
        <w:div w:id="1470321941">
          <w:marLeft w:val="274"/>
          <w:marRight w:val="0"/>
          <w:marTop w:val="0"/>
          <w:marBottom w:val="120"/>
          <w:divBdr>
            <w:top w:val="none" w:sz="0" w:space="0" w:color="auto"/>
            <w:left w:val="none" w:sz="0" w:space="0" w:color="auto"/>
            <w:bottom w:val="none" w:sz="0" w:space="0" w:color="auto"/>
            <w:right w:val="none" w:sz="0" w:space="0" w:color="auto"/>
          </w:divBdr>
        </w:div>
        <w:div w:id="2023429640">
          <w:marLeft w:val="274"/>
          <w:marRight w:val="0"/>
          <w:marTop w:val="0"/>
          <w:marBottom w:val="120"/>
          <w:divBdr>
            <w:top w:val="none" w:sz="0" w:space="0" w:color="auto"/>
            <w:left w:val="none" w:sz="0" w:space="0" w:color="auto"/>
            <w:bottom w:val="none" w:sz="0" w:space="0" w:color="auto"/>
            <w:right w:val="none" w:sz="0" w:space="0" w:color="auto"/>
          </w:divBdr>
        </w:div>
      </w:divsChild>
    </w:div>
    <w:div w:id="975985282">
      <w:bodyDiv w:val="1"/>
      <w:marLeft w:val="0"/>
      <w:marRight w:val="0"/>
      <w:marTop w:val="0"/>
      <w:marBottom w:val="0"/>
      <w:divBdr>
        <w:top w:val="none" w:sz="0" w:space="0" w:color="auto"/>
        <w:left w:val="none" w:sz="0" w:space="0" w:color="auto"/>
        <w:bottom w:val="none" w:sz="0" w:space="0" w:color="auto"/>
        <w:right w:val="none" w:sz="0" w:space="0" w:color="auto"/>
      </w:divBdr>
    </w:div>
    <w:div w:id="1005327526">
      <w:bodyDiv w:val="1"/>
      <w:marLeft w:val="0"/>
      <w:marRight w:val="0"/>
      <w:marTop w:val="0"/>
      <w:marBottom w:val="0"/>
      <w:divBdr>
        <w:top w:val="none" w:sz="0" w:space="0" w:color="auto"/>
        <w:left w:val="none" w:sz="0" w:space="0" w:color="auto"/>
        <w:bottom w:val="none" w:sz="0" w:space="0" w:color="auto"/>
        <w:right w:val="none" w:sz="0" w:space="0" w:color="auto"/>
      </w:divBdr>
    </w:div>
    <w:div w:id="1006244922">
      <w:bodyDiv w:val="1"/>
      <w:marLeft w:val="0"/>
      <w:marRight w:val="0"/>
      <w:marTop w:val="0"/>
      <w:marBottom w:val="0"/>
      <w:divBdr>
        <w:top w:val="none" w:sz="0" w:space="0" w:color="auto"/>
        <w:left w:val="none" w:sz="0" w:space="0" w:color="auto"/>
        <w:bottom w:val="none" w:sz="0" w:space="0" w:color="auto"/>
        <w:right w:val="none" w:sz="0" w:space="0" w:color="auto"/>
      </w:divBdr>
    </w:div>
    <w:div w:id="1037466219">
      <w:bodyDiv w:val="1"/>
      <w:marLeft w:val="0"/>
      <w:marRight w:val="0"/>
      <w:marTop w:val="0"/>
      <w:marBottom w:val="0"/>
      <w:divBdr>
        <w:top w:val="none" w:sz="0" w:space="0" w:color="auto"/>
        <w:left w:val="none" w:sz="0" w:space="0" w:color="auto"/>
        <w:bottom w:val="none" w:sz="0" w:space="0" w:color="auto"/>
        <w:right w:val="none" w:sz="0" w:space="0" w:color="auto"/>
      </w:divBdr>
    </w:div>
    <w:div w:id="1047294877">
      <w:bodyDiv w:val="1"/>
      <w:marLeft w:val="0"/>
      <w:marRight w:val="0"/>
      <w:marTop w:val="0"/>
      <w:marBottom w:val="0"/>
      <w:divBdr>
        <w:top w:val="none" w:sz="0" w:space="0" w:color="auto"/>
        <w:left w:val="none" w:sz="0" w:space="0" w:color="auto"/>
        <w:bottom w:val="none" w:sz="0" w:space="0" w:color="auto"/>
        <w:right w:val="none" w:sz="0" w:space="0" w:color="auto"/>
      </w:divBdr>
    </w:div>
    <w:div w:id="1055814837">
      <w:bodyDiv w:val="1"/>
      <w:marLeft w:val="0"/>
      <w:marRight w:val="0"/>
      <w:marTop w:val="0"/>
      <w:marBottom w:val="0"/>
      <w:divBdr>
        <w:top w:val="none" w:sz="0" w:space="0" w:color="auto"/>
        <w:left w:val="none" w:sz="0" w:space="0" w:color="auto"/>
        <w:bottom w:val="none" w:sz="0" w:space="0" w:color="auto"/>
        <w:right w:val="none" w:sz="0" w:space="0" w:color="auto"/>
      </w:divBdr>
    </w:div>
    <w:div w:id="1058554493">
      <w:bodyDiv w:val="1"/>
      <w:marLeft w:val="0"/>
      <w:marRight w:val="0"/>
      <w:marTop w:val="0"/>
      <w:marBottom w:val="0"/>
      <w:divBdr>
        <w:top w:val="none" w:sz="0" w:space="0" w:color="auto"/>
        <w:left w:val="none" w:sz="0" w:space="0" w:color="auto"/>
        <w:bottom w:val="none" w:sz="0" w:space="0" w:color="auto"/>
        <w:right w:val="none" w:sz="0" w:space="0" w:color="auto"/>
      </w:divBdr>
    </w:div>
    <w:div w:id="1062754574">
      <w:bodyDiv w:val="1"/>
      <w:marLeft w:val="0"/>
      <w:marRight w:val="0"/>
      <w:marTop w:val="0"/>
      <w:marBottom w:val="0"/>
      <w:divBdr>
        <w:top w:val="none" w:sz="0" w:space="0" w:color="auto"/>
        <w:left w:val="none" w:sz="0" w:space="0" w:color="auto"/>
        <w:bottom w:val="none" w:sz="0" w:space="0" w:color="auto"/>
        <w:right w:val="none" w:sz="0" w:space="0" w:color="auto"/>
      </w:divBdr>
    </w:div>
    <w:div w:id="1073312771">
      <w:bodyDiv w:val="1"/>
      <w:marLeft w:val="0"/>
      <w:marRight w:val="0"/>
      <w:marTop w:val="0"/>
      <w:marBottom w:val="0"/>
      <w:divBdr>
        <w:top w:val="none" w:sz="0" w:space="0" w:color="auto"/>
        <w:left w:val="none" w:sz="0" w:space="0" w:color="auto"/>
        <w:bottom w:val="none" w:sz="0" w:space="0" w:color="auto"/>
        <w:right w:val="none" w:sz="0" w:space="0" w:color="auto"/>
      </w:divBdr>
    </w:div>
    <w:div w:id="1116946999">
      <w:bodyDiv w:val="1"/>
      <w:marLeft w:val="0"/>
      <w:marRight w:val="0"/>
      <w:marTop w:val="0"/>
      <w:marBottom w:val="0"/>
      <w:divBdr>
        <w:top w:val="none" w:sz="0" w:space="0" w:color="auto"/>
        <w:left w:val="none" w:sz="0" w:space="0" w:color="auto"/>
        <w:bottom w:val="none" w:sz="0" w:space="0" w:color="auto"/>
        <w:right w:val="none" w:sz="0" w:space="0" w:color="auto"/>
      </w:divBdr>
    </w:div>
    <w:div w:id="1137798715">
      <w:bodyDiv w:val="1"/>
      <w:marLeft w:val="0"/>
      <w:marRight w:val="0"/>
      <w:marTop w:val="0"/>
      <w:marBottom w:val="0"/>
      <w:divBdr>
        <w:top w:val="none" w:sz="0" w:space="0" w:color="auto"/>
        <w:left w:val="none" w:sz="0" w:space="0" w:color="auto"/>
        <w:bottom w:val="none" w:sz="0" w:space="0" w:color="auto"/>
        <w:right w:val="none" w:sz="0" w:space="0" w:color="auto"/>
      </w:divBdr>
    </w:div>
    <w:div w:id="1178813743">
      <w:bodyDiv w:val="1"/>
      <w:marLeft w:val="0"/>
      <w:marRight w:val="0"/>
      <w:marTop w:val="0"/>
      <w:marBottom w:val="0"/>
      <w:divBdr>
        <w:top w:val="none" w:sz="0" w:space="0" w:color="auto"/>
        <w:left w:val="none" w:sz="0" w:space="0" w:color="auto"/>
        <w:bottom w:val="none" w:sz="0" w:space="0" w:color="auto"/>
        <w:right w:val="none" w:sz="0" w:space="0" w:color="auto"/>
      </w:divBdr>
    </w:div>
    <w:div w:id="1204555572">
      <w:bodyDiv w:val="1"/>
      <w:marLeft w:val="0"/>
      <w:marRight w:val="0"/>
      <w:marTop w:val="0"/>
      <w:marBottom w:val="0"/>
      <w:divBdr>
        <w:top w:val="none" w:sz="0" w:space="0" w:color="auto"/>
        <w:left w:val="none" w:sz="0" w:space="0" w:color="auto"/>
        <w:bottom w:val="none" w:sz="0" w:space="0" w:color="auto"/>
        <w:right w:val="none" w:sz="0" w:space="0" w:color="auto"/>
      </w:divBdr>
    </w:div>
    <w:div w:id="1223298887">
      <w:bodyDiv w:val="1"/>
      <w:marLeft w:val="0"/>
      <w:marRight w:val="0"/>
      <w:marTop w:val="0"/>
      <w:marBottom w:val="0"/>
      <w:divBdr>
        <w:top w:val="none" w:sz="0" w:space="0" w:color="auto"/>
        <w:left w:val="none" w:sz="0" w:space="0" w:color="auto"/>
        <w:bottom w:val="none" w:sz="0" w:space="0" w:color="auto"/>
        <w:right w:val="none" w:sz="0" w:space="0" w:color="auto"/>
      </w:divBdr>
    </w:div>
    <w:div w:id="1225988660">
      <w:bodyDiv w:val="1"/>
      <w:marLeft w:val="0"/>
      <w:marRight w:val="0"/>
      <w:marTop w:val="0"/>
      <w:marBottom w:val="0"/>
      <w:divBdr>
        <w:top w:val="none" w:sz="0" w:space="0" w:color="auto"/>
        <w:left w:val="none" w:sz="0" w:space="0" w:color="auto"/>
        <w:bottom w:val="none" w:sz="0" w:space="0" w:color="auto"/>
        <w:right w:val="none" w:sz="0" w:space="0" w:color="auto"/>
      </w:divBdr>
    </w:div>
    <w:div w:id="1230581047">
      <w:bodyDiv w:val="1"/>
      <w:marLeft w:val="0"/>
      <w:marRight w:val="0"/>
      <w:marTop w:val="0"/>
      <w:marBottom w:val="0"/>
      <w:divBdr>
        <w:top w:val="none" w:sz="0" w:space="0" w:color="auto"/>
        <w:left w:val="none" w:sz="0" w:space="0" w:color="auto"/>
        <w:bottom w:val="none" w:sz="0" w:space="0" w:color="auto"/>
        <w:right w:val="none" w:sz="0" w:space="0" w:color="auto"/>
      </w:divBdr>
    </w:div>
    <w:div w:id="1234044947">
      <w:bodyDiv w:val="1"/>
      <w:marLeft w:val="0"/>
      <w:marRight w:val="0"/>
      <w:marTop w:val="0"/>
      <w:marBottom w:val="0"/>
      <w:divBdr>
        <w:top w:val="none" w:sz="0" w:space="0" w:color="auto"/>
        <w:left w:val="none" w:sz="0" w:space="0" w:color="auto"/>
        <w:bottom w:val="none" w:sz="0" w:space="0" w:color="auto"/>
        <w:right w:val="none" w:sz="0" w:space="0" w:color="auto"/>
      </w:divBdr>
    </w:div>
    <w:div w:id="1247963230">
      <w:bodyDiv w:val="1"/>
      <w:marLeft w:val="0"/>
      <w:marRight w:val="0"/>
      <w:marTop w:val="0"/>
      <w:marBottom w:val="0"/>
      <w:divBdr>
        <w:top w:val="none" w:sz="0" w:space="0" w:color="auto"/>
        <w:left w:val="none" w:sz="0" w:space="0" w:color="auto"/>
        <w:bottom w:val="none" w:sz="0" w:space="0" w:color="auto"/>
        <w:right w:val="none" w:sz="0" w:space="0" w:color="auto"/>
      </w:divBdr>
    </w:div>
    <w:div w:id="1250501901">
      <w:bodyDiv w:val="1"/>
      <w:marLeft w:val="0"/>
      <w:marRight w:val="0"/>
      <w:marTop w:val="0"/>
      <w:marBottom w:val="0"/>
      <w:divBdr>
        <w:top w:val="none" w:sz="0" w:space="0" w:color="auto"/>
        <w:left w:val="none" w:sz="0" w:space="0" w:color="auto"/>
        <w:bottom w:val="none" w:sz="0" w:space="0" w:color="auto"/>
        <w:right w:val="none" w:sz="0" w:space="0" w:color="auto"/>
      </w:divBdr>
    </w:div>
    <w:div w:id="1252619505">
      <w:bodyDiv w:val="1"/>
      <w:marLeft w:val="0"/>
      <w:marRight w:val="0"/>
      <w:marTop w:val="0"/>
      <w:marBottom w:val="0"/>
      <w:divBdr>
        <w:top w:val="none" w:sz="0" w:space="0" w:color="auto"/>
        <w:left w:val="none" w:sz="0" w:space="0" w:color="auto"/>
        <w:bottom w:val="none" w:sz="0" w:space="0" w:color="auto"/>
        <w:right w:val="none" w:sz="0" w:space="0" w:color="auto"/>
      </w:divBdr>
    </w:div>
    <w:div w:id="1364137683">
      <w:bodyDiv w:val="1"/>
      <w:marLeft w:val="0"/>
      <w:marRight w:val="0"/>
      <w:marTop w:val="0"/>
      <w:marBottom w:val="0"/>
      <w:divBdr>
        <w:top w:val="none" w:sz="0" w:space="0" w:color="auto"/>
        <w:left w:val="none" w:sz="0" w:space="0" w:color="auto"/>
        <w:bottom w:val="none" w:sz="0" w:space="0" w:color="auto"/>
        <w:right w:val="none" w:sz="0" w:space="0" w:color="auto"/>
      </w:divBdr>
    </w:div>
    <w:div w:id="1377698507">
      <w:bodyDiv w:val="1"/>
      <w:marLeft w:val="0"/>
      <w:marRight w:val="0"/>
      <w:marTop w:val="0"/>
      <w:marBottom w:val="0"/>
      <w:divBdr>
        <w:top w:val="none" w:sz="0" w:space="0" w:color="auto"/>
        <w:left w:val="none" w:sz="0" w:space="0" w:color="auto"/>
        <w:bottom w:val="none" w:sz="0" w:space="0" w:color="auto"/>
        <w:right w:val="none" w:sz="0" w:space="0" w:color="auto"/>
      </w:divBdr>
    </w:div>
    <w:div w:id="1394622571">
      <w:bodyDiv w:val="1"/>
      <w:marLeft w:val="0"/>
      <w:marRight w:val="0"/>
      <w:marTop w:val="0"/>
      <w:marBottom w:val="0"/>
      <w:divBdr>
        <w:top w:val="none" w:sz="0" w:space="0" w:color="auto"/>
        <w:left w:val="none" w:sz="0" w:space="0" w:color="auto"/>
        <w:bottom w:val="none" w:sz="0" w:space="0" w:color="auto"/>
        <w:right w:val="none" w:sz="0" w:space="0" w:color="auto"/>
      </w:divBdr>
    </w:div>
    <w:div w:id="1405566398">
      <w:bodyDiv w:val="1"/>
      <w:marLeft w:val="0"/>
      <w:marRight w:val="0"/>
      <w:marTop w:val="0"/>
      <w:marBottom w:val="0"/>
      <w:divBdr>
        <w:top w:val="none" w:sz="0" w:space="0" w:color="auto"/>
        <w:left w:val="none" w:sz="0" w:space="0" w:color="auto"/>
        <w:bottom w:val="none" w:sz="0" w:space="0" w:color="auto"/>
        <w:right w:val="none" w:sz="0" w:space="0" w:color="auto"/>
      </w:divBdr>
    </w:div>
    <w:div w:id="1408773010">
      <w:bodyDiv w:val="1"/>
      <w:marLeft w:val="0"/>
      <w:marRight w:val="0"/>
      <w:marTop w:val="0"/>
      <w:marBottom w:val="0"/>
      <w:divBdr>
        <w:top w:val="none" w:sz="0" w:space="0" w:color="auto"/>
        <w:left w:val="none" w:sz="0" w:space="0" w:color="auto"/>
        <w:bottom w:val="none" w:sz="0" w:space="0" w:color="auto"/>
        <w:right w:val="none" w:sz="0" w:space="0" w:color="auto"/>
      </w:divBdr>
    </w:div>
    <w:div w:id="1433239139">
      <w:bodyDiv w:val="1"/>
      <w:marLeft w:val="0"/>
      <w:marRight w:val="0"/>
      <w:marTop w:val="0"/>
      <w:marBottom w:val="0"/>
      <w:divBdr>
        <w:top w:val="none" w:sz="0" w:space="0" w:color="auto"/>
        <w:left w:val="none" w:sz="0" w:space="0" w:color="auto"/>
        <w:bottom w:val="none" w:sz="0" w:space="0" w:color="auto"/>
        <w:right w:val="none" w:sz="0" w:space="0" w:color="auto"/>
      </w:divBdr>
    </w:div>
    <w:div w:id="1439983414">
      <w:bodyDiv w:val="1"/>
      <w:marLeft w:val="0"/>
      <w:marRight w:val="0"/>
      <w:marTop w:val="0"/>
      <w:marBottom w:val="0"/>
      <w:divBdr>
        <w:top w:val="none" w:sz="0" w:space="0" w:color="auto"/>
        <w:left w:val="none" w:sz="0" w:space="0" w:color="auto"/>
        <w:bottom w:val="none" w:sz="0" w:space="0" w:color="auto"/>
        <w:right w:val="none" w:sz="0" w:space="0" w:color="auto"/>
      </w:divBdr>
    </w:div>
    <w:div w:id="1450903239">
      <w:bodyDiv w:val="1"/>
      <w:marLeft w:val="0"/>
      <w:marRight w:val="0"/>
      <w:marTop w:val="0"/>
      <w:marBottom w:val="0"/>
      <w:divBdr>
        <w:top w:val="none" w:sz="0" w:space="0" w:color="auto"/>
        <w:left w:val="none" w:sz="0" w:space="0" w:color="auto"/>
        <w:bottom w:val="none" w:sz="0" w:space="0" w:color="auto"/>
        <w:right w:val="none" w:sz="0" w:space="0" w:color="auto"/>
      </w:divBdr>
    </w:div>
    <w:div w:id="1484083296">
      <w:bodyDiv w:val="1"/>
      <w:marLeft w:val="0"/>
      <w:marRight w:val="0"/>
      <w:marTop w:val="0"/>
      <w:marBottom w:val="0"/>
      <w:divBdr>
        <w:top w:val="none" w:sz="0" w:space="0" w:color="auto"/>
        <w:left w:val="none" w:sz="0" w:space="0" w:color="auto"/>
        <w:bottom w:val="none" w:sz="0" w:space="0" w:color="auto"/>
        <w:right w:val="none" w:sz="0" w:space="0" w:color="auto"/>
      </w:divBdr>
    </w:div>
    <w:div w:id="1503427585">
      <w:bodyDiv w:val="1"/>
      <w:marLeft w:val="0"/>
      <w:marRight w:val="0"/>
      <w:marTop w:val="0"/>
      <w:marBottom w:val="0"/>
      <w:divBdr>
        <w:top w:val="none" w:sz="0" w:space="0" w:color="auto"/>
        <w:left w:val="none" w:sz="0" w:space="0" w:color="auto"/>
        <w:bottom w:val="none" w:sz="0" w:space="0" w:color="auto"/>
        <w:right w:val="none" w:sz="0" w:space="0" w:color="auto"/>
      </w:divBdr>
    </w:div>
    <w:div w:id="1539508449">
      <w:bodyDiv w:val="1"/>
      <w:marLeft w:val="0"/>
      <w:marRight w:val="0"/>
      <w:marTop w:val="0"/>
      <w:marBottom w:val="0"/>
      <w:divBdr>
        <w:top w:val="none" w:sz="0" w:space="0" w:color="auto"/>
        <w:left w:val="none" w:sz="0" w:space="0" w:color="auto"/>
        <w:bottom w:val="none" w:sz="0" w:space="0" w:color="auto"/>
        <w:right w:val="none" w:sz="0" w:space="0" w:color="auto"/>
      </w:divBdr>
    </w:div>
    <w:div w:id="1541896736">
      <w:bodyDiv w:val="1"/>
      <w:marLeft w:val="0"/>
      <w:marRight w:val="0"/>
      <w:marTop w:val="0"/>
      <w:marBottom w:val="0"/>
      <w:divBdr>
        <w:top w:val="none" w:sz="0" w:space="0" w:color="auto"/>
        <w:left w:val="none" w:sz="0" w:space="0" w:color="auto"/>
        <w:bottom w:val="none" w:sz="0" w:space="0" w:color="auto"/>
        <w:right w:val="none" w:sz="0" w:space="0" w:color="auto"/>
      </w:divBdr>
    </w:div>
    <w:div w:id="1594892940">
      <w:bodyDiv w:val="1"/>
      <w:marLeft w:val="0"/>
      <w:marRight w:val="0"/>
      <w:marTop w:val="0"/>
      <w:marBottom w:val="0"/>
      <w:divBdr>
        <w:top w:val="none" w:sz="0" w:space="0" w:color="auto"/>
        <w:left w:val="none" w:sz="0" w:space="0" w:color="auto"/>
        <w:bottom w:val="none" w:sz="0" w:space="0" w:color="auto"/>
        <w:right w:val="none" w:sz="0" w:space="0" w:color="auto"/>
      </w:divBdr>
    </w:div>
    <w:div w:id="1620186702">
      <w:bodyDiv w:val="1"/>
      <w:marLeft w:val="0"/>
      <w:marRight w:val="0"/>
      <w:marTop w:val="0"/>
      <w:marBottom w:val="0"/>
      <w:divBdr>
        <w:top w:val="none" w:sz="0" w:space="0" w:color="auto"/>
        <w:left w:val="none" w:sz="0" w:space="0" w:color="auto"/>
        <w:bottom w:val="none" w:sz="0" w:space="0" w:color="auto"/>
        <w:right w:val="none" w:sz="0" w:space="0" w:color="auto"/>
      </w:divBdr>
    </w:div>
    <w:div w:id="1626963321">
      <w:bodyDiv w:val="1"/>
      <w:marLeft w:val="0"/>
      <w:marRight w:val="0"/>
      <w:marTop w:val="0"/>
      <w:marBottom w:val="0"/>
      <w:divBdr>
        <w:top w:val="none" w:sz="0" w:space="0" w:color="auto"/>
        <w:left w:val="none" w:sz="0" w:space="0" w:color="auto"/>
        <w:bottom w:val="none" w:sz="0" w:space="0" w:color="auto"/>
        <w:right w:val="none" w:sz="0" w:space="0" w:color="auto"/>
      </w:divBdr>
    </w:div>
    <w:div w:id="1641303719">
      <w:bodyDiv w:val="1"/>
      <w:marLeft w:val="0"/>
      <w:marRight w:val="0"/>
      <w:marTop w:val="0"/>
      <w:marBottom w:val="0"/>
      <w:divBdr>
        <w:top w:val="none" w:sz="0" w:space="0" w:color="auto"/>
        <w:left w:val="none" w:sz="0" w:space="0" w:color="auto"/>
        <w:bottom w:val="none" w:sz="0" w:space="0" w:color="auto"/>
        <w:right w:val="none" w:sz="0" w:space="0" w:color="auto"/>
      </w:divBdr>
    </w:div>
    <w:div w:id="1655448040">
      <w:bodyDiv w:val="1"/>
      <w:marLeft w:val="0"/>
      <w:marRight w:val="0"/>
      <w:marTop w:val="0"/>
      <w:marBottom w:val="0"/>
      <w:divBdr>
        <w:top w:val="none" w:sz="0" w:space="0" w:color="auto"/>
        <w:left w:val="none" w:sz="0" w:space="0" w:color="auto"/>
        <w:bottom w:val="none" w:sz="0" w:space="0" w:color="auto"/>
        <w:right w:val="none" w:sz="0" w:space="0" w:color="auto"/>
      </w:divBdr>
    </w:div>
    <w:div w:id="1663191214">
      <w:bodyDiv w:val="1"/>
      <w:marLeft w:val="0"/>
      <w:marRight w:val="0"/>
      <w:marTop w:val="0"/>
      <w:marBottom w:val="0"/>
      <w:divBdr>
        <w:top w:val="none" w:sz="0" w:space="0" w:color="auto"/>
        <w:left w:val="none" w:sz="0" w:space="0" w:color="auto"/>
        <w:bottom w:val="none" w:sz="0" w:space="0" w:color="auto"/>
        <w:right w:val="none" w:sz="0" w:space="0" w:color="auto"/>
      </w:divBdr>
    </w:div>
    <w:div w:id="1672180390">
      <w:bodyDiv w:val="1"/>
      <w:marLeft w:val="0"/>
      <w:marRight w:val="0"/>
      <w:marTop w:val="0"/>
      <w:marBottom w:val="0"/>
      <w:divBdr>
        <w:top w:val="none" w:sz="0" w:space="0" w:color="auto"/>
        <w:left w:val="none" w:sz="0" w:space="0" w:color="auto"/>
        <w:bottom w:val="none" w:sz="0" w:space="0" w:color="auto"/>
        <w:right w:val="none" w:sz="0" w:space="0" w:color="auto"/>
      </w:divBdr>
      <w:divsChild>
        <w:div w:id="1033195008">
          <w:marLeft w:val="0"/>
          <w:marRight w:val="0"/>
          <w:marTop w:val="0"/>
          <w:marBottom w:val="0"/>
          <w:divBdr>
            <w:top w:val="none" w:sz="0" w:space="0" w:color="auto"/>
            <w:left w:val="none" w:sz="0" w:space="0" w:color="auto"/>
            <w:bottom w:val="none" w:sz="0" w:space="0" w:color="auto"/>
            <w:right w:val="none" w:sz="0" w:space="0" w:color="auto"/>
          </w:divBdr>
        </w:div>
        <w:div w:id="1822386946">
          <w:marLeft w:val="0"/>
          <w:marRight w:val="0"/>
          <w:marTop w:val="0"/>
          <w:marBottom w:val="0"/>
          <w:divBdr>
            <w:top w:val="none" w:sz="0" w:space="0" w:color="auto"/>
            <w:left w:val="none" w:sz="0" w:space="0" w:color="auto"/>
            <w:bottom w:val="none" w:sz="0" w:space="0" w:color="auto"/>
            <w:right w:val="none" w:sz="0" w:space="0" w:color="auto"/>
          </w:divBdr>
        </w:div>
      </w:divsChild>
    </w:div>
    <w:div w:id="1704863598">
      <w:bodyDiv w:val="1"/>
      <w:marLeft w:val="0"/>
      <w:marRight w:val="0"/>
      <w:marTop w:val="0"/>
      <w:marBottom w:val="0"/>
      <w:divBdr>
        <w:top w:val="none" w:sz="0" w:space="0" w:color="auto"/>
        <w:left w:val="none" w:sz="0" w:space="0" w:color="auto"/>
        <w:bottom w:val="none" w:sz="0" w:space="0" w:color="auto"/>
        <w:right w:val="none" w:sz="0" w:space="0" w:color="auto"/>
      </w:divBdr>
    </w:div>
    <w:div w:id="1726447016">
      <w:bodyDiv w:val="1"/>
      <w:marLeft w:val="0"/>
      <w:marRight w:val="0"/>
      <w:marTop w:val="0"/>
      <w:marBottom w:val="0"/>
      <w:divBdr>
        <w:top w:val="none" w:sz="0" w:space="0" w:color="auto"/>
        <w:left w:val="none" w:sz="0" w:space="0" w:color="auto"/>
        <w:bottom w:val="none" w:sz="0" w:space="0" w:color="auto"/>
        <w:right w:val="none" w:sz="0" w:space="0" w:color="auto"/>
      </w:divBdr>
    </w:div>
    <w:div w:id="1756629849">
      <w:bodyDiv w:val="1"/>
      <w:marLeft w:val="0"/>
      <w:marRight w:val="0"/>
      <w:marTop w:val="0"/>
      <w:marBottom w:val="0"/>
      <w:divBdr>
        <w:top w:val="none" w:sz="0" w:space="0" w:color="auto"/>
        <w:left w:val="none" w:sz="0" w:space="0" w:color="auto"/>
        <w:bottom w:val="none" w:sz="0" w:space="0" w:color="auto"/>
        <w:right w:val="none" w:sz="0" w:space="0" w:color="auto"/>
      </w:divBdr>
    </w:div>
    <w:div w:id="1772167672">
      <w:bodyDiv w:val="1"/>
      <w:marLeft w:val="0"/>
      <w:marRight w:val="0"/>
      <w:marTop w:val="0"/>
      <w:marBottom w:val="0"/>
      <w:divBdr>
        <w:top w:val="none" w:sz="0" w:space="0" w:color="auto"/>
        <w:left w:val="none" w:sz="0" w:space="0" w:color="auto"/>
        <w:bottom w:val="none" w:sz="0" w:space="0" w:color="auto"/>
        <w:right w:val="none" w:sz="0" w:space="0" w:color="auto"/>
      </w:divBdr>
    </w:div>
    <w:div w:id="1789858148">
      <w:bodyDiv w:val="1"/>
      <w:marLeft w:val="0"/>
      <w:marRight w:val="0"/>
      <w:marTop w:val="0"/>
      <w:marBottom w:val="0"/>
      <w:divBdr>
        <w:top w:val="none" w:sz="0" w:space="0" w:color="auto"/>
        <w:left w:val="none" w:sz="0" w:space="0" w:color="auto"/>
        <w:bottom w:val="none" w:sz="0" w:space="0" w:color="auto"/>
        <w:right w:val="none" w:sz="0" w:space="0" w:color="auto"/>
      </w:divBdr>
    </w:div>
    <w:div w:id="1796482722">
      <w:bodyDiv w:val="1"/>
      <w:marLeft w:val="0"/>
      <w:marRight w:val="0"/>
      <w:marTop w:val="0"/>
      <w:marBottom w:val="0"/>
      <w:divBdr>
        <w:top w:val="none" w:sz="0" w:space="0" w:color="auto"/>
        <w:left w:val="none" w:sz="0" w:space="0" w:color="auto"/>
        <w:bottom w:val="none" w:sz="0" w:space="0" w:color="auto"/>
        <w:right w:val="none" w:sz="0" w:space="0" w:color="auto"/>
      </w:divBdr>
    </w:div>
    <w:div w:id="1822579509">
      <w:bodyDiv w:val="1"/>
      <w:marLeft w:val="0"/>
      <w:marRight w:val="0"/>
      <w:marTop w:val="0"/>
      <w:marBottom w:val="0"/>
      <w:divBdr>
        <w:top w:val="none" w:sz="0" w:space="0" w:color="auto"/>
        <w:left w:val="none" w:sz="0" w:space="0" w:color="auto"/>
        <w:bottom w:val="none" w:sz="0" w:space="0" w:color="auto"/>
        <w:right w:val="none" w:sz="0" w:space="0" w:color="auto"/>
      </w:divBdr>
    </w:div>
    <w:div w:id="1873229301">
      <w:bodyDiv w:val="1"/>
      <w:marLeft w:val="0"/>
      <w:marRight w:val="0"/>
      <w:marTop w:val="0"/>
      <w:marBottom w:val="0"/>
      <w:divBdr>
        <w:top w:val="none" w:sz="0" w:space="0" w:color="auto"/>
        <w:left w:val="none" w:sz="0" w:space="0" w:color="auto"/>
        <w:bottom w:val="none" w:sz="0" w:space="0" w:color="auto"/>
        <w:right w:val="none" w:sz="0" w:space="0" w:color="auto"/>
      </w:divBdr>
    </w:div>
    <w:div w:id="1896578738">
      <w:bodyDiv w:val="1"/>
      <w:marLeft w:val="0"/>
      <w:marRight w:val="0"/>
      <w:marTop w:val="0"/>
      <w:marBottom w:val="0"/>
      <w:divBdr>
        <w:top w:val="none" w:sz="0" w:space="0" w:color="auto"/>
        <w:left w:val="none" w:sz="0" w:space="0" w:color="auto"/>
        <w:bottom w:val="none" w:sz="0" w:space="0" w:color="auto"/>
        <w:right w:val="none" w:sz="0" w:space="0" w:color="auto"/>
      </w:divBdr>
    </w:div>
    <w:div w:id="1911888826">
      <w:bodyDiv w:val="1"/>
      <w:marLeft w:val="0"/>
      <w:marRight w:val="0"/>
      <w:marTop w:val="0"/>
      <w:marBottom w:val="0"/>
      <w:divBdr>
        <w:top w:val="none" w:sz="0" w:space="0" w:color="auto"/>
        <w:left w:val="none" w:sz="0" w:space="0" w:color="auto"/>
        <w:bottom w:val="none" w:sz="0" w:space="0" w:color="auto"/>
        <w:right w:val="none" w:sz="0" w:space="0" w:color="auto"/>
      </w:divBdr>
    </w:div>
    <w:div w:id="1919559370">
      <w:bodyDiv w:val="1"/>
      <w:marLeft w:val="0"/>
      <w:marRight w:val="0"/>
      <w:marTop w:val="0"/>
      <w:marBottom w:val="0"/>
      <w:divBdr>
        <w:top w:val="none" w:sz="0" w:space="0" w:color="auto"/>
        <w:left w:val="none" w:sz="0" w:space="0" w:color="auto"/>
        <w:bottom w:val="none" w:sz="0" w:space="0" w:color="auto"/>
        <w:right w:val="none" w:sz="0" w:space="0" w:color="auto"/>
      </w:divBdr>
    </w:div>
    <w:div w:id="1920365671">
      <w:bodyDiv w:val="1"/>
      <w:marLeft w:val="0"/>
      <w:marRight w:val="0"/>
      <w:marTop w:val="0"/>
      <w:marBottom w:val="0"/>
      <w:divBdr>
        <w:top w:val="none" w:sz="0" w:space="0" w:color="auto"/>
        <w:left w:val="none" w:sz="0" w:space="0" w:color="auto"/>
        <w:bottom w:val="none" w:sz="0" w:space="0" w:color="auto"/>
        <w:right w:val="none" w:sz="0" w:space="0" w:color="auto"/>
      </w:divBdr>
    </w:div>
    <w:div w:id="1976719788">
      <w:bodyDiv w:val="1"/>
      <w:marLeft w:val="0"/>
      <w:marRight w:val="0"/>
      <w:marTop w:val="0"/>
      <w:marBottom w:val="0"/>
      <w:divBdr>
        <w:top w:val="none" w:sz="0" w:space="0" w:color="auto"/>
        <w:left w:val="none" w:sz="0" w:space="0" w:color="auto"/>
        <w:bottom w:val="none" w:sz="0" w:space="0" w:color="auto"/>
        <w:right w:val="none" w:sz="0" w:space="0" w:color="auto"/>
      </w:divBdr>
    </w:div>
    <w:div w:id="1980724120">
      <w:bodyDiv w:val="1"/>
      <w:marLeft w:val="0"/>
      <w:marRight w:val="0"/>
      <w:marTop w:val="0"/>
      <w:marBottom w:val="0"/>
      <w:divBdr>
        <w:top w:val="none" w:sz="0" w:space="0" w:color="auto"/>
        <w:left w:val="none" w:sz="0" w:space="0" w:color="auto"/>
        <w:bottom w:val="none" w:sz="0" w:space="0" w:color="auto"/>
        <w:right w:val="none" w:sz="0" w:space="0" w:color="auto"/>
      </w:divBdr>
    </w:div>
    <w:div w:id="1982222992">
      <w:bodyDiv w:val="1"/>
      <w:marLeft w:val="0"/>
      <w:marRight w:val="0"/>
      <w:marTop w:val="0"/>
      <w:marBottom w:val="0"/>
      <w:divBdr>
        <w:top w:val="none" w:sz="0" w:space="0" w:color="auto"/>
        <w:left w:val="none" w:sz="0" w:space="0" w:color="auto"/>
        <w:bottom w:val="none" w:sz="0" w:space="0" w:color="auto"/>
        <w:right w:val="none" w:sz="0" w:space="0" w:color="auto"/>
      </w:divBdr>
    </w:div>
    <w:div w:id="1992824707">
      <w:bodyDiv w:val="1"/>
      <w:marLeft w:val="0"/>
      <w:marRight w:val="0"/>
      <w:marTop w:val="0"/>
      <w:marBottom w:val="0"/>
      <w:divBdr>
        <w:top w:val="none" w:sz="0" w:space="0" w:color="auto"/>
        <w:left w:val="none" w:sz="0" w:space="0" w:color="auto"/>
        <w:bottom w:val="none" w:sz="0" w:space="0" w:color="auto"/>
        <w:right w:val="none" w:sz="0" w:space="0" w:color="auto"/>
      </w:divBdr>
    </w:div>
    <w:div w:id="2009089269">
      <w:bodyDiv w:val="1"/>
      <w:marLeft w:val="0"/>
      <w:marRight w:val="0"/>
      <w:marTop w:val="0"/>
      <w:marBottom w:val="0"/>
      <w:divBdr>
        <w:top w:val="none" w:sz="0" w:space="0" w:color="auto"/>
        <w:left w:val="none" w:sz="0" w:space="0" w:color="auto"/>
        <w:bottom w:val="none" w:sz="0" w:space="0" w:color="auto"/>
        <w:right w:val="none" w:sz="0" w:space="0" w:color="auto"/>
      </w:divBdr>
    </w:div>
    <w:div w:id="2053646489">
      <w:bodyDiv w:val="1"/>
      <w:marLeft w:val="0"/>
      <w:marRight w:val="0"/>
      <w:marTop w:val="0"/>
      <w:marBottom w:val="0"/>
      <w:divBdr>
        <w:top w:val="none" w:sz="0" w:space="0" w:color="auto"/>
        <w:left w:val="none" w:sz="0" w:space="0" w:color="auto"/>
        <w:bottom w:val="none" w:sz="0" w:space="0" w:color="auto"/>
        <w:right w:val="none" w:sz="0" w:space="0" w:color="auto"/>
      </w:divBdr>
    </w:div>
    <w:div w:id="21233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jpeg"/><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yperlink" Target="http://www.deloitte.com/au/deloitte-access-economics"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www.deloitte.com/au/deloitte-access-economic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oter" Target="footer8.xml"/><Relationship Id="rId30"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content.royalcommission.vic.gov.au/sites/default/files/2020-12/0387_RC_Covid-19%20Final%20Report_Volume%201%2B2_Digital.pdf" TargetMode="External"/><Relationship Id="rId3" Type="http://schemas.openxmlformats.org/officeDocument/2006/relationships/hyperlink" Target="https://content.police.vic.gov.au/sites/default/files/2024-06/Victoria-Police-Fees-and-Charges-Private-Security-2024-2025.pdf" TargetMode="External"/><Relationship Id="rId7" Type="http://schemas.openxmlformats.org/officeDocument/2006/relationships/hyperlink" Target="https://engage.vic.gov.au/private-security-review-2020" TargetMode="External"/><Relationship Id="rId12" Type="http://schemas.openxmlformats.org/officeDocument/2006/relationships/hyperlink" Target="https://content.police.vic.gov.au/sites/default/files/2023-10/Victoria-Police-Annual-Report-2022-23.pdf" TargetMode="External"/><Relationship Id="rId2" Type="http://schemas.openxmlformats.org/officeDocument/2006/relationships/hyperlink" Target="https://www.lawreform.vic.gov.au/wp-content/uploads/2021/07/VLRC_Regulatory_Regimes_Report_for_web.pdf" TargetMode="External"/><Relationship Id="rId1" Type="http://schemas.openxmlformats.org/officeDocument/2006/relationships/hyperlink" Target="https://asial.com.au/common/Uploaded%20files/ASIAL_Public/Annual%20reports/Australian%20Security%20Industry%20Licensing%20Report%202024_final.pdf" TargetMode="External"/><Relationship Id="rId6" Type="http://schemas.openxmlformats.org/officeDocument/2006/relationships/hyperlink" Target="https://engage.vic.gov.au/private-security-review-2020" TargetMode="External"/><Relationship Id="rId11" Type="http://schemas.openxmlformats.org/officeDocument/2006/relationships/hyperlink" Target="https://www.police.vic.gov.au/private-security-eligibility-requirements-and-training" TargetMode="External"/><Relationship Id="rId5" Type="http://schemas.openxmlformats.org/officeDocument/2006/relationships/hyperlink" Target="https://www.police.vic.gov.au/applying-new-individual-licence-or-registration" TargetMode="External"/><Relationship Id="rId10" Type="http://schemas.openxmlformats.org/officeDocument/2006/relationships/hyperlink" Target="https://www.lawreform.vic.gov.au/wp-content/uploads/2021/07/VLRC_Regulatory_Regimes_Report_for_web.pdf" TargetMode="External"/><Relationship Id="rId4" Type="http://schemas.openxmlformats.org/officeDocument/2006/relationships/hyperlink" Target="https://www.police.vic.gov.au/eligibility-requirements-1" TargetMode="External"/><Relationship Id="rId9" Type="http://schemas.openxmlformats.org/officeDocument/2006/relationships/hyperlink" Target="https://asial.com.au/common/Uploaded%20files/ASIAL_Public/Annual%20reports/Australian%20Security%20Industry%20Licensing%20Report%202024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rossor\AppData\Local\Temp\Templafy\WordVsto\Report%20title%20&#8211;%20Subject%20matter%20of%20the%20report.dotx" TargetMode="External"/></Relationships>
</file>

<file path=word/theme/theme1.xml><?xml version="1.0" encoding="utf-8"?>
<a:theme xmlns:a="http://schemas.openxmlformats.org/drawingml/2006/main" name="Deloitte">
  <a:themeElements>
    <a:clrScheme name="Deloitte">
      <a:dk1>
        <a:srgbClr val="000000"/>
      </a:dk1>
      <a:lt1>
        <a:srgbClr val="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solidFill>
            <a:schemeClr val="accent3"/>
          </a:solidFill>
          <a:miter lim="800000"/>
          <a:headEnd/>
          <a:tailEnd/>
        </a:ln>
      </a:spPr>
      <a:bodyPr wrap="square" lIns="88900" tIns="88900" rIns="88900" bIns="88900" rtlCol="0" anchor="ctr"/>
      <a:lstStyle>
        <a:defPPr algn="ctr">
          <a:lnSpc>
            <a:spcPct val="106000"/>
          </a:lnSpc>
          <a:buFont typeface="Wingdings 2" pitchFamily="18" charset="2"/>
          <a:buNone/>
          <a:defRPr sz="1600" b="1" noProof="0" dirty="0" err="1" smtClean="0">
            <a:solidFill>
              <a:schemeClr val="bg1"/>
            </a:solidFill>
          </a:defRPr>
        </a:defPPr>
      </a:lstStyle>
    </a:spDef>
    <a:lnDef>
      <a:spPr>
        <a:ln>
          <a:solidFill>
            <a:srgbClr val="44546A"/>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34000" indent="-234000">
          <a:spcBef>
            <a:spcPts val="0"/>
          </a:spcBef>
          <a:spcAft>
            <a:spcPts val="1333"/>
          </a:spcAft>
          <a:buSzPct val="100000"/>
          <a:buFont typeface="Arial"/>
          <a:buChar char="•"/>
          <a:defRPr sz="1200" noProof="0" dirty="0" err="1" smtClean="0">
            <a:solidFill>
              <a:schemeClr val="tx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id="{020FA619-153C-4BC1-AB41-D999AE5EF9C3}" vid="{04C754E3-B662-48D8-B304-73D035B016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FormConfiguration><![CDATA[{"formFields":[{"distinct":false,"hideIfNoUserInteractionRequired":false,"required":false,"autoSelectFirstOption":false,"helpTexts":{},"spacing":{},"shareValue":false,"type":"dropDown","dataSourceName":"Disclaimers","dataSourceFieldName":"InternalExternal","name":"Disclaimer","label":"Audience"},{"distinct":false,"hideIfNoUserInteractionRequired":false,"required":false,"autoSelectFirstOption":false,"helpTexts":{},"spacing":{},"shareValue":false,"type":"dropDown","dataSourceName":"Confidentiality","dataSourceFieldName":"ShowName","name":"Classification","label":"Classification"}],"formDataEntries":[{"name":"Disclaimer","value":"vQiEy/OI7BTNdnfNJXE+7fChHEv2tpWm2VG7/haDOCg="},{"name":"Classification","value":"mRvYh7TaNsJZQMBft6kIsF7l5EGVlMSwNLL3IKabG9k="}]}]]></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BC Work Product Document" ma:contentTypeID="0x0101009E79101A590146B3A2E356B122FF9569000A46D5AB149CC64EA563322A251050A4" ma:contentTypeVersion="36" ma:contentTypeDescription="The main EBC record document" ma:contentTypeScope="" ma:versionID="ecb320805bd01ae86ed496323c936ddf">
  <xsd:schema xmlns:xsd="http://www.w3.org/2001/XMLSchema" xmlns:xs="http://www.w3.org/2001/XMLSchema" xmlns:p="http://schemas.microsoft.com/office/2006/metadata/properties" xmlns:ns2="02c6d125-7989-43ff-bfbe-9f7d126fcdbc" xmlns:ns3="db2b1066-7c81-4314-a392-6edc53ec027b" targetNamespace="http://schemas.microsoft.com/office/2006/metadata/properties" ma:root="true" ma:fieldsID="30386bc5992aadadcaee5b92d7f959f2" ns2:_="" ns3:_="">
    <xsd:import namespace="02c6d125-7989-43ff-bfbe-9f7d126fcdbc"/>
    <xsd:import namespace="db2b1066-7c81-4314-a392-6edc53ec027b"/>
    <xsd:element name="properties">
      <xsd:complexType>
        <xsd:sequence>
          <xsd:element name="documentManagement">
            <xsd:complexType>
              <xsd:all>
                <xsd:element ref="ns2:E2_TRIMDocumentRef"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6d125-7989-43ff-bfbe-9f7d126fcdbc" elementFormDefault="qualified">
    <xsd:import namespace="http://schemas.microsoft.com/office/2006/documentManagement/types"/>
    <xsd:import namespace="http://schemas.microsoft.com/office/infopath/2007/PartnerControls"/>
    <xsd:element name="E2_TRIMDocumentRef" ma:index="1" nillable="true" ma:displayName="TRIM Document Ref" ma:internalName="E2_TRIMDocument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b1066-7c81-4314-a392-6edc53ec027b" elementFormDefault="qualified">
    <xsd:import namespace="http://schemas.microsoft.com/office/2006/documentManagement/types"/>
    <xsd:import namespace="http://schemas.microsoft.com/office/infopath/2007/PartnerControls"/>
    <xsd:element name="lcf76f155ced4ddcb4097134ff3c332f" ma:index="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elementConfiguration":{"binding":"{{Form.Disclaimer.Disclaimer}}","visibility":"","removeAndKeepContent":false,"disableUpdates":false,"type":"text"},"type":"richTextContentControl","id":"c328ffd7-89e2-453b-884a-6fde2b3afc34"},{"elementConfiguration":{"binding":"{{Form.Classification.Confidential}}","visibility":"","removeAndKeepContent":false,"disableUpdates":false,"type":"text"},"type":"richTextContentControl","id":"8d38413d-2720-440e-8b10-a183e269ea28"},{"elementConfiguration":{"binding":"{{Form.Disclaimer.Disclaimer}}","visibility":"","removeAndKeepContent":false,"disableUpdates":false,"type":"text"},"type":"richTextContentControl","id":"c0a7ff2d-abc1-40ab-8e58-3c1ed5e00295"},{"elementConfiguration":{"binding":"{{Form.Classification.Confidential}}","visibility":"","removeAndKeepContent":false,"disableUpdates":false,"type":"text"},"type":"richTextContentControl","id":"f8000622-4dfc-4b63-a735-f72e9b62c7cf"}],"transformationConfigurations":[],"templateName":"DAE_Client Report","templateDescription":"","enableDocumentContentUpdater":fals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b2b1066-7c81-4314-a392-6edc53ec027b" xsi:nil="true"/>
    <E2_TRIMDocumentRef xmlns="02c6d125-7989-43ff-bfbe-9f7d126fcdbc" xsi:nil="true"/>
  </documentManagement>
</p:properties>
</file>

<file path=customXml/item7.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BF757EA-233F-4E89-A575-00CA7C9CB7E5}">
  <ds:schemaRefs/>
</ds:datastoreItem>
</file>

<file path=customXml/itemProps2.xml><?xml version="1.0" encoding="utf-8"?>
<ds:datastoreItem xmlns:ds="http://schemas.openxmlformats.org/officeDocument/2006/customXml" ds:itemID="{977EFF48-4961-46AB-BB20-2ED53F400C7B}">
  <ds:schemaRefs>
    <ds:schemaRef ds:uri="http://schemas.microsoft.com/sharepoint/v3/contenttype/forms"/>
  </ds:schemaRefs>
</ds:datastoreItem>
</file>

<file path=customXml/itemProps3.xml><?xml version="1.0" encoding="utf-8"?>
<ds:datastoreItem xmlns:ds="http://schemas.openxmlformats.org/officeDocument/2006/customXml" ds:itemID="{3507D5BB-7E61-4F23-9DDE-6402AD933A49}">
  <ds:schemaRefs>
    <ds:schemaRef ds:uri="http://schemas.openxmlformats.org/officeDocument/2006/bibliography"/>
  </ds:schemaRefs>
</ds:datastoreItem>
</file>

<file path=customXml/itemProps4.xml><?xml version="1.0" encoding="utf-8"?>
<ds:datastoreItem xmlns:ds="http://schemas.openxmlformats.org/officeDocument/2006/customXml" ds:itemID="{B5F94F43-8474-43D9-BA06-85E391C4E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6d125-7989-43ff-bfbe-9f7d126fcdbc"/>
    <ds:schemaRef ds:uri="db2b1066-7c81-4314-a392-6edc53ec0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8FC942-E05F-42E9-80A6-210C26397111}">
  <ds:schemaRefs/>
</ds:datastoreItem>
</file>

<file path=customXml/itemProps6.xml><?xml version="1.0" encoding="utf-8"?>
<ds:datastoreItem xmlns:ds="http://schemas.openxmlformats.org/officeDocument/2006/customXml" ds:itemID="{89F729B8-3C1F-4A62-9D6B-7AB9B26D51DE}">
  <ds:schemaRefs>
    <ds:schemaRef ds:uri="02c6d125-7989-43ff-bfbe-9f7d126fcdbc"/>
    <ds:schemaRef ds:uri="db2b1066-7c81-4314-a392-6edc53ec027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7.xml><?xml version="1.0" encoding="utf-8"?>
<ds:datastoreItem xmlns:ds="http://schemas.openxmlformats.org/officeDocument/2006/customXml" ds:itemID="{B2793F0E-95DF-420F-88E3-64A6804AFF7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Report title – Subject matter of the report.dotx</Template>
  <TotalTime>1</TotalTime>
  <Pages>59</Pages>
  <Words>24813</Words>
  <Characters>141438</Characters>
  <Application>Microsoft Office Word</Application>
  <DocSecurity>4</DocSecurity>
  <Lines>1178</Lines>
  <Paragraphs>331</Paragraphs>
  <ScaleCrop>false</ScaleCrop>
  <HeadingPairs>
    <vt:vector size="6" baseType="variant">
      <vt:variant>
        <vt:lpstr>Title</vt:lpstr>
      </vt:variant>
      <vt:variant>
        <vt:i4>1</vt:i4>
      </vt:variant>
      <vt:variant>
        <vt:lpstr>Titel</vt:lpstr>
      </vt:variant>
      <vt:variant>
        <vt:i4>1</vt:i4>
      </vt:variant>
      <vt:variant>
        <vt:lpstr>Overskrifter</vt:lpstr>
      </vt:variant>
      <vt:variant>
        <vt:i4>2</vt:i4>
      </vt:variant>
    </vt:vector>
  </HeadingPairs>
  <TitlesOfParts>
    <vt:vector size="4" baseType="lpstr">
      <vt:lpstr>Private Security Regulations 2025 – Regulatory Impact Statement</vt:lpstr>
      <vt:lpstr>Document title</vt:lpstr>
      <vt:lpstr/>
      <vt:lpstr>    </vt:lpstr>
    </vt:vector>
  </TitlesOfParts>
  <Company/>
  <LinksUpToDate>false</LinksUpToDate>
  <CharactersWithSpaces>165920</CharactersWithSpaces>
  <SharedDoc>false</SharedDoc>
  <HLinks>
    <vt:vector size="360" baseType="variant">
      <vt:variant>
        <vt:i4>1179705</vt:i4>
      </vt:variant>
      <vt:variant>
        <vt:i4>278</vt:i4>
      </vt:variant>
      <vt:variant>
        <vt:i4>0</vt:i4>
      </vt:variant>
      <vt:variant>
        <vt:i4>5</vt:i4>
      </vt:variant>
      <vt:variant>
        <vt:lpwstr/>
      </vt:variant>
      <vt:variant>
        <vt:lpwstr>_Toc189832276</vt:lpwstr>
      </vt:variant>
      <vt:variant>
        <vt:i4>1179705</vt:i4>
      </vt:variant>
      <vt:variant>
        <vt:i4>272</vt:i4>
      </vt:variant>
      <vt:variant>
        <vt:i4>0</vt:i4>
      </vt:variant>
      <vt:variant>
        <vt:i4>5</vt:i4>
      </vt:variant>
      <vt:variant>
        <vt:lpwstr/>
      </vt:variant>
      <vt:variant>
        <vt:lpwstr>_Toc189832275</vt:lpwstr>
      </vt:variant>
      <vt:variant>
        <vt:i4>1179705</vt:i4>
      </vt:variant>
      <vt:variant>
        <vt:i4>266</vt:i4>
      </vt:variant>
      <vt:variant>
        <vt:i4>0</vt:i4>
      </vt:variant>
      <vt:variant>
        <vt:i4>5</vt:i4>
      </vt:variant>
      <vt:variant>
        <vt:lpwstr/>
      </vt:variant>
      <vt:variant>
        <vt:lpwstr>_Toc189832274</vt:lpwstr>
      </vt:variant>
      <vt:variant>
        <vt:i4>1179705</vt:i4>
      </vt:variant>
      <vt:variant>
        <vt:i4>260</vt:i4>
      </vt:variant>
      <vt:variant>
        <vt:i4>0</vt:i4>
      </vt:variant>
      <vt:variant>
        <vt:i4>5</vt:i4>
      </vt:variant>
      <vt:variant>
        <vt:lpwstr/>
      </vt:variant>
      <vt:variant>
        <vt:lpwstr>_Toc189832273</vt:lpwstr>
      </vt:variant>
      <vt:variant>
        <vt:i4>1179705</vt:i4>
      </vt:variant>
      <vt:variant>
        <vt:i4>254</vt:i4>
      </vt:variant>
      <vt:variant>
        <vt:i4>0</vt:i4>
      </vt:variant>
      <vt:variant>
        <vt:i4>5</vt:i4>
      </vt:variant>
      <vt:variant>
        <vt:lpwstr/>
      </vt:variant>
      <vt:variant>
        <vt:lpwstr>_Toc189832272</vt:lpwstr>
      </vt:variant>
      <vt:variant>
        <vt:i4>1179705</vt:i4>
      </vt:variant>
      <vt:variant>
        <vt:i4>248</vt:i4>
      </vt:variant>
      <vt:variant>
        <vt:i4>0</vt:i4>
      </vt:variant>
      <vt:variant>
        <vt:i4>5</vt:i4>
      </vt:variant>
      <vt:variant>
        <vt:lpwstr/>
      </vt:variant>
      <vt:variant>
        <vt:lpwstr>_Toc189832271</vt:lpwstr>
      </vt:variant>
      <vt:variant>
        <vt:i4>1179705</vt:i4>
      </vt:variant>
      <vt:variant>
        <vt:i4>242</vt:i4>
      </vt:variant>
      <vt:variant>
        <vt:i4>0</vt:i4>
      </vt:variant>
      <vt:variant>
        <vt:i4>5</vt:i4>
      </vt:variant>
      <vt:variant>
        <vt:lpwstr/>
      </vt:variant>
      <vt:variant>
        <vt:lpwstr>_Toc189832270</vt:lpwstr>
      </vt:variant>
      <vt:variant>
        <vt:i4>1245241</vt:i4>
      </vt:variant>
      <vt:variant>
        <vt:i4>236</vt:i4>
      </vt:variant>
      <vt:variant>
        <vt:i4>0</vt:i4>
      </vt:variant>
      <vt:variant>
        <vt:i4>5</vt:i4>
      </vt:variant>
      <vt:variant>
        <vt:lpwstr/>
      </vt:variant>
      <vt:variant>
        <vt:lpwstr>_Toc189832269</vt:lpwstr>
      </vt:variant>
      <vt:variant>
        <vt:i4>1245241</vt:i4>
      </vt:variant>
      <vt:variant>
        <vt:i4>230</vt:i4>
      </vt:variant>
      <vt:variant>
        <vt:i4>0</vt:i4>
      </vt:variant>
      <vt:variant>
        <vt:i4>5</vt:i4>
      </vt:variant>
      <vt:variant>
        <vt:lpwstr/>
      </vt:variant>
      <vt:variant>
        <vt:lpwstr>_Toc189832268</vt:lpwstr>
      </vt:variant>
      <vt:variant>
        <vt:i4>1245241</vt:i4>
      </vt:variant>
      <vt:variant>
        <vt:i4>224</vt:i4>
      </vt:variant>
      <vt:variant>
        <vt:i4>0</vt:i4>
      </vt:variant>
      <vt:variant>
        <vt:i4>5</vt:i4>
      </vt:variant>
      <vt:variant>
        <vt:lpwstr/>
      </vt:variant>
      <vt:variant>
        <vt:lpwstr>_Toc189832267</vt:lpwstr>
      </vt:variant>
      <vt:variant>
        <vt:i4>1245241</vt:i4>
      </vt:variant>
      <vt:variant>
        <vt:i4>218</vt:i4>
      </vt:variant>
      <vt:variant>
        <vt:i4>0</vt:i4>
      </vt:variant>
      <vt:variant>
        <vt:i4>5</vt:i4>
      </vt:variant>
      <vt:variant>
        <vt:lpwstr/>
      </vt:variant>
      <vt:variant>
        <vt:lpwstr>_Toc189832266</vt:lpwstr>
      </vt:variant>
      <vt:variant>
        <vt:i4>1245241</vt:i4>
      </vt:variant>
      <vt:variant>
        <vt:i4>212</vt:i4>
      </vt:variant>
      <vt:variant>
        <vt:i4>0</vt:i4>
      </vt:variant>
      <vt:variant>
        <vt:i4>5</vt:i4>
      </vt:variant>
      <vt:variant>
        <vt:lpwstr/>
      </vt:variant>
      <vt:variant>
        <vt:lpwstr>_Toc189832265</vt:lpwstr>
      </vt:variant>
      <vt:variant>
        <vt:i4>1245241</vt:i4>
      </vt:variant>
      <vt:variant>
        <vt:i4>206</vt:i4>
      </vt:variant>
      <vt:variant>
        <vt:i4>0</vt:i4>
      </vt:variant>
      <vt:variant>
        <vt:i4>5</vt:i4>
      </vt:variant>
      <vt:variant>
        <vt:lpwstr/>
      </vt:variant>
      <vt:variant>
        <vt:lpwstr>_Toc189832264</vt:lpwstr>
      </vt:variant>
      <vt:variant>
        <vt:i4>1245241</vt:i4>
      </vt:variant>
      <vt:variant>
        <vt:i4>200</vt:i4>
      </vt:variant>
      <vt:variant>
        <vt:i4>0</vt:i4>
      </vt:variant>
      <vt:variant>
        <vt:i4>5</vt:i4>
      </vt:variant>
      <vt:variant>
        <vt:lpwstr/>
      </vt:variant>
      <vt:variant>
        <vt:lpwstr>_Toc189832263</vt:lpwstr>
      </vt:variant>
      <vt:variant>
        <vt:i4>1245241</vt:i4>
      </vt:variant>
      <vt:variant>
        <vt:i4>194</vt:i4>
      </vt:variant>
      <vt:variant>
        <vt:i4>0</vt:i4>
      </vt:variant>
      <vt:variant>
        <vt:i4>5</vt:i4>
      </vt:variant>
      <vt:variant>
        <vt:lpwstr/>
      </vt:variant>
      <vt:variant>
        <vt:lpwstr>_Toc189832262</vt:lpwstr>
      </vt:variant>
      <vt:variant>
        <vt:i4>1245241</vt:i4>
      </vt:variant>
      <vt:variant>
        <vt:i4>188</vt:i4>
      </vt:variant>
      <vt:variant>
        <vt:i4>0</vt:i4>
      </vt:variant>
      <vt:variant>
        <vt:i4>5</vt:i4>
      </vt:variant>
      <vt:variant>
        <vt:lpwstr/>
      </vt:variant>
      <vt:variant>
        <vt:lpwstr>_Toc189832261</vt:lpwstr>
      </vt:variant>
      <vt:variant>
        <vt:i4>1245241</vt:i4>
      </vt:variant>
      <vt:variant>
        <vt:i4>182</vt:i4>
      </vt:variant>
      <vt:variant>
        <vt:i4>0</vt:i4>
      </vt:variant>
      <vt:variant>
        <vt:i4>5</vt:i4>
      </vt:variant>
      <vt:variant>
        <vt:lpwstr/>
      </vt:variant>
      <vt:variant>
        <vt:lpwstr>_Toc189832260</vt:lpwstr>
      </vt:variant>
      <vt:variant>
        <vt:i4>1048633</vt:i4>
      </vt:variant>
      <vt:variant>
        <vt:i4>176</vt:i4>
      </vt:variant>
      <vt:variant>
        <vt:i4>0</vt:i4>
      </vt:variant>
      <vt:variant>
        <vt:i4>5</vt:i4>
      </vt:variant>
      <vt:variant>
        <vt:lpwstr/>
      </vt:variant>
      <vt:variant>
        <vt:lpwstr>_Toc189832259</vt:lpwstr>
      </vt:variant>
      <vt:variant>
        <vt:i4>1048633</vt:i4>
      </vt:variant>
      <vt:variant>
        <vt:i4>170</vt:i4>
      </vt:variant>
      <vt:variant>
        <vt:i4>0</vt:i4>
      </vt:variant>
      <vt:variant>
        <vt:i4>5</vt:i4>
      </vt:variant>
      <vt:variant>
        <vt:lpwstr/>
      </vt:variant>
      <vt:variant>
        <vt:lpwstr>_Toc189832258</vt:lpwstr>
      </vt:variant>
      <vt:variant>
        <vt:i4>1048633</vt:i4>
      </vt:variant>
      <vt:variant>
        <vt:i4>164</vt:i4>
      </vt:variant>
      <vt:variant>
        <vt:i4>0</vt:i4>
      </vt:variant>
      <vt:variant>
        <vt:i4>5</vt:i4>
      </vt:variant>
      <vt:variant>
        <vt:lpwstr/>
      </vt:variant>
      <vt:variant>
        <vt:lpwstr>_Toc189832257</vt:lpwstr>
      </vt:variant>
      <vt:variant>
        <vt:i4>1048633</vt:i4>
      </vt:variant>
      <vt:variant>
        <vt:i4>158</vt:i4>
      </vt:variant>
      <vt:variant>
        <vt:i4>0</vt:i4>
      </vt:variant>
      <vt:variant>
        <vt:i4>5</vt:i4>
      </vt:variant>
      <vt:variant>
        <vt:lpwstr/>
      </vt:variant>
      <vt:variant>
        <vt:lpwstr>_Toc189832256</vt:lpwstr>
      </vt:variant>
      <vt:variant>
        <vt:i4>1048633</vt:i4>
      </vt:variant>
      <vt:variant>
        <vt:i4>152</vt:i4>
      </vt:variant>
      <vt:variant>
        <vt:i4>0</vt:i4>
      </vt:variant>
      <vt:variant>
        <vt:i4>5</vt:i4>
      </vt:variant>
      <vt:variant>
        <vt:lpwstr/>
      </vt:variant>
      <vt:variant>
        <vt:lpwstr>_Toc189832255</vt:lpwstr>
      </vt:variant>
      <vt:variant>
        <vt:i4>1048633</vt:i4>
      </vt:variant>
      <vt:variant>
        <vt:i4>146</vt:i4>
      </vt:variant>
      <vt:variant>
        <vt:i4>0</vt:i4>
      </vt:variant>
      <vt:variant>
        <vt:i4>5</vt:i4>
      </vt:variant>
      <vt:variant>
        <vt:lpwstr/>
      </vt:variant>
      <vt:variant>
        <vt:lpwstr>_Toc189832254</vt:lpwstr>
      </vt:variant>
      <vt:variant>
        <vt:i4>1048633</vt:i4>
      </vt:variant>
      <vt:variant>
        <vt:i4>140</vt:i4>
      </vt:variant>
      <vt:variant>
        <vt:i4>0</vt:i4>
      </vt:variant>
      <vt:variant>
        <vt:i4>5</vt:i4>
      </vt:variant>
      <vt:variant>
        <vt:lpwstr/>
      </vt:variant>
      <vt:variant>
        <vt:lpwstr>_Toc189832253</vt:lpwstr>
      </vt:variant>
      <vt:variant>
        <vt:i4>1048633</vt:i4>
      </vt:variant>
      <vt:variant>
        <vt:i4>134</vt:i4>
      </vt:variant>
      <vt:variant>
        <vt:i4>0</vt:i4>
      </vt:variant>
      <vt:variant>
        <vt:i4>5</vt:i4>
      </vt:variant>
      <vt:variant>
        <vt:lpwstr/>
      </vt:variant>
      <vt:variant>
        <vt:lpwstr>_Toc189832252</vt:lpwstr>
      </vt:variant>
      <vt:variant>
        <vt:i4>1048633</vt:i4>
      </vt:variant>
      <vt:variant>
        <vt:i4>128</vt:i4>
      </vt:variant>
      <vt:variant>
        <vt:i4>0</vt:i4>
      </vt:variant>
      <vt:variant>
        <vt:i4>5</vt:i4>
      </vt:variant>
      <vt:variant>
        <vt:lpwstr/>
      </vt:variant>
      <vt:variant>
        <vt:lpwstr>_Toc189832251</vt:lpwstr>
      </vt:variant>
      <vt:variant>
        <vt:i4>1048633</vt:i4>
      </vt:variant>
      <vt:variant>
        <vt:i4>122</vt:i4>
      </vt:variant>
      <vt:variant>
        <vt:i4>0</vt:i4>
      </vt:variant>
      <vt:variant>
        <vt:i4>5</vt:i4>
      </vt:variant>
      <vt:variant>
        <vt:lpwstr/>
      </vt:variant>
      <vt:variant>
        <vt:lpwstr>_Toc189832250</vt:lpwstr>
      </vt:variant>
      <vt:variant>
        <vt:i4>1114169</vt:i4>
      </vt:variant>
      <vt:variant>
        <vt:i4>116</vt:i4>
      </vt:variant>
      <vt:variant>
        <vt:i4>0</vt:i4>
      </vt:variant>
      <vt:variant>
        <vt:i4>5</vt:i4>
      </vt:variant>
      <vt:variant>
        <vt:lpwstr/>
      </vt:variant>
      <vt:variant>
        <vt:lpwstr>_Toc189832249</vt:lpwstr>
      </vt:variant>
      <vt:variant>
        <vt:i4>1114169</vt:i4>
      </vt:variant>
      <vt:variant>
        <vt:i4>110</vt:i4>
      </vt:variant>
      <vt:variant>
        <vt:i4>0</vt:i4>
      </vt:variant>
      <vt:variant>
        <vt:i4>5</vt:i4>
      </vt:variant>
      <vt:variant>
        <vt:lpwstr/>
      </vt:variant>
      <vt:variant>
        <vt:lpwstr>_Toc189832248</vt:lpwstr>
      </vt:variant>
      <vt:variant>
        <vt:i4>1114169</vt:i4>
      </vt:variant>
      <vt:variant>
        <vt:i4>104</vt:i4>
      </vt:variant>
      <vt:variant>
        <vt:i4>0</vt:i4>
      </vt:variant>
      <vt:variant>
        <vt:i4>5</vt:i4>
      </vt:variant>
      <vt:variant>
        <vt:lpwstr/>
      </vt:variant>
      <vt:variant>
        <vt:lpwstr>_Toc189832247</vt:lpwstr>
      </vt:variant>
      <vt:variant>
        <vt:i4>1114169</vt:i4>
      </vt:variant>
      <vt:variant>
        <vt:i4>98</vt:i4>
      </vt:variant>
      <vt:variant>
        <vt:i4>0</vt:i4>
      </vt:variant>
      <vt:variant>
        <vt:i4>5</vt:i4>
      </vt:variant>
      <vt:variant>
        <vt:lpwstr/>
      </vt:variant>
      <vt:variant>
        <vt:lpwstr>_Toc189832246</vt:lpwstr>
      </vt:variant>
      <vt:variant>
        <vt:i4>1114169</vt:i4>
      </vt:variant>
      <vt:variant>
        <vt:i4>92</vt:i4>
      </vt:variant>
      <vt:variant>
        <vt:i4>0</vt:i4>
      </vt:variant>
      <vt:variant>
        <vt:i4>5</vt:i4>
      </vt:variant>
      <vt:variant>
        <vt:lpwstr/>
      </vt:variant>
      <vt:variant>
        <vt:lpwstr>_Toc189832245</vt:lpwstr>
      </vt:variant>
      <vt:variant>
        <vt:i4>1114169</vt:i4>
      </vt:variant>
      <vt:variant>
        <vt:i4>86</vt:i4>
      </vt:variant>
      <vt:variant>
        <vt:i4>0</vt:i4>
      </vt:variant>
      <vt:variant>
        <vt:i4>5</vt:i4>
      </vt:variant>
      <vt:variant>
        <vt:lpwstr/>
      </vt:variant>
      <vt:variant>
        <vt:lpwstr>_Toc189832244</vt:lpwstr>
      </vt:variant>
      <vt:variant>
        <vt:i4>1114169</vt:i4>
      </vt:variant>
      <vt:variant>
        <vt:i4>80</vt:i4>
      </vt:variant>
      <vt:variant>
        <vt:i4>0</vt:i4>
      </vt:variant>
      <vt:variant>
        <vt:i4>5</vt:i4>
      </vt:variant>
      <vt:variant>
        <vt:lpwstr/>
      </vt:variant>
      <vt:variant>
        <vt:lpwstr>_Toc189832243</vt:lpwstr>
      </vt:variant>
      <vt:variant>
        <vt:i4>1114169</vt:i4>
      </vt:variant>
      <vt:variant>
        <vt:i4>74</vt:i4>
      </vt:variant>
      <vt:variant>
        <vt:i4>0</vt:i4>
      </vt:variant>
      <vt:variant>
        <vt:i4>5</vt:i4>
      </vt:variant>
      <vt:variant>
        <vt:lpwstr/>
      </vt:variant>
      <vt:variant>
        <vt:lpwstr>_Toc189832242</vt:lpwstr>
      </vt:variant>
      <vt:variant>
        <vt:i4>1114169</vt:i4>
      </vt:variant>
      <vt:variant>
        <vt:i4>68</vt:i4>
      </vt:variant>
      <vt:variant>
        <vt:i4>0</vt:i4>
      </vt:variant>
      <vt:variant>
        <vt:i4>5</vt:i4>
      </vt:variant>
      <vt:variant>
        <vt:lpwstr/>
      </vt:variant>
      <vt:variant>
        <vt:lpwstr>_Toc189832241</vt:lpwstr>
      </vt:variant>
      <vt:variant>
        <vt:i4>1114169</vt:i4>
      </vt:variant>
      <vt:variant>
        <vt:i4>62</vt:i4>
      </vt:variant>
      <vt:variant>
        <vt:i4>0</vt:i4>
      </vt:variant>
      <vt:variant>
        <vt:i4>5</vt:i4>
      </vt:variant>
      <vt:variant>
        <vt:lpwstr/>
      </vt:variant>
      <vt:variant>
        <vt:lpwstr>_Toc189832240</vt:lpwstr>
      </vt:variant>
      <vt:variant>
        <vt:i4>1441849</vt:i4>
      </vt:variant>
      <vt:variant>
        <vt:i4>56</vt:i4>
      </vt:variant>
      <vt:variant>
        <vt:i4>0</vt:i4>
      </vt:variant>
      <vt:variant>
        <vt:i4>5</vt:i4>
      </vt:variant>
      <vt:variant>
        <vt:lpwstr/>
      </vt:variant>
      <vt:variant>
        <vt:lpwstr>_Toc189832239</vt:lpwstr>
      </vt:variant>
      <vt:variant>
        <vt:i4>1441849</vt:i4>
      </vt:variant>
      <vt:variant>
        <vt:i4>50</vt:i4>
      </vt:variant>
      <vt:variant>
        <vt:i4>0</vt:i4>
      </vt:variant>
      <vt:variant>
        <vt:i4>5</vt:i4>
      </vt:variant>
      <vt:variant>
        <vt:lpwstr/>
      </vt:variant>
      <vt:variant>
        <vt:lpwstr>_Toc189832238</vt:lpwstr>
      </vt:variant>
      <vt:variant>
        <vt:i4>1441849</vt:i4>
      </vt:variant>
      <vt:variant>
        <vt:i4>44</vt:i4>
      </vt:variant>
      <vt:variant>
        <vt:i4>0</vt:i4>
      </vt:variant>
      <vt:variant>
        <vt:i4>5</vt:i4>
      </vt:variant>
      <vt:variant>
        <vt:lpwstr/>
      </vt:variant>
      <vt:variant>
        <vt:lpwstr>_Toc189832237</vt:lpwstr>
      </vt:variant>
      <vt:variant>
        <vt:i4>1441849</vt:i4>
      </vt:variant>
      <vt:variant>
        <vt:i4>38</vt:i4>
      </vt:variant>
      <vt:variant>
        <vt:i4>0</vt:i4>
      </vt:variant>
      <vt:variant>
        <vt:i4>5</vt:i4>
      </vt:variant>
      <vt:variant>
        <vt:lpwstr/>
      </vt:variant>
      <vt:variant>
        <vt:lpwstr>_Toc189832236</vt:lpwstr>
      </vt:variant>
      <vt:variant>
        <vt:i4>1441849</vt:i4>
      </vt:variant>
      <vt:variant>
        <vt:i4>32</vt:i4>
      </vt:variant>
      <vt:variant>
        <vt:i4>0</vt:i4>
      </vt:variant>
      <vt:variant>
        <vt:i4>5</vt:i4>
      </vt:variant>
      <vt:variant>
        <vt:lpwstr/>
      </vt:variant>
      <vt:variant>
        <vt:lpwstr>_Toc189832235</vt:lpwstr>
      </vt:variant>
      <vt:variant>
        <vt:i4>1441849</vt:i4>
      </vt:variant>
      <vt:variant>
        <vt:i4>26</vt:i4>
      </vt:variant>
      <vt:variant>
        <vt:i4>0</vt:i4>
      </vt:variant>
      <vt:variant>
        <vt:i4>5</vt:i4>
      </vt:variant>
      <vt:variant>
        <vt:lpwstr/>
      </vt:variant>
      <vt:variant>
        <vt:lpwstr>_Toc189832234</vt:lpwstr>
      </vt:variant>
      <vt:variant>
        <vt:i4>1441849</vt:i4>
      </vt:variant>
      <vt:variant>
        <vt:i4>20</vt:i4>
      </vt:variant>
      <vt:variant>
        <vt:i4>0</vt:i4>
      </vt:variant>
      <vt:variant>
        <vt:i4>5</vt:i4>
      </vt:variant>
      <vt:variant>
        <vt:lpwstr/>
      </vt:variant>
      <vt:variant>
        <vt:lpwstr>_Toc189832233</vt:lpwstr>
      </vt:variant>
      <vt:variant>
        <vt:i4>1441849</vt:i4>
      </vt:variant>
      <vt:variant>
        <vt:i4>14</vt:i4>
      </vt:variant>
      <vt:variant>
        <vt:i4>0</vt:i4>
      </vt:variant>
      <vt:variant>
        <vt:i4>5</vt:i4>
      </vt:variant>
      <vt:variant>
        <vt:lpwstr/>
      </vt:variant>
      <vt:variant>
        <vt:lpwstr>_Toc189832232</vt:lpwstr>
      </vt:variant>
      <vt:variant>
        <vt:i4>1441849</vt:i4>
      </vt:variant>
      <vt:variant>
        <vt:i4>8</vt:i4>
      </vt:variant>
      <vt:variant>
        <vt:i4>0</vt:i4>
      </vt:variant>
      <vt:variant>
        <vt:i4>5</vt:i4>
      </vt:variant>
      <vt:variant>
        <vt:lpwstr/>
      </vt:variant>
      <vt:variant>
        <vt:lpwstr>_Toc189832231</vt:lpwstr>
      </vt:variant>
      <vt:variant>
        <vt:i4>1441849</vt:i4>
      </vt:variant>
      <vt:variant>
        <vt:i4>2</vt:i4>
      </vt:variant>
      <vt:variant>
        <vt:i4>0</vt:i4>
      </vt:variant>
      <vt:variant>
        <vt:i4>5</vt:i4>
      </vt:variant>
      <vt:variant>
        <vt:lpwstr/>
      </vt:variant>
      <vt:variant>
        <vt:lpwstr>_Toc189832230</vt:lpwstr>
      </vt:variant>
      <vt:variant>
        <vt:i4>8192092</vt:i4>
      </vt:variant>
      <vt:variant>
        <vt:i4>33</vt:i4>
      </vt:variant>
      <vt:variant>
        <vt:i4>0</vt:i4>
      </vt:variant>
      <vt:variant>
        <vt:i4>5</vt:i4>
      </vt:variant>
      <vt:variant>
        <vt:lpwstr>https://content.police.vic.gov.au/sites/default/files/2023-10/Victoria-Police-Annual-Report-2022-23.pdf</vt:lpwstr>
      </vt:variant>
      <vt:variant>
        <vt:lpwstr>_ga=2.19325112.1088627876.1722471520-38763444.1717139804</vt:lpwstr>
      </vt:variant>
      <vt:variant>
        <vt:i4>4522010</vt:i4>
      </vt:variant>
      <vt:variant>
        <vt:i4>30</vt:i4>
      </vt:variant>
      <vt:variant>
        <vt:i4>0</vt:i4>
      </vt:variant>
      <vt:variant>
        <vt:i4>5</vt:i4>
      </vt:variant>
      <vt:variant>
        <vt:lpwstr>https://www.police.vic.gov.au/private-security-eligibility-requirements-and-training</vt:lpwstr>
      </vt:variant>
      <vt:variant>
        <vt:lpwstr/>
      </vt:variant>
      <vt:variant>
        <vt:i4>2621454</vt:i4>
      </vt:variant>
      <vt:variant>
        <vt:i4>27</vt:i4>
      </vt:variant>
      <vt:variant>
        <vt:i4>0</vt:i4>
      </vt:variant>
      <vt:variant>
        <vt:i4>5</vt:i4>
      </vt:variant>
      <vt:variant>
        <vt:lpwstr>https://www.lawreform.vic.gov.au/wp-content/uploads/2021/07/VLRC_Regulatory_Regimes_Report_for_web.pdf</vt:lpwstr>
      </vt:variant>
      <vt:variant>
        <vt:lpwstr/>
      </vt:variant>
      <vt:variant>
        <vt:i4>4587606</vt:i4>
      </vt:variant>
      <vt:variant>
        <vt:i4>24</vt:i4>
      </vt:variant>
      <vt:variant>
        <vt:i4>0</vt:i4>
      </vt:variant>
      <vt:variant>
        <vt:i4>5</vt:i4>
      </vt:variant>
      <vt:variant>
        <vt:lpwstr>https://asial.com.au/common/Uploaded files/ASIAL_Public/Annual reports/Australian Security Industry Licensing Report 2024_final.pdf</vt:lpwstr>
      </vt:variant>
      <vt:variant>
        <vt:lpwstr/>
      </vt:variant>
      <vt:variant>
        <vt:i4>1376267</vt:i4>
      </vt:variant>
      <vt:variant>
        <vt:i4>21</vt:i4>
      </vt:variant>
      <vt:variant>
        <vt:i4>0</vt:i4>
      </vt:variant>
      <vt:variant>
        <vt:i4>5</vt:i4>
      </vt:variant>
      <vt:variant>
        <vt:lpwstr>https://content.royalcommission.vic.gov.au/sites/default/files/2020-12/0387_RC_Covid-19 Final Report_Volume 1%2B2_Digital.pdf</vt:lpwstr>
      </vt:variant>
      <vt:variant>
        <vt:lpwstr/>
      </vt:variant>
      <vt:variant>
        <vt:i4>2097189</vt:i4>
      </vt:variant>
      <vt:variant>
        <vt:i4>18</vt:i4>
      </vt:variant>
      <vt:variant>
        <vt:i4>0</vt:i4>
      </vt:variant>
      <vt:variant>
        <vt:i4>5</vt:i4>
      </vt:variant>
      <vt:variant>
        <vt:lpwstr>https://engage.vic.gov.au/private-security-review-2020</vt:lpwstr>
      </vt:variant>
      <vt:variant>
        <vt:lpwstr/>
      </vt:variant>
      <vt:variant>
        <vt:i4>2097189</vt:i4>
      </vt:variant>
      <vt:variant>
        <vt:i4>15</vt:i4>
      </vt:variant>
      <vt:variant>
        <vt:i4>0</vt:i4>
      </vt:variant>
      <vt:variant>
        <vt:i4>5</vt:i4>
      </vt:variant>
      <vt:variant>
        <vt:lpwstr>https://engage.vic.gov.au/private-security-review-2020</vt:lpwstr>
      </vt:variant>
      <vt:variant>
        <vt:lpwstr/>
      </vt:variant>
      <vt:variant>
        <vt:i4>393280</vt:i4>
      </vt:variant>
      <vt:variant>
        <vt:i4>12</vt:i4>
      </vt:variant>
      <vt:variant>
        <vt:i4>0</vt:i4>
      </vt:variant>
      <vt:variant>
        <vt:i4>5</vt:i4>
      </vt:variant>
      <vt:variant>
        <vt:lpwstr>https://www.police.vic.gov.au/applying-new-individual-licence-or-registration</vt:lpwstr>
      </vt:variant>
      <vt:variant>
        <vt:lpwstr/>
      </vt:variant>
      <vt:variant>
        <vt:i4>1966157</vt:i4>
      </vt:variant>
      <vt:variant>
        <vt:i4>9</vt:i4>
      </vt:variant>
      <vt:variant>
        <vt:i4>0</vt:i4>
      </vt:variant>
      <vt:variant>
        <vt:i4>5</vt:i4>
      </vt:variant>
      <vt:variant>
        <vt:lpwstr>https://www.police.vic.gov.au/eligibility-requirements-1</vt:lpwstr>
      </vt:variant>
      <vt:variant>
        <vt:lpwstr/>
      </vt:variant>
      <vt:variant>
        <vt:i4>917516</vt:i4>
      </vt:variant>
      <vt:variant>
        <vt:i4>6</vt:i4>
      </vt:variant>
      <vt:variant>
        <vt:i4>0</vt:i4>
      </vt:variant>
      <vt:variant>
        <vt:i4>5</vt:i4>
      </vt:variant>
      <vt:variant>
        <vt:lpwstr>https://content.police.vic.gov.au/sites/default/files/2024-06/Victoria-Police-Fees-and-Charges-Private-Security-2024-2025.pdf</vt:lpwstr>
      </vt:variant>
      <vt:variant>
        <vt:lpwstr/>
      </vt:variant>
      <vt:variant>
        <vt:i4>2621454</vt:i4>
      </vt:variant>
      <vt:variant>
        <vt:i4>3</vt:i4>
      </vt:variant>
      <vt:variant>
        <vt:i4>0</vt:i4>
      </vt:variant>
      <vt:variant>
        <vt:i4>5</vt:i4>
      </vt:variant>
      <vt:variant>
        <vt:lpwstr>https://www.lawreform.vic.gov.au/wp-content/uploads/2021/07/VLRC_Regulatory_Regimes_Report_for_web.pdf</vt:lpwstr>
      </vt:variant>
      <vt:variant>
        <vt:lpwstr/>
      </vt:variant>
      <vt:variant>
        <vt:i4>4587606</vt:i4>
      </vt:variant>
      <vt:variant>
        <vt:i4>0</vt:i4>
      </vt:variant>
      <vt:variant>
        <vt:i4>0</vt:i4>
      </vt:variant>
      <vt:variant>
        <vt:i4>5</vt:i4>
      </vt:variant>
      <vt:variant>
        <vt:lpwstr>https://asial.com.au/common/Uploaded files/ASIAL_Public/Annual reports/Australian Security Industry Licensing Report 2024_final.pdf</vt:lpwstr>
      </vt:variant>
      <vt:variant>
        <vt:lpwstr/>
      </vt:variant>
      <vt:variant>
        <vt:i4>1507407</vt:i4>
      </vt:variant>
      <vt:variant>
        <vt:i4>0</vt:i4>
      </vt:variant>
      <vt:variant>
        <vt:i4>0</vt:i4>
      </vt:variant>
      <vt:variant>
        <vt:i4>5</vt:i4>
      </vt:variant>
      <vt:variant>
        <vt:lpwstr>http://www.deloitte.com/au/deloitte-access-economics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Regulatory Impact Statement_Private Security Regulations 2025.docx</dc:title>
  <dc:subject/>
  <dc:creator>Prossor, Louise</dc:creator>
  <cp:keywords/>
  <cp:lastModifiedBy>Danielle Windley (DJCS)</cp:lastModifiedBy>
  <cp:revision>2</cp:revision>
  <cp:lastPrinted>2025-02-07T04:06:00Z</cp:lastPrinted>
  <dcterms:created xsi:type="dcterms:W3CDTF">2025-03-12T00:09:00Z</dcterms:created>
  <dcterms:modified xsi:type="dcterms:W3CDTF">2025-03-12T00:09:00Z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E_Templates">
    <vt:lpwstr>True</vt:lpwstr>
  </property>
  <property fmtid="{D5CDD505-2E9C-101B-9397-08002B2CF9AE}" pid="3" name="FrontpageColorChange">
    <vt:lpwstr>True</vt:lpwstr>
  </property>
  <property fmtid="{D5CDD505-2E9C-101B-9397-08002B2CF9AE}" pid="4" name="TemplafyTimeStamp">
    <vt:lpwstr>2019-04-23T06:49:37.1161361</vt:lpwstr>
  </property>
  <property fmtid="{D5CDD505-2E9C-101B-9397-08002B2CF9AE}" pid="5" name="MSIP_Label_ea60d57e-af5b-4752-ac57-3e4f28ca11dc_Enabled">
    <vt:lpwstr>true</vt:lpwstr>
  </property>
  <property fmtid="{D5CDD505-2E9C-101B-9397-08002B2CF9AE}" pid="6" name="MSIP_Label_ea60d57e-af5b-4752-ac57-3e4f28ca11dc_SetDate">
    <vt:lpwstr>2023-03-16T23:10:26Z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21169a92-74dc-43c6-8486-bad00194e3ec</vt:lpwstr>
  </property>
  <property fmtid="{D5CDD505-2E9C-101B-9397-08002B2CF9AE}" pid="11" name="MSIP_Label_ea60d57e-af5b-4752-ac57-3e4f28ca11dc_ContentBits">
    <vt:lpwstr>0</vt:lpwstr>
  </property>
  <property fmtid="{D5CDD505-2E9C-101B-9397-08002B2CF9AE}" pid="12" name="TemplafyTenantId">
    <vt:lpwstr>deloitteaus</vt:lpwstr>
  </property>
  <property fmtid="{D5CDD505-2E9C-101B-9397-08002B2CF9AE}" pid="13" name="TemplafyTemplateId">
    <vt:lpwstr>636915989771161361</vt:lpwstr>
  </property>
  <property fmtid="{D5CDD505-2E9C-101B-9397-08002B2CF9AE}" pid="14" name="TemplafyUserProfileId">
    <vt:lpwstr>638213577323940510</vt:lpwstr>
  </property>
  <property fmtid="{D5CDD505-2E9C-101B-9397-08002B2CF9AE}" pid="15" name="TemplafyLanguageCode">
    <vt:lpwstr>en-AU</vt:lpwstr>
  </property>
  <property fmtid="{D5CDD505-2E9C-101B-9397-08002B2CF9AE}" pid="16" name="TemplafyFromBlank">
    <vt:bool>false</vt:bool>
  </property>
  <property fmtid="{D5CDD505-2E9C-101B-9397-08002B2CF9AE}" pid="17" name="ContentTypeId">
    <vt:lpwstr>0x0101009E79101A590146B3A2E356B122FF9569000A46D5AB149CC64EA563322A251050A4</vt:lpwstr>
  </property>
  <property fmtid="{D5CDD505-2E9C-101B-9397-08002B2CF9AE}" pid="18" name="MSIP_Label_5a19367b-7a73-403d-b732-ebe2e73fbf56_Enabled">
    <vt:lpwstr>true</vt:lpwstr>
  </property>
  <property fmtid="{D5CDD505-2E9C-101B-9397-08002B2CF9AE}" pid="19" name="MSIP_Label_5a19367b-7a73-403d-b732-ebe2e73fbf56_SetDate">
    <vt:lpwstr>2023-12-27T01:01:40Z</vt:lpwstr>
  </property>
  <property fmtid="{D5CDD505-2E9C-101B-9397-08002B2CF9AE}" pid="20" name="MSIP_Label_5a19367b-7a73-403d-b732-ebe2e73fbf56_Method">
    <vt:lpwstr>Privileged</vt:lpwstr>
  </property>
  <property fmtid="{D5CDD505-2E9C-101B-9397-08002B2CF9AE}" pid="21" name="MSIP_Label_5a19367b-7a73-403d-b732-ebe2e73fbf56_Name">
    <vt:lpwstr>OFFICIAL-Sensitive</vt:lpwstr>
  </property>
  <property fmtid="{D5CDD505-2E9C-101B-9397-08002B2CF9AE}" pid="22" name="MSIP_Label_5a19367b-7a73-403d-b732-ebe2e73fbf56_SiteId">
    <vt:lpwstr>e8bdd6f7-fc18-4e48-a554-7f547927223b</vt:lpwstr>
  </property>
  <property fmtid="{D5CDD505-2E9C-101B-9397-08002B2CF9AE}" pid="23" name="MSIP_Label_5a19367b-7a73-403d-b732-ebe2e73fbf56_ActionId">
    <vt:lpwstr>310c2e61-81b5-4759-80f9-ad512c76d18e</vt:lpwstr>
  </property>
  <property fmtid="{D5CDD505-2E9C-101B-9397-08002B2CF9AE}" pid="24" name="MSIP_Label_5a19367b-7a73-403d-b732-ebe2e73fbf56_ContentBits">
    <vt:lpwstr>2</vt:lpwstr>
  </property>
  <property fmtid="{D5CDD505-2E9C-101B-9397-08002B2CF9AE}" pid="25" name="g91c59fb10974fa1a03160ad8386f0f4">
    <vt:lpwstr/>
  </property>
  <property fmtid="{D5CDD505-2E9C-101B-9397-08002B2CF9AE}" pid="26" name="Records Class Project">
    <vt:lpwstr>18</vt:lpwstr>
  </property>
  <property fmtid="{D5CDD505-2E9C-101B-9397-08002B2CF9AE}" pid="27" name="Dissemination Limiting Marker">
    <vt:lpwstr>2;#FOUO|955eb6fc-b35a-4808-8aa5-31e514fa3f26</vt:lpwstr>
  </property>
  <property fmtid="{D5CDD505-2E9C-101B-9397-08002B2CF9AE}" pid="28" name="Record_x0020_Purpose">
    <vt:lpwstr/>
  </property>
  <property fmtid="{D5CDD505-2E9C-101B-9397-08002B2CF9AE}" pid="29" name="Department Document Type">
    <vt:lpwstr/>
  </property>
  <property fmtid="{D5CDD505-2E9C-101B-9397-08002B2CF9AE}" pid="30" name="Security Classification">
    <vt:lpwstr>1;#Unclassified|7fa379f4-4aba-4692-ab80-7d39d3a23cf4</vt:lpwstr>
  </property>
  <property fmtid="{D5CDD505-2E9C-101B-9397-08002B2CF9AE}" pid="31" name="Record Purpose">
    <vt:lpwstr/>
  </property>
  <property fmtid="{D5CDD505-2E9C-101B-9397-08002B2CF9AE}" pid="32" name="_dlc_DocIdItemGuid">
    <vt:lpwstr>ccafcaf0-799b-4c7b-af98-cfb0808d832a</vt:lpwstr>
  </property>
  <property fmtid="{D5CDD505-2E9C-101B-9397-08002B2CF9AE}" pid="33" name="Order">
    <vt:r8>41100</vt:r8>
  </property>
  <property fmtid="{D5CDD505-2E9C-101B-9397-08002B2CF9AE}" pid="34" name="SharedWithUsers">
    <vt:lpwstr>12;#svc-RMIA-AP-Backup04;#15;#svc-RMIA-AP-Backup01;#14;#svc-RMIA-AP-Backup02;#11;#Everyone except external users;#56;#Alberto Garza Barragan (DEECA);#55;#Lauren X Dodd (DEECA)</vt:lpwstr>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_ExtendedDescription">
    <vt:lpwstr/>
  </property>
  <property fmtid="{D5CDD505-2E9C-101B-9397-08002B2CF9AE}" pid="39" name="TriggerFlowInfo">
    <vt:lpwstr/>
  </property>
  <property fmtid="{D5CDD505-2E9C-101B-9397-08002B2CF9AE}" pid="40" name="xd_Signature">
    <vt:bool>false</vt:bool>
  </property>
  <property fmtid="{D5CDD505-2E9C-101B-9397-08002B2CF9AE}" pid="41" name="ClassificationContentMarkingFooterShapeIds">
    <vt:lpwstr>24231607,34e5bceb,3a3ce759,3cc67223,c5a4a33,7292752f,2e5fba72,247028d7,5e2aa587</vt:lpwstr>
  </property>
  <property fmtid="{D5CDD505-2E9C-101B-9397-08002B2CF9AE}" pid="42" name="ClassificationContentMarkingFooterFontProps">
    <vt:lpwstr>#000000,11,Calibri</vt:lpwstr>
  </property>
  <property fmtid="{D5CDD505-2E9C-101B-9397-08002B2CF9AE}" pid="43" name="ClassificationContentMarkingFooterText">
    <vt:lpwstr>OFFICIAL</vt:lpwstr>
  </property>
  <property fmtid="{D5CDD505-2E9C-101B-9397-08002B2CF9AE}" pid="44" name="MSIP_Label_7158ebbd-6c5e-441f-bfc9-4eb8c11e3978_Enabled">
    <vt:lpwstr>true</vt:lpwstr>
  </property>
  <property fmtid="{D5CDD505-2E9C-101B-9397-08002B2CF9AE}" pid="45" name="MSIP_Label_7158ebbd-6c5e-441f-bfc9-4eb8c11e3978_SetDate">
    <vt:lpwstr>2025-01-17T05:19:22Z</vt:lpwstr>
  </property>
  <property fmtid="{D5CDD505-2E9C-101B-9397-08002B2CF9AE}" pid="46" name="MSIP_Label_7158ebbd-6c5e-441f-bfc9-4eb8c11e3978_Method">
    <vt:lpwstr>Privileged</vt:lpwstr>
  </property>
  <property fmtid="{D5CDD505-2E9C-101B-9397-08002B2CF9AE}" pid="47" name="MSIP_Label_7158ebbd-6c5e-441f-bfc9-4eb8c11e3978_Name">
    <vt:lpwstr>7158ebbd-6c5e-441f-bfc9-4eb8c11e3978</vt:lpwstr>
  </property>
  <property fmtid="{D5CDD505-2E9C-101B-9397-08002B2CF9AE}" pid="48" name="MSIP_Label_7158ebbd-6c5e-441f-bfc9-4eb8c11e3978_SiteId">
    <vt:lpwstr>722ea0be-3e1c-4b11-ad6f-9401d6856e24</vt:lpwstr>
  </property>
  <property fmtid="{D5CDD505-2E9C-101B-9397-08002B2CF9AE}" pid="49" name="MSIP_Label_7158ebbd-6c5e-441f-bfc9-4eb8c11e3978_ActionId">
    <vt:lpwstr>e75411e2-b8e7-458f-a084-cad9adb86554</vt:lpwstr>
  </property>
  <property fmtid="{D5CDD505-2E9C-101B-9397-08002B2CF9AE}" pid="50" name="MSIP_Label_7158ebbd-6c5e-441f-bfc9-4eb8c11e3978_ContentBits">
    <vt:lpwstr>2</vt:lpwstr>
  </property>
  <property fmtid="{D5CDD505-2E9C-101B-9397-08002B2CF9AE}" pid="51" name="MediaServiceImageTags">
    <vt:lpwstr/>
  </property>
  <property fmtid="{D5CDD505-2E9C-101B-9397-08002B2CF9AE}" pid="52" name="E2_PolicyToPrepareTaxHTField">
    <vt:lpwstr/>
  </property>
  <property fmtid="{D5CDD505-2E9C-101B-9397-08002B2CF9AE}" pid="53" name="E2_ReplyBy">
    <vt:lpwstr/>
  </property>
  <property fmtid="{D5CDD505-2E9C-101B-9397-08002B2CF9AE}" pid="54" name="E2_AGOMOActionTaxHTField">
    <vt:lpwstr/>
  </property>
  <property fmtid="{D5CDD505-2E9C-101B-9397-08002B2CF9AE}" pid="55" name="E2_LegislativeAssemblyElectorate">
    <vt:lpwstr/>
  </property>
  <property fmtid="{D5CDD505-2E9C-101B-9397-08002B2CF9AE}" pid="56" name="E2_Committee">
    <vt:lpwstr/>
  </property>
  <property fmtid="{D5CDD505-2E9C-101B-9397-08002B2CF9AE}" pid="57" name="E2_Status">
    <vt:lpwstr/>
  </property>
  <property fmtid="{D5CDD505-2E9C-101B-9397-08002B2CF9AE}" pid="58" name="E2_BriefingRecipient">
    <vt:lpwstr/>
  </property>
  <property fmtid="{D5CDD505-2E9C-101B-9397-08002B2CF9AE}" pid="59" name="E2_StatusTaxHTField">
    <vt:lpwstr/>
  </property>
  <property fmtid="{D5CDD505-2E9C-101B-9397-08002B2CF9AE}" pid="60" name="E2_AllocateToTaxHTField">
    <vt:lpwstr/>
  </property>
  <property fmtid="{D5CDD505-2E9C-101B-9397-08002B2CF9AE}" pid="61" name="E2_SecurityClassificationTaxHTField">
    <vt:lpwstr/>
  </property>
  <property fmtid="{D5CDD505-2E9C-101B-9397-08002B2CF9AE}" pid="62" name="E2_GovernmentPortfolio">
    <vt:lpwstr/>
  </property>
  <property fmtid="{D5CDD505-2E9C-101B-9397-08002B2CF9AE}" pid="63" name="E2_LegislativeCouncilRegion">
    <vt:lpwstr/>
  </property>
  <property fmtid="{D5CDD505-2E9C-101B-9397-08002B2CF9AE}" pid="64" name="E2_AGOMOAction">
    <vt:lpwstr/>
  </property>
  <property fmtid="{D5CDD505-2E9C-101B-9397-08002B2CF9AE}" pid="65" name="E2_PortfolioTaxHTField">
    <vt:lpwstr/>
  </property>
  <property fmtid="{D5CDD505-2E9C-101B-9397-08002B2CF9AE}" pid="66" name="E2_DeptActionRequired">
    <vt:lpwstr/>
  </property>
  <property fmtid="{D5CDD505-2E9C-101B-9397-08002B2CF9AE}" pid="67" name="E2_Department">
    <vt:lpwstr/>
  </property>
  <property fmtid="{D5CDD505-2E9C-101B-9397-08002B2CF9AE}" pid="68" name="E2_DeptActionRequiredTaxHTField">
    <vt:lpwstr/>
  </property>
  <property fmtid="{D5CDD505-2E9C-101B-9397-08002B2CF9AE}" pid="69" name="E2_AllocateTo">
    <vt:lpwstr/>
  </property>
  <property fmtid="{D5CDD505-2E9C-101B-9397-08002B2CF9AE}" pid="70" name="E2_InitiatedByTaxHTField">
    <vt:lpwstr/>
  </property>
  <property fmtid="{D5CDD505-2E9C-101B-9397-08002B2CF9AE}" pid="71" name="E2_ReplyByTaxHTField">
    <vt:lpwstr/>
  </property>
  <property fmtid="{D5CDD505-2E9C-101B-9397-08002B2CF9AE}" pid="72" name="E2_BriefingRecipientTaxHTField">
    <vt:lpwstr/>
  </property>
  <property fmtid="{D5CDD505-2E9C-101B-9397-08002B2CF9AE}" pid="73" name="E2_AskedBy">
    <vt:lpwstr/>
  </property>
  <property fmtid="{D5CDD505-2E9C-101B-9397-08002B2CF9AE}" pid="74" name="E2_SecurityClassification">
    <vt:lpwstr/>
  </property>
  <property fmtid="{D5CDD505-2E9C-101B-9397-08002B2CF9AE}" pid="75" name="E2_PolicyToPrepare">
    <vt:lpwstr/>
  </property>
  <property fmtid="{D5CDD505-2E9C-101B-9397-08002B2CF9AE}" pid="76" name="E2_House">
    <vt:lpwstr/>
  </property>
  <property fmtid="{D5CDD505-2E9C-101B-9397-08002B2CF9AE}" pid="77" name="E2_Portfolio">
    <vt:lpwstr/>
  </property>
  <property fmtid="{D5CDD505-2E9C-101B-9397-08002B2CF9AE}" pid="78" name="E2_SCBToPrepareTaxHTField">
    <vt:lpwstr/>
  </property>
  <property fmtid="{D5CDD505-2E9C-101B-9397-08002B2CF9AE}" pid="79" name="E2_InitiatedBy">
    <vt:lpwstr/>
  </property>
  <property fmtid="{D5CDD505-2E9C-101B-9397-08002B2CF9AE}" pid="80" name="E2_SCBToPrepare">
    <vt:lpwstr/>
  </property>
  <property fmtid="{D5CDD505-2E9C-101B-9397-08002B2CF9AE}" pid="81" name="TaxCatchAll">
    <vt:lpwstr/>
  </property>
  <property fmtid="{D5CDD505-2E9C-101B-9397-08002B2CF9AE}" pid="82" name="E2_LegislativeCouncilRegionTaxHTField">
    <vt:lpwstr/>
  </property>
  <property fmtid="{D5CDD505-2E9C-101B-9397-08002B2CF9AE}" pid="83" name="E2_GovernmentPortfolioTaxHTField">
    <vt:lpwstr/>
  </property>
  <property fmtid="{D5CDD505-2E9C-101B-9397-08002B2CF9AE}" pid="84" name="E2_LegislativeAssemblyElectorateTaxHTField">
    <vt:lpwstr/>
  </property>
  <property fmtid="{D5CDD505-2E9C-101B-9397-08002B2CF9AE}" pid="85" name="E2_HouseTaxHTField">
    <vt:lpwstr/>
  </property>
  <property fmtid="{D5CDD505-2E9C-101B-9397-08002B2CF9AE}" pid="86" name="E2_DepartmentTaxHTField">
    <vt:lpwstr/>
  </property>
  <property fmtid="{D5CDD505-2E9C-101B-9397-08002B2CF9AE}" pid="87" name="E2_CommitteeTaxHTField">
    <vt:lpwstr/>
  </property>
  <property fmtid="{D5CDD505-2E9C-101B-9397-08002B2CF9AE}" pid="88" name="E2_AskedByTaxHTField">
    <vt:lpwstr/>
  </property>
</Properties>
</file>