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9DA89" w14:textId="77777777" w:rsidR="00117CDF" w:rsidRPr="00AD4BCD" w:rsidRDefault="00117CDF" w:rsidP="00AD4BCD">
      <w:pPr>
        <w:pStyle w:val="BodyText"/>
        <w:rPr>
          <w:b/>
          <w:bCs/>
          <w:color w:val="FFFFFF" w:themeColor="background1"/>
          <w:sz w:val="52"/>
          <w:szCs w:val="52"/>
        </w:rPr>
      </w:pPr>
      <w:bookmarkStart w:id="0" w:name="_Toc69369587"/>
      <w:bookmarkStart w:id="1" w:name="_Toc69369720"/>
      <w:r w:rsidRPr="00AD4BCD">
        <w:rPr>
          <w:b/>
          <w:bCs/>
          <w:color w:val="FFFFFF" w:themeColor="background1"/>
          <w:sz w:val="52"/>
          <w:szCs w:val="52"/>
        </w:rPr>
        <w:t xml:space="preserve">Guideline </w:t>
      </w:r>
      <w:r w:rsidR="000F5FDB" w:rsidRPr="00AD4BCD">
        <w:rPr>
          <w:b/>
          <w:bCs/>
          <w:color w:val="FFFFFF" w:themeColor="background1"/>
          <w:sz w:val="52"/>
          <w:szCs w:val="52"/>
        </w:rPr>
        <w:t>2</w:t>
      </w:r>
      <w:r w:rsidRPr="00AD4BCD">
        <w:rPr>
          <w:b/>
          <w:bCs/>
          <w:color w:val="FFFFFF" w:themeColor="background1"/>
          <w:sz w:val="52"/>
          <w:szCs w:val="52"/>
        </w:rPr>
        <w:t>: Cost estimation for essential public assets</w:t>
      </w:r>
      <w:bookmarkEnd w:id="0"/>
      <w:bookmarkEnd w:id="1"/>
    </w:p>
    <w:p w14:paraId="2CB180F4" w14:textId="77777777" w:rsidR="002338F3" w:rsidRPr="00AF7BDB" w:rsidRDefault="002338F3" w:rsidP="002338F3">
      <w:pPr>
        <w:pStyle w:val="Subtitle"/>
        <w:rPr>
          <w:color w:val="FFFFFF" w:themeColor="background1"/>
        </w:rPr>
      </w:pPr>
      <w:r w:rsidRPr="00AF7BDB">
        <w:rPr>
          <w:color w:val="FFFFFF" w:themeColor="background1"/>
        </w:rPr>
        <w:t xml:space="preserve">Victorian </w:t>
      </w:r>
      <w:r w:rsidRPr="00AF7BDB">
        <w:rPr>
          <w:rFonts w:eastAsia="Times"/>
          <w:color w:val="FFFFFF" w:themeColor="background1"/>
        </w:rPr>
        <w:fldChar w:fldCharType="begin"/>
      </w:r>
      <w:r w:rsidRPr="00AF7BDB">
        <w:rPr>
          <w:color w:val="FFFFFF" w:themeColor="background1"/>
        </w:rPr>
        <w:instrText xml:space="preserve"> if </w:instrText>
      </w:r>
      <w:r w:rsidRPr="00AF7BDB">
        <w:rPr>
          <w:color w:val="FFFFFF" w:themeColor="background1"/>
        </w:rPr>
        <w:fldChar w:fldCharType="begin"/>
      </w:r>
      <w:r w:rsidRPr="00AF7BDB">
        <w:rPr>
          <w:color w:val="FFFFFF" w:themeColor="background1"/>
        </w:rPr>
        <w:instrText xml:space="preserve"> docproperty subtitle </w:instrText>
      </w:r>
      <w:r w:rsidRPr="00AF7BDB">
        <w:rPr>
          <w:color w:val="FFFFFF" w:themeColor="background1"/>
        </w:rPr>
        <w:fldChar w:fldCharType="end"/>
      </w:r>
      <w:r w:rsidRPr="00AF7BDB">
        <w:rPr>
          <w:color w:val="FFFFFF" w:themeColor="background1"/>
        </w:rPr>
        <w:instrText xml:space="preserve"> &lt;&gt; "" "</w:instrText>
      </w:r>
      <w:r w:rsidRPr="00AF7BDB">
        <w:rPr>
          <w:color w:val="FFFFFF" w:themeColor="background1"/>
        </w:rPr>
        <w:fldChar w:fldCharType="begin"/>
      </w:r>
      <w:r w:rsidRPr="00AF7BDB">
        <w:rPr>
          <w:color w:val="FFFFFF" w:themeColor="background1"/>
        </w:rPr>
        <w:instrText xml:space="preserve"> docproperty Subtitle </w:instrText>
      </w:r>
      <w:r w:rsidRPr="00AF7BDB">
        <w:rPr>
          <w:color w:val="FFFFFF" w:themeColor="background1"/>
        </w:rPr>
        <w:fldChar w:fldCharType="separate"/>
      </w:r>
      <w:r w:rsidRPr="00AF7BDB">
        <w:rPr>
          <w:color w:val="FFFFFF" w:themeColor="background1"/>
        </w:rPr>
        <w:instrText>SubTitle</w:instrText>
      </w:r>
      <w:r w:rsidRPr="00AF7BDB">
        <w:rPr>
          <w:color w:val="FFFFFF" w:themeColor="background1"/>
        </w:rPr>
        <w:fldChar w:fldCharType="end"/>
      </w:r>
    </w:p>
    <w:p w14:paraId="30ACD98C" w14:textId="2EEC4D3C" w:rsidR="002338F3" w:rsidRPr="00AF7BDB" w:rsidRDefault="002338F3" w:rsidP="002338F3">
      <w:pPr>
        <w:pStyle w:val="Subtitle"/>
        <w:rPr>
          <w:color w:val="FFFFFF" w:themeColor="background1"/>
        </w:rPr>
      </w:pPr>
      <w:r w:rsidRPr="00AF7BDB">
        <w:rPr>
          <w:color w:val="FFFFFF" w:themeColor="background1"/>
        </w:rPr>
        <w:instrText>"</w:instrText>
      </w:r>
      <w:r w:rsidRPr="00AF7BDB">
        <w:rPr>
          <w:color w:val="FFFFFF" w:themeColor="background1"/>
        </w:rPr>
        <w:fldChar w:fldCharType="end"/>
      </w:r>
      <w:r w:rsidRPr="00AF7BDB">
        <w:rPr>
          <w:color w:val="FFFFFF" w:themeColor="background1"/>
        </w:rPr>
        <w:t>Disaster Recovery Funding Arrangements</w:t>
      </w:r>
    </w:p>
    <w:p w14:paraId="72229F95" w14:textId="77777777" w:rsidR="003A4041" w:rsidRDefault="003A4041" w:rsidP="00117CDF">
      <w:pPr>
        <w:pStyle w:val="Title"/>
        <w:ind w:right="2366"/>
      </w:pPr>
    </w:p>
    <w:p w14:paraId="3550FB29" w14:textId="5AAA7D38" w:rsidR="003A4041" w:rsidRDefault="005A2407" w:rsidP="005A2407">
      <w:pPr>
        <w:pStyle w:val="Title"/>
        <w:tabs>
          <w:tab w:val="left" w:pos="1956"/>
        </w:tabs>
        <w:ind w:right="2366"/>
      </w:pPr>
      <w:r>
        <w:tab/>
      </w:r>
    </w:p>
    <w:p w14:paraId="7EC01A40" w14:textId="77777777" w:rsidR="003A4041" w:rsidRDefault="003A4041" w:rsidP="00117CDF">
      <w:pPr>
        <w:pStyle w:val="Title"/>
        <w:ind w:right="2366"/>
      </w:pPr>
    </w:p>
    <w:p w14:paraId="2ABBF898" w14:textId="7A8A7443" w:rsidR="003A4041" w:rsidRPr="00090E80" w:rsidRDefault="003A4041" w:rsidP="003A4041">
      <w:pPr>
        <w:pStyle w:val="Title"/>
        <w:ind w:right="2366"/>
        <w:rPr>
          <w:sz w:val="22"/>
          <w:szCs w:val="22"/>
        </w:rPr>
      </w:pPr>
      <w:r w:rsidRPr="00090E80">
        <w:rPr>
          <w:sz w:val="22"/>
          <w:szCs w:val="22"/>
        </w:rPr>
        <w:t>Updated</w:t>
      </w:r>
      <w:r w:rsidR="008F3975">
        <w:rPr>
          <w:sz w:val="22"/>
          <w:szCs w:val="22"/>
        </w:rPr>
        <w:t xml:space="preserve"> </w:t>
      </w:r>
      <w:r w:rsidR="00EA41BE">
        <w:rPr>
          <w:sz w:val="22"/>
          <w:szCs w:val="22"/>
        </w:rPr>
        <w:t>August 2025</w:t>
      </w:r>
    </w:p>
    <w:p w14:paraId="083CB610" w14:textId="77777777" w:rsidR="003A4041" w:rsidRPr="00652E6F" w:rsidRDefault="003A4041" w:rsidP="00117CDF">
      <w:pPr>
        <w:pStyle w:val="Title"/>
        <w:ind w:right="2366"/>
      </w:pPr>
    </w:p>
    <w:p w14:paraId="1C214B4C" w14:textId="77777777" w:rsidR="00A91244" w:rsidRPr="00117CDF" w:rsidRDefault="00A91244" w:rsidP="00117CDF">
      <w:pPr>
        <w:spacing w:before="0" w:after="0" w:line="240" w:lineRule="auto"/>
        <w:rPr>
          <w:rFonts w:ascii="Arial" w:eastAsia="Times" w:hAnsi="Arial" w:cs="Arial"/>
          <w:spacing w:val="0"/>
          <w:szCs w:val="30"/>
        </w:rPr>
      </w:pPr>
    </w:p>
    <w:p w14:paraId="44526106" w14:textId="77777777" w:rsidR="00A91244" w:rsidRDefault="00A91244" w:rsidP="00D4330F">
      <w:pPr>
        <w:pageBreakBefore/>
        <w:sectPr w:rsidR="00A91244" w:rsidSect="00AA033A">
          <w:headerReference w:type="even" r:id="rId9"/>
          <w:headerReference w:type="default" r:id="rId10"/>
          <w:footerReference w:type="default" r:id="rId11"/>
          <w:headerReference w:type="first" r:id="rId12"/>
          <w:footerReference w:type="first" r:id="rId13"/>
          <w:pgSz w:w="11906" w:h="16838" w:code="9"/>
          <w:pgMar w:top="2160" w:right="1440" w:bottom="1138" w:left="1440" w:header="605" w:footer="562" w:gutter="0"/>
          <w:pgNumType w:start="0"/>
          <w:cols w:space="708"/>
          <w:titlePg/>
          <w:docGrid w:linePitch="381"/>
        </w:sectPr>
      </w:pPr>
    </w:p>
    <w:p w14:paraId="276108C9" w14:textId="77777777" w:rsidR="00AD4BCD" w:rsidRDefault="00C44FF6" w:rsidP="007B5B08">
      <w:pPr>
        <w:pStyle w:val="Heading1"/>
      </w:pPr>
      <w:bookmarkStart w:id="2" w:name="_Toc113518341"/>
      <w:bookmarkStart w:id="3" w:name="_Toc170127147"/>
      <w:r w:rsidRPr="00560EE9">
        <w:lastRenderedPageBreak/>
        <w:t>Contents</w:t>
      </w:r>
      <w:bookmarkEnd w:id="2"/>
      <w:bookmarkEnd w:id="3"/>
    </w:p>
    <w:p w14:paraId="00CF9809" w14:textId="1DFCAE5F" w:rsidR="00FA4524" w:rsidRDefault="008D53B1">
      <w:pPr>
        <w:pStyle w:val="TOC1"/>
        <w:rPr>
          <w:noProof/>
          <w:spacing w:val="0"/>
          <w:kern w:val="2"/>
          <w14:ligatures w14:val="standardContextual"/>
        </w:rPr>
      </w:pPr>
      <w:r w:rsidRPr="00044BF1">
        <w:rPr>
          <w:rFonts w:asciiTheme="majorHAnsi" w:eastAsiaTheme="majorEastAsia" w:hAnsiTheme="majorHAnsi" w:cstheme="majorBidi"/>
          <w:b/>
          <w:bCs/>
          <w:noProof/>
          <w:color w:val="201547"/>
          <w:szCs w:val="28"/>
        </w:rPr>
        <w:fldChar w:fldCharType="begin"/>
      </w:r>
      <w:r w:rsidRPr="00044BF1">
        <w:instrText xml:space="preserve"> TOC \o "</w:instrText>
      </w:r>
      <w:r>
        <w:instrText>1</w:instrText>
      </w:r>
      <w:r w:rsidRPr="00044BF1">
        <w:instrText>-3"</w:instrText>
      </w:r>
      <w:r>
        <w:instrText xml:space="preserve"> \f</w:instrText>
      </w:r>
      <w:r w:rsidRPr="00044BF1">
        <w:instrText xml:space="preserve"> \h \z \t "Heading 1,1,Heading 2,2,Appendix Heading 1,5,Appendix Heading 2,6" </w:instrText>
      </w:r>
      <w:r w:rsidRPr="00044BF1">
        <w:rPr>
          <w:rFonts w:asciiTheme="majorHAnsi" w:eastAsiaTheme="majorEastAsia" w:hAnsiTheme="majorHAnsi" w:cstheme="majorBidi"/>
          <w:b/>
          <w:bCs/>
          <w:noProof/>
          <w:color w:val="201547"/>
          <w:szCs w:val="28"/>
        </w:rPr>
        <w:fldChar w:fldCharType="separate"/>
      </w:r>
      <w:hyperlink w:anchor="_Toc170127147" w:history="1">
        <w:r w:rsidR="00FA4524" w:rsidRPr="00112EAC">
          <w:rPr>
            <w:rStyle w:val="Hyperlink"/>
            <w:noProof/>
          </w:rPr>
          <w:t>Contents</w:t>
        </w:r>
        <w:r w:rsidR="00FA4524">
          <w:rPr>
            <w:noProof/>
            <w:webHidden/>
          </w:rPr>
          <w:tab/>
        </w:r>
        <w:r w:rsidR="00FA4524">
          <w:rPr>
            <w:noProof/>
            <w:webHidden/>
          </w:rPr>
          <w:fldChar w:fldCharType="begin"/>
        </w:r>
        <w:r w:rsidR="00FA4524">
          <w:rPr>
            <w:noProof/>
            <w:webHidden/>
          </w:rPr>
          <w:instrText xml:space="preserve"> PAGEREF _Toc170127147 \h </w:instrText>
        </w:r>
        <w:r w:rsidR="00FA4524">
          <w:rPr>
            <w:noProof/>
            <w:webHidden/>
          </w:rPr>
        </w:r>
        <w:r w:rsidR="00FA4524">
          <w:rPr>
            <w:noProof/>
            <w:webHidden/>
          </w:rPr>
          <w:fldChar w:fldCharType="separate"/>
        </w:r>
        <w:r w:rsidR="00FA4524">
          <w:rPr>
            <w:noProof/>
            <w:webHidden/>
          </w:rPr>
          <w:t>i</w:t>
        </w:r>
        <w:r w:rsidR="00FA4524">
          <w:rPr>
            <w:noProof/>
            <w:webHidden/>
          </w:rPr>
          <w:fldChar w:fldCharType="end"/>
        </w:r>
      </w:hyperlink>
    </w:p>
    <w:p w14:paraId="370830F7" w14:textId="733481E7" w:rsidR="00FA4524" w:rsidRDefault="00FA4524">
      <w:pPr>
        <w:pStyle w:val="TOC1"/>
        <w:tabs>
          <w:tab w:val="left" w:pos="446"/>
        </w:tabs>
        <w:rPr>
          <w:noProof/>
          <w:spacing w:val="0"/>
          <w:kern w:val="2"/>
          <w14:ligatures w14:val="standardContextual"/>
        </w:rPr>
      </w:pPr>
      <w:hyperlink w:anchor="_Toc170127148" w:history="1">
        <w:r w:rsidRPr="00112EAC">
          <w:rPr>
            <w:rStyle w:val="Hyperlink"/>
            <w:noProof/>
          </w:rPr>
          <w:t>1.</w:t>
        </w:r>
        <w:r>
          <w:rPr>
            <w:noProof/>
            <w:spacing w:val="0"/>
            <w:kern w:val="2"/>
            <w14:ligatures w14:val="standardContextual"/>
          </w:rPr>
          <w:tab/>
        </w:r>
        <w:r w:rsidRPr="00112EAC">
          <w:rPr>
            <w:rStyle w:val="Hyperlink"/>
            <w:noProof/>
          </w:rPr>
          <w:t>Glossary of terms</w:t>
        </w:r>
        <w:r>
          <w:rPr>
            <w:noProof/>
            <w:webHidden/>
          </w:rPr>
          <w:tab/>
        </w:r>
        <w:r>
          <w:rPr>
            <w:noProof/>
            <w:webHidden/>
          </w:rPr>
          <w:fldChar w:fldCharType="begin"/>
        </w:r>
        <w:r>
          <w:rPr>
            <w:noProof/>
            <w:webHidden/>
          </w:rPr>
          <w:instrText xml:space="preserve"> PAGEREF _Toc170127148 \h </w:instrText>
        </w:r>
        <w:r>
          <w:rPr>
            <w:noProof/>
            <w:webHidden/>
          </w:rPr>
        </w:r>
        <w:r>
          <w:rPr>
            <w:noProof/>
            <w:webHidden/>
          </w:rPr>
          <w:fldChar w:fldCharType="separate"/>
        </w:r>
        <w:r>
          <w:rPr>
            <w:noProof/>
            <w:webHidden/>
          </w:rPr>
          <w:t>1</w:t>
        </w:r>
        <w:r>
          <w:rPr>
            <w:noProof/>
            <w:webHidden/>
          </w:rPr>
          <w:fldChar w:fldCharType="end"/>
        </w:r>
      </w:hyperlink>
    </w:p>
    <w:p w14:paraId="504B4733" w14:textId="0E493C53" w:rsidR="00FA4524" w:rsidRDefault="00FA4524">
      <w:pPr>
        <w:pStyle w:val="TOC1"/>
        <w:tabs>
          <w:tab w:val="left" w:pos="446"/>
        </w:tabs>
        <w:rPr>
          <w:noProof/>
          <w:spacing w:val="0"/>
          <w:kern w:val="2"/>
          <w14:ligatures w14:val="standardContextual"/>
        </w:rPr>
      </w:pPr>
      <w:hyperlink w:anchor="_Toc170127149" w:history="1">
        <w:r w:rsidRPr="00112EAC">
          <w:rPr>
            <w:rStyle w:val="Hyperlink"/>
            <w:noProof/>
          </w:rPr>
          <w:t>2.</w:t>
        </w:r>
        <w:r>
          <w:rPr>
            <w:noProof/>
            <w:spacing w:val="0"/>
            <w:kern w:val="2"/>
            <w14:ligatures w14:val="standardContextual"/>
          </w:rPr>
          <w:tab/>
        </w:r>
        <w:r w:rsidRPr="00112EAC">
          <w:rPr>
            <w:rStyle w:val="Hyperlink"/>
            <w:noProof/>
          </w:rPr>
          <w:t>Introduction</w:t>
        </w:r>
        <w:r>
          <w:rPr>
            <w:noProof/>
            <w:webHidden/>
          </w:rPr>
          <w:tab/>
        </w:r>
        <w:r>
          <w:rPr>
            <w:noProof/>
            <w:webHidden/>
          </w:rPr>
          <w:fldChar w:fldCharType="begin"/>
        </w:r>
        <w:r>
          <w:rPr>
            <w:noProof/>
            <w:webHidden/>
          </w:rPr>
          <w:instrText xml:space="preserve"> PAGEREF _Toc170127149 \h </w:instrText>
        </w:r>
        <w:r>
          <w:rPr>
            <w:noProof/>
            <w:webHidden/>
          </w:rPr>
        </w:r>
        <w:r>
          <w:rPr>
            <w:noProof/>
            <w:webHidden/>
          </w:rPr>
          <w:fldChar w:fldCharType="separate"/>
        </w:r>
        <w:r>
          <w:rPr>
            <w:noProof/>
            <w:webHidden/>
          </w:rPr>
          <w:t>6</w:t>
        </w:r>
        <w:r>
          <w:rPr>
            <w:noProof/>
            <w:webHidden/>
          </w:rPr>
          <w:fldChar w:fldCharType="end"/>
        </w:r>
      </w:hyperlink>
    </w:p>
    <w:p w14:paraId="72F7622A" w14:textId="3050EC4C" w:rsidR="00FA4524" w:rsidRDefault="00FA4524">
      <w:pPr>
        <w:pStyle w:val="TOC2"/>
        <w:tabs>
          <w:tab w:val="left" w:pos="1080"/>
        </w:tabs>
        <w:rPr>
          <w:spacing w:val="0"/>
          <w:kern w:val="2"/>
          <w:sz w:val="24"/>
          <w:szCs w:val="24"/>
          <w14:ligatures w14:val="standardContextual"/>
        </w:rPr>
      </w:pPr>
      <w:hyperlink w:anchor="_Toc170127150" w:history="1">
        <w:r w:rsidRPr="00112EAC">
          <w:rPr>
            <w:rStyle w:val="Hyperlink"/>
          </w:rPr>
          <w:t>1.2</w:t>
        </w:r>
        <w:r>
          <w:rPr>
            <w:spacing w:val="0"/>
            <w:kern w:val="2"/>
            <w:sz w:val="24"/>
            <w:szCs w:val="24"/>
            <w14:ligatures w14:val="standardContextual"/>
          </w:rPr>
          <w:tab/>
        </w:r>
        <w:r w:rsidRPr="00112EAC">
          <w:rPr>
            <w:rStyle w:val="Hyperlink"/>
          </w:rPr>
          <w:t>Purpose</w:t>
        </w:r>
        <w:r>
          <w:rPr>
            <w:webHidden/>
          </w:rPr>
          <w:tab/>
        </w:r>
        <w:r>
          <w:rPr>
            <w:webHidden/>
          </w:rPr>
          <w:fldChar w:fldCharType="begin"/>
        </w:r>
        <w:r>
          <w:rPr>
            <w:webHidden/>
          </w:rPr>
          <w:instrText xml:space="preserve"> PAGEREF _Toc170127150 \h </w:instrText>
        </w:r>
        <w:r>
          <w:rPr>
            <w:webHidden/>
          </w:rPr>
        </w:r>
        <w:r>
          <w:rPr>
            <w:webHidden/>
          </w:rPr>
          <w:fldChar w:fldCharType="separate"/>
        </w:r>
        <w:r>
          <w:rPr>
            <w:webHidden/>
          </w:rPr>
          <w:t>6</w:t>
        </w:r>
        <w:r>
          <w:rPr>
            <w:webHidden/>
          </w:rPr>
          <w:fldChar w:fldCharType="end"/>
        </w:r>
      </w:hyperlink>
    </w:p>
    <w:p w14:paraId="177DE204" w14:textId="13F4AB1F" w:rsidR="00FA4524" w:rsidRDefault="00FA4524">
      <w:pPr>
        <w:pStyle w:val="TOC2"/>
        <w:tabs>
          <w:tab w:val="left" w:pos="1080"/>
        </w:tabs>
        <w:rPr>
          <w:spacing w:val="0"/>
          <w:kern w:val="2"/>
          <w:sz w:val="24"/>
          <w:szCs w:val="24"/>
          <w14:ligatures w14:val="standardContextual"/>
        </w:rPr>
      </w:pPr>
      <w:hyperlink w:anchor="_Toc170127151" w:history="1">
        <w:r w:rsidRPr="00112EAC">
          <w:rPr>
            <w:rStyle w:val="Hyperlink"/>
          </w:rPr>
          <w:t>1.3</w:t>
        </w:r>
        <w:r>
          <w:rPr>
            <w:spacing w:val="0"/>
            <w:kern w:val="2"/>
            <w:sz w:val="24"/>
            <w:szCs w:val="24"/>
            <w14:ligatures w14:val="standardContextual"/>
          </w:rPr>
          <w:tab/>
        </w:r>
        <w:r w:rsidRPr="00112EAC">
          <w:rPr>
            <w:rStyle w:val="Hyperlink"/>
          </w:rPr>
          <w:t>Scope</w:t>
        </w:r>
        <w:r>
          <w:rPr>
            <w:webHidden/>
          </w:rPr>
          <w:tab/>
        </w:r>
        <w:r>
          <w:rPr>
            <w:webHidden/>
          </w:rPr>
          <w:fldChar w:fldCharType="begin"/>
        </w:r>
        <w:r>
          <w:rPr>
            <w:webHidden/>
          </w:rPr>
          <w:instrText xml:space="preserve"> PAGEREF _Toc170127151 \h </w:instrText>
        </w:r>
        <w:r>
          <w:rPr>
            <w:webHidden/>
          </w:rPr>
        </w:r>
        <w:r>
          <w:rPr>
            <w:webHidden/>
          </w:rPr>
          <w:fldChar w:fldCharType="separate"/>
        </w:r>
        <w:r>
          <w:rPr>
            <w:webHidden/>
          </w:rPr>
          <w:t>7</w:t>
        </w:r>
        <w:r>
          <w:rPr>
            <w:webHidden/>
          </w:rPr>
          <w:fldChar w:fldCharType="end"/>
        </w:r>
      </w:hyperlink>
    </w:p>
    <w:p w14:paraId="53547790" w14:textId="0E648FFD" w:rsidR="00FA4524" w:rsidRDefault="00FA4524">
      <w:pPr>
        <w:pStyle w:val="TOC2"/>
        <w:tabs>
          <w:tab w:val="left" w:pos="1080"/>
        </w:tabs>
        <w:rPr>
          <w:spacing w:val="0"/>
          <w:kern w:val="2"/>
          <w:sz w:val="24"/>
          <w:szCs w:val="24"/>
          <w14:ligatures w14:val="standardContextual"/>
        </w:rPr>
      </w:pPr>
      <w:hyperlink w:anchor="_Toc170127152" w:history="1">
        <w:r w:rsidRPr="00112EAC">
          <w:rPr>
            <w:rStyle w:val="Hyperlink"/>
          </w:rPr>
          <w:t>1.4</w:t>
        </w:r>
        <w:r>
          <w:rPr>
            <w:spacing w:val="0"/>
            <w:kern w:val="2"/>
            <w:sz w:val="24"/>
            <w:szCs w:val="24"/>
            <w14:ligatures w14:val="standardContextual"/>
          </w:rPr>
          <w:tab/>
        </w:r>
        <w:r w:rsidRPr="00112EAC">
          <w:rPr>
            <w:rStyle w:val="Hyperlink"/>
          </w:rPr>
          <w:t>Timeframes</w:t>
        </w:r>
        <w:r>
          <w:rPr>
            <w:webHidden/>
          </w:rPr>
          <w:tab/>
        </w:r>
        <w:r>
          <w:rPr>
            <w:webHidden/>
          </w:rPr>
          <w:fldChar w:fldCharType="begin"/>
        </w:r>
        <w:r>
          <w:rPr>
            <w:webHidden/>
          </w:rPr>
          <w:instrText xml:space="preserve"> PAGEREF _Toc170127152 \h </w:instrText>
        </w:r>
        <w:r>
          <w:rPr>
            <w:webHidden/>
          </w:rPr>
        </w:r>
        <w:r>
          <w:rPr>
            <w:webHidden/>
          </w:rPr>
          <w:fldChar w:fldCharType="separate"/>
        </w:r>
        <w:r>
          <w:rPr>
            <w:webHidden/>
          </w:rPr>
          <w:t>7</w:t>
        </w:r>
        <w:r>
          <w:rPr>
            <w:webHidden/>
          </w:rPr>
          <w:fldChar w:fldCharType="end"/>
        </w:r>
      </w:hyperlink>
    </w:p>
    <w:p w14:paraId="6A7BAD6C" w14:textId="54BAFE25" w:rsidR="00FA4524" w:rsidRDefault="00FA4524">
      <w:pPr>
        <w:pStyle w:val="TOC2"/>
        <w:tabs>
          <w:tab w:val="left" w:pos="1080"/>
        </w:tabs>
        <w:rPr>
          <w:spacing w:val="0"/>
          <w:kern w:val="2"/>
          <w:sz w:val="24"/>
          <w:szCs w:val="24"/>
          <w14:ligatures w14:val="standardContextual"/>
        </w:rPr>
      </w:pPr>
      <w:hyperlink w:anchor="_Toc170127153" w:history="1">
        <w:r w:rsidRPr="00112EAC">
          <w:rPr>
            <w:rStyle w:val="Hyperlink"/>
          </w:rPr>
          <w:t>1.5</w:t>
        </w:r>
        <w:r>
          <w:rPr>
            <w:spacing w:val="0"/>
            <w:kern w:val="2"/>
            <w:sz w:val="24"/>
            <w:szCs w:val="24"/>
            <w14:ligatures w14:val="standardContextual"/>
          </w:rPr>
          <w:tab/>
        </w:r>
        <w:r w:rsidRPr="00112EAC">
          <w:rPr>
            <w:rStyle w:val="Hyperlink"/>
          </w:rPr>
          <w:t>Estimate by projects</w:t>
        </w:r>
        <w:r>
          <w:rPr>
            <w:webHidden/>
          </w:rPr>
          <w:tab/>
        </w:r>
        <w:r>
          <w:rPr>
            <w:webHidden/>
          </w:rPr>
          <w:fldChar w:fldCharType="begin"/>
        </w:r>
        <w:r>
          <w:rPr>
            <w:webHidden/>
          </w:rPr>
          <w:instrText xml:space="preserve"> PAGEREF _Toc170127153 \h </w:instrText>
        </w:r>
        <w:r>
          <w:rPr>
            <w:webHidden/>
          </w:rPr>
        </w:r>
        <w:r>
          <w:rPr>
            <w:webHidden/>
          </w:rPr>
          <w:fldChar w:fldCharType="separate"/>
        </w:r>
        <w:r>
          <w:rPr>
            <w:webHidden/>
          </w:rPr>
          <w:t>7</w:t>
        </w:r>
        <w:r>
          <w:rPr>
            <w:webHidden/>
          </w:rPr>
          <w:fldChar w:fldCharType="end"/>
        </w:r>
      </w:hyperlink>
    </w:p>
    <w:p w14:paraId="25B8E778" w14:textId="1CF7921A" w:rsidR="00FA4524" w:rsidRDefault="00FA4524">
      <w:pPr>
        <w:pStyle w:val="TOC2"/>
        <w:tabs>
          <w:tab w:val="left" w:pos="1080"/>
        </w:tabs>
        <w:rPr>
          <w:spacing w:val="0"/>
          <w:kern w:val="2"/>
          <w:sz w:val="24"/>
          <w:szCs w:val="24"/>
          <w14:ligatures w14:val="standardContextual"/>
        </w:rPr>
      </w:pPr>
      <w:hyperlink w:anchor="_Toc170127154" w:history="1">
        <w:r w:rsidRPr="00112EAC">
          <w:rPr>
            <w:rStyle w:val="Hyperlink"/>
          </w:rPr>
          <w:t>1.6</w:t>
        </w:r>
        <w:r>
          <w:rPr>
            <w:spacing w:val="0"/>
            <w:kern w:val="2"/>
            <w:sz w:val="24"/>
            <w:szCs w:val="24"/>
            <w14:ligatures w14:val="standardContextual"/>
          </w:rPr>
          <w:tab/>
        </w:r>
        <w:r w:rsidRPr="00112EAC">
          <w:rPr>
            <w:rStyle w:val="Hyperlink"/>
          </w:rPr>
          <w:t>Approach</w:t>
        </w:r>
        <w:r>
          <w:rPr>
            <w:webHidden/>
          </w:rPr>
          <w:tab/>
        </w:r>
        <w:r>
          <w:rPr>
            <w:webHidden/>
          </w:rPr>
          <w:fldChar w:fldCharType="begin"/>
        </w:r>
        <w:r>
          <w:rPr>
            <w:webHidden/>
          </w:rPr>
          <w:instrText xml:space="preserve"> PAGEREF _Toc170127154 \h </w:instrText>
        </w:r>
        <w:r>
          <w:rPr>
            <w:webHidden/>
          </w:rPr>
        </w:r>
        <w:r>
          <w:rPr>
            <w:webHidden/>
          </w:rPr>
          <w:fldChar w:fldCharType="separate"/>
        </w:r>
        <w:r>
          <w:rPr>
            <w:webHidden/>
          </w:rPr>
          <w:t>8</w:t>
        </w:r>
        <w:r>
          <w:rPr>
            <w:webHidden/>
          </w:rPr>
          <w:fldChar w:fldCharType="end"/>
        </w:r>
      </w:hyperlink>
    </w:p>
    <w:p w14:paraId="4194BB43" w14:textId="6AD4B793" w:rsidR="00FA4524" w:rsidRDefault="00FA4524">
      <w:pPr>
        <w:pStyle w:val="TOC1"/>
        <w:tabs>
          <w:tab w:val="left" w:pos="446"/>
        </w:tabs>
        <w:rPr>
          <w:noProof/>
          <w:spacing w:val="0"/>
          <w:kern w:val="2"/>
          <w14:ligatures w14:val="standardContextual"/>
        </w:rPr>
      </w:pPr>
      <w:hyperlink w:anchor="_Toc170127155" w:history="1">
        <w:r w:rsidRPr="00112EAC">
          <w:rPr>
            <w:rStyle w:val="Hyperlink"/>
            <w:noProof/>
          </w:rPr>
          <w:t>3.</w:t>
        </w:r>
        <w:r>
          <w:rPr>
            <w:noProof/>
            <w:spacing w:val="0"/>
            <w:kern w:val="2"/>
            <w14:ligatures w14:val="standardContextual"/>
          </w:rPr>
          <w:tab/>
        </w:r>
        <w:r w:rsidRPr="00112EAC">
          <w:rPr>
            <w:rStyle w:val="Hyperlink"/>
            <w:noProof/>
          </w:rPr>
          <w:t>Direct costs</w:t>
        </w:r>
        <w:r>
          <w:rPr>
            <w:noProof/>
            <w:webHidden/>
          </w:rPr>
          <w:tab/>
        </w:r>
        <w:r>
          <w:rPr>
            <w:noProof/>
            <w:webHidden/>
          </w:rPr>
          <w:fldChar w:fldCharType="begin"/>
        </w:r>
        <w:r>
          <w:rPr>
            <w:noProof/>
            <w:webHidden/>
          </w:rPr>
          <w:instrText xml:space="preserve"> PAGEREF _Toc170127155 \h </w:instrText>
        </w:r>
        <w:r>
          <w:rPr>
            <w:noProof/>
            <w:webHidden/>
          </w:rPr>
        </w:r>
        <w:r>
          <w:rPr>
            <w:noProof/>
            <w:webHidden/>
          </w:rPr>
          <w:fldChar w:fldCharType="separate"/>
        </w:r>
        <w:r>
          <w:rPr>
            <w:noProof/>
            <w:webHidden/>
          </w:rPr>
          <w:t>8</w:t>
        </w:r>
        <w:r>
          <w:rPr>
            <w:noProof/>
            <w:webHidden/>
          </w:rPr>
          <w:fldChar w:fldCharType="end"/>
        </w:r>
      </w:hyperlink>
    </w:p>
    <w:p w14:paraId="01E0DCEC" w14:textId="22413B69" w:rsidR="00FA4524" w:rsidRDefault="00FA4524">
      <w:pPr>
        <w:pStyle w:val="TOC2"/>
        <w:tabs>
          <w:tab w:val="left" w:pos="1080"/>
        </w:tabs>
        <w:rPr>
          <w:spacing w:val="0"/>
          <w:kern w:val="2"/>
          <w:sz w:val="24"/>
          <w:szCs w:val="24"/>
          <w14:ligatures w14:val="standardContextual"/>
        </w:rPr>
      </w:pPr>
      <w:hyperlink w:anchor="_Toc170127156" w:history="1">
        <w:r w:rsidRPr="00112EAC">
          <w:rPr>
            <w:rStyle w:val="Hyperlink"/>
          </w:rPr>
          <w:t>3.1</w:t>
        </w:r>
        <w:r>
          <w:rPr>
            <w:spacing w:val="0"/>
            <w:kern w:val="2"/>
            <w:sz w:val="24"/>
            <w:szCs w:val="24"/>
            <w14:ligatures w14:val="standardContextual"/>
          </w:rPr>
          <w:tab/>
        </w:r>
        <w:r w:rsidRPr="00112EAC">
          <w:rPr>
            <w:rStyle w:val="Hyperlink"/>
          </w:rPr>
          <w:t>Cost estimation</w:t>
        </w:r>
        <w:r>
          <w:rPr>
            <w:webHidden/>
          </w:rPr>
          <w:tab/>
        </w:r>
        <w:r>
          <w:rPr>
            <w:webHidden/>
          </w:rPr>
          <w:fldChar w:fldCharType="begin"/>
        </w:r>
        <w:r>
          <w:rPr>
            <w:webHidden/>
          </w:rPr>
          <w:instrText xml:space="preserve"> PAGEREF _Toc170127156 \h </w:instrText>
        </w:r>
        <w:r>
          <w:rPr>
            <w:webHidden/>
          </w:rPr>
        </w:r>
        <w:r>
          <w:rPr>
            <w:webHidden/>
          </w:rPr>
          <w:fldChar w:fldCharType="separate"/>
        </w:r>
        <w:r>
          <w:rPr>
            <w:webHidden/>
          </w:rPr>
          <w:t>8</w:t>
        </w:r>
        <w:r>
          <w:rPr>
            <w:webHidden/>
          </w:rPr>
          <w:fldChar w:fldCharType="end"/>
        </w:r>
      </w:hyperlink>
    </w:p>
    <w:p w14:paraId="2A880C92" w14:textId="3E26610D" w:rsidR="00FA4524" w:rsidRDefault="00FA4524">
      <w:pPr>
        <w:pStyle w:val="TOC3"/>
        <w:tabs>
          <w:tab w:val="left" w:pos="1800"/>
        </w:tabs>
        <w:rPr>
          <w:spacing w:val="0"/>
          <w:kern w:val="2"/>
          <w:sz w:val="24"/>
          <w:szCs w:val="24"/>
          <w14:ligatures w14:val="standardContextual"/>
        </w:rPr>
      </w:pPr>
      <w:hyperlink w:anchor="_Toc170127157" w:history="1">
        <w:r w:rsidRPr="00112EAC">
          <w:rPr>
            <w:rStyle w:val="Hyperlink"/>
          </w:rPr>
          <w:t>3.1.1</w:t>
        </w:r>
        <w:r>
          <w:rPr>
            <w:spacing w:val="0"/>
            <w:kern w:val="2"/>
            <w:sz w:val="24"/>
            <w:szCs w:val="24"/>
            <w14:ligatures w14:val="standardContextual"/>
          </w:rPr>
          <w:tab/>
        </w:r>
        <w:r w:rsidRPr="00112EAC">
          <w:rPr>
            <w:rStyle w:val="Hyperlink"/>
          </w:rPr>
          <w:t>Process</w:t>
        </w:r>
        <w:r>
          <w:rPr>
            <w:webHidden/>
          </w:rPr>
          <w:tab/>
        </w:r>
        <w:r>
          <w:rPr>
            <w:webHidden/>
          </w:rPr>
          <w:fldChar w:fldCharType="begin"/>
        </w:r>
        <w:r>
          <w:rPr>
            <w:webHidden/>
          </w:rPr>
          <w:instrText xml:space="preserve"> PAGEREF _Toc170127157 \h </w:instrText>
        </w:r>
        <w:r>
          <w:rPr>
            <w:webHidden/>
          </w:rPr>
        </w:r>
        <w:r>
          <w:rPr>
            <w:webHidden/>
          </w:rPr>
          <w:fldChar w:fldCharType="separate"/>
        </w:r>
        <w:r>
          <w:rPr>
            <w:webHidden/>
          </w:rPr>
          <w:t>8</w:t>
        </w:r>
        <w:r>
          <w:rPr>
            <w:webHidden/>
          </w:rPr>
          <w:fldChar w:fldCharType="end"/>
        </w:r>
      </w:hyperlink>
    </w:p>
    <w:p w14:paraId="405717C8" w14:textId="2218F189" w:rsidR="00FA4524" w:rsidRDefault="00FA4524">
      <w:pPr>
        <w:pStyle w:val="TOC3"/>
        <w:tabs>
          <w:tab w:val="left" w:pos="1800"/>
        </w:tabs>
        <w:rPr>
          <w:spacing w:val="0"/>
          <w:kern w:val="2"/>
          <w:sz w:val="24"/>
          <w:szCs w:val="24"/>
          <w14:ligatures w14:val="standardContextual"/>
        </w:rPr>
      </w:pPr>
      <w:hyperlink w:anchor="_Toc170127158" w:history="1">
        <w:r w:rsidRPr="00112EAC">
          <w:rPr>
            <w:rStyle w:val="Hyperlink"/>
          </w:rPr>
          <w:t>3.1.2</w:t>
        </w:r>
        <w:r>
          <w:rPr>
            <w:spacing w:val="0"/>
            <w:kern w:val="2"/>
            <w:sz w:val="24"/>
            <w:szCs w:val="24"/>
            <w14:ligatures w14:val="standardContextual"/>
          </w:rPr>
          <w:tab/>
        </w:r>
        <w:r w:rsidRPr="00112EAC">
          <w:rPr>
            <w:rStyle w:val="Hyperlink"/>
          </w:rPr>
          <w:t>Standard treatments</w:t>
        </w:r>
        <w:r>
          <w:rPr>
            <w:webHidden/>
          </w:rPr>
          <w:tab/>
        </w:r>
        <w:r>
          <w:rPr>
            <w:webHidden/>
          </w:rPr>
          <w:fldChar w:fldCharType="begin"/>
        </w:r>
        <w:r>
          <w:rPr>
            <w:webHidden/>
          </w:rPr>
          <w:instrText xml:space="preserve"> PAGEREF _Toc170127158 \h </w:instrText>
        </w:r>
        <w:r>
          <w:rPr>
            <w:webHidden/>
          </w:rPr>
        </w:r>
        <w:r>
          <w:rPr>
            <w:webHidden/>
          </w:rPr>
          <w:fldChar w:fldCharType="separate"/>
        </w:r>
        <w:r>
          <w:rPr>
            <w:webHidden/>
          </w:rPr>
          <w:t>9</w:t>
        </w:r>
        <w:r>
          <w:rPr>
            <w:webHidden/>
          </w:rPr>
          <w:fldChar w:fldCharType="end"/>
        </w:r>
      </w:hyperlink>
    </w:p>
    <w:p w14:paraId="68381CDC" w14:textId="5A130945" w:rsidR="00FA4524" w:rsidRDefault="00FA4524">
      <w:pPr>
        <w:pStyle w:val="TOC3"/>
        <w:tabs>
          <w:tab w:val="left" w:pos="1800"/>
        </w:tabs>
        <w:rPr>
          <w:spacing w:val="0"/>
          <w:kern w:val="2"/>
          <w:sz w:val="24"/>
          <w:szCs w:val="24"/>
          <w14:ligatures w14:val="standardContextual"/>
        </w:rPr>
      </w:pPr>
      <w:hyperlink w:anchor="_Toc170127159" w:history="1">
        <w:r w:rsidRPr="00112EAC">
          <w:rPr>
            <w:rStyle w:val="Hyperlink"/>
          </w:rPr>
          <w:t>3.1.3</w:t>
        </w:r>
        <w:r>
          <w:rPr>
            <w:spacing w:val="0"/>
            <w:kern w:val="2"/>
            <w:sz w:val="24"/>
            <w:szCs w:val="24"/>
            <w14:ligatures w14:val="standardContextual"/>
          </w:rPr>
          <w:tab/>
        </w:r>
        <w:r w:rsidRPr="00112EAC">
          <w:rPr>
            <w:rStyle w:val="Hyperlink"/>
          </w:rPr>
          <w:t>First principles estimation</w:t>
        </w:r>
        <w:r>
          <w:rPr>
            <w:webHidden/>
          </w:rPr>
          <w:tab/>
        </w:r>
        <w:r>
          <w:rPr>
            <w:webHidden/>
          </w:rPr>
          <w:fldChar w:fldCharType="begin"/>
        </w:r>
        <w:r>
          <w:rPr>
            <w:webHidden/>
          </w:rPr>
          <w:instrText xml:space="preserve"> PAGEREF _Toc170127159 \h </w:instrText>
        </w:r>
        <w:r>
          <w:rPr>
            <w:webHidden/>
          </w:rPr>
        </w:r>
        <w:r>
          <w:rPr>
            <w:webHidden/>
          </w:rPr>
          <w:fldChar w:fldCharType="separate"/>
        </w:r>
        <w:r>
          <w:rPr>
            <w:webHidden/>
          </w:rPr>
          <w:t>10</w:t>
        </w:r>
        <w:r>
          <w:rPr>
            <w:webHidden/>
          </w:rPr>
          <w:fldChar w:fldCharType="end"/>
        </w:r>
      </w:hyperlink>
    </w:p>
    <w:p w14:paraId="4BB80F85" w14:textId="398D7A9A" w:rsidR="00FA4524" w:rsidRDefault="00FA4524">
      <w:pPr>
        <w:pStyle w:val="TOC3"/>
        <w:tabs>
          <w:tab w:val="left" w:pos="1800"/>
        </w:tabs>
        <w:rPr>
          <w:spacing w:val="0"/>
          <w:kern w:val="2"/>
          <w:sz w:val="24"/>
          <w:szCs w:val="24"/>
          <w14:ligatures w14:val="standardContextual"/>
        </w:rPr>
      </w:pPr>
      <w:hyperlink w:anchor="_Toc170127160" w:history="1">
        <w:r w:rsidRPr="00112EAC">
          <w:rPr>
            <w:rStyle w:val="Hyperlink"/>
          </w:rPr>
          <w:t>3.1.4</w:t>
        </w:r>
        <w:r>
          <w:rPr>
            <w:spacing w:val="0"/>
            <w:kern w:val="2"/>
            <w:sz w:val="24"/>
            <w:szCs w:val="24"/>
            <w14:ligatures w14:val="standardContextual"/>
          </w:rPr>
          <w:tab/>
        </w:r>
        <w:r w:rsidRPr="00112EAC">
          <w:rPr>
            <w:rStyle w:val="Hyperlink"/>
          </w:rPr>
          <w:t>Cost estimation tool</w:t>
        </w:r>
        <w:r>
          <w:rPr>
            <w:webHidden/>
          </w:rPr>
          <w:tab/>
        </w:r>
        <w:r>
          <w:rPr>
            <w:webHidden/>
          </w:rPr>
          <w:fldChar w:fldCharType="begin"/>
        </w:r>
        <w:r>
          <w:rPr>
            <w:webHidden/>
          </w:rPr>
          <w:instrText xml:space="preserve"> PAGEREF _Toc170127160 \h </w:instrText>
        </w:r>
        <w:r>
          <w:rPr>
            <w:webHidden/>
          </w:rPr>
        </w:r>
        <w:r>
          <w:rPr>
            <w:webHidden/>
          </w:rPr>
          <w:fldChar w:fldCharType="separate"/>
        </w:r>
        <w:r>
          <w:rPr>
            <w:webHidden/>
          </w:rPr>
          <w:t>11</w:t>
        </w:r>
        <w:r>
          <w:rPr>
            <w:webHidden/>
          </w:rPr>
          <w:fldChar w:fldCharType="end"/>
        </w:r>
      </w:hyperlink>
    </w:p>
    <w:p w14:paraId="6F3834DC" w14:textId="7DE5B672" w:rsidR="00FA4524" w:rsidRDefault="00FA4524">
      <w:pPr>
        <w:pStyle w:val="TOC3"/>
        <w:tabs>
          <w:tab w:val="left" w:pos="1800"/>
        </w:tabs>
        <w:rPr>
          <w:spacing w:val="0"/>
          <w:kern w:val="2"/>
          <w:sz w:val="24"/>
          <w:szCs w:val="24"/>
          <w14:ligatures w14:val="standardContextual"/>
        </w:rPr>
      </w:pPr>
      <w:hyperlink w:anchor="_Toc170127161" w:history="1">
        <w:r w:rsidRPr="00112EAC">
          <w:rPr>
            <w:rStyle w:val="Hyperlink"/>
          </w:rPr>
          <w:t>3.1.5</w:t>
        </w:r>
        <w:r>
          <w:rPr>
            <w:spacing w:val="0"/>
            <w:kern w:val="2"/>
            <w:sz w:val="24"/>
            <w:szCs w:val="24"/>
            <w14:ligatures w14:val="standardContextual"/>
          </w:rPr>
          <w:tab/>
        </w:r>
        <w:r w:rsidRPr="00112EAC">
          <w:rPr>
            <w:rStyle w:val="Hyperlink"/>
          </w:rPr>
          <w:t>Standard treatment build-up</w:t>
        </w:r>
        <w:r>
          <w:rPr>
            <w:webHidden/>
          </w:rPr>
          <w:tab/>
        </w:r>
        <w:r>
          <w:rPr>
            <w:webHidden/>
          </w:rPr>
          <w:fldChar w:fldCharType="begin"/>
        </w:r>
        <w:r>
          <w:rPr>
            <w:webHidden/>
          </w:rPr>
          <w:instrText xml:space="preserve"> PAGEREF _Toc170127161 \h </w:instrText>
        </w:r>
        <w:r>
          <w:rPr>
            <w:webHidden/>
          </w:rPr>
        </w:r>
        <w:r>
          <w:rPr>
            <w:webHidden/>
          </w:rPr>
          <w:fldChar w:fldCharType="separate"/>
        </w:r>
        <w:r>
          <w:rPr>
            <w:webHidden/>
          </w:rPr>
          <w:t>11</w:t>
        </w:r>
        <w:r>
          <w:rPr>
            <w:webHidden/>
          </w:rPr>
          <w:fldChar w:fldCharType="end"/>
        </w:r>
      </w:hyperlink>
    </w:p>
    <w:p w14:paraId="5A50CA11" w14:textId="10DF4F6F" w:rsidR="00FA4524" w:rsidRDefault="00FA4524">
      <w:pPr>
        <w:pStyle w:val="TOC3"/>
        <w:tabs>
          <w:tab w:val="left" w:pos="1800"/>
        </w:tabs>
        <w:rPr>
          <w:spacing w:val="0"/>
          <w:kern w:val="2"/>
          <w:sz w:val="24"/>
          <w:szCs w:val="24"/>
          <w14:ligatures w14:val="standardContextual"/>
        </w:rPr>
      </w:pPr>
      <w:hyperlink w:anchor="_Toc170127162" w:history="1">
        <w:r w:rsidRPr="00112EAC">
          <w:rPr>
            <w:rStyle w:val="Hyperlink"/>
          </w:rPr>
          <w:t>3.1.6</w:t>
        </w:r>
        <w:r>
          <w:rPr>
            <w:spacing w:val="0"/>
            <w:kern w:val="2"/>
            <w:sz w:val="24"/>
            <w:szCs w:val="24"/>
            <w14:ligatures w14:val="standardContextual"/>
          </w:rPr>
          <w:tab/>
        </w:r>
        <w:r w:rsidRPr="00112EAC">
          <w:rPr>
            <w:rStyle w:val="Hyperlink"/>
          </w:rPr>
          <w:t>Applicant specific treatment build-up</w:t>
        </w:r>
        <w:r>
          <w:rPr>
            <w:webHidden/>
          </w:rPr>
          <w:tab/>
        </w:r>
        <w:r>
          <w:rPr>
            <w:webHidden/>
          </w:rPr>
          <w:fldChar w:fldCharType="begin"/>
        </w:r>
        <w:r>
          <w:rPr>
            <w:webHidden/>
          </w:rPr>
          <w:instrText xml:space="preserve"> PAGEREF _Toc170127162 \h </w:instrText>
        </w:r>
        <w:r>
          <w:rPr>
            <w:webHidden/>
          </w:rPr>
        </w:r>
        <w:r>
          <w:rPr>
            <w:webHidden/>
          </w:rPr>
          <w:fldChar w:fldCharType="separate"/>
        </w:r>
        <w:r>
          <w:rPr>
            <w:webHidden/>
          </w:rPr>
          <w:t>11</w:t>
        </w:r>
        <w:r>
          <w:rPr>
            <w:webHidden/>
          </w:rPr>
          <w:fldChar w:fldCharType="end"/>
        </w:r>
      </w:hyperlink>
    </w:p>
    <w:p w14:paraId="6864C89D" w14:textId="552D8573" w:rsidR="00FA4524" w:rsidRDefault="00FA4524">
      <w:pPr>
        <w:pStyle w:val="TOC3"/>
        <w:tabs>
          <w:tab w:val="left" w:pos="1800"/>
        </w:tabs>
        <w:rPr>
          <w:spacing w:val="0"/>
          <w:kern w:val="2"/>
          <w:sz w:val="24"/>
          <w:szCs w:val="24"/>
          <w14:ligatures w14:val="standardContextual"/>
        </w:rPr>
      </w:pPr>
      <w:hyperlink w:anchor="_Toc170127165" w:history="1">
        <w:r w:rsidRPr="00112EAC">
          <w:rPr>
            <w:rStyle w:val="Hyperlink"/>
          </w:rPr>
          <w:t>3.1.7</w:t>
        </w:r>
        <w:r>
          <w:rPr>
            <w:spacing w:val="0"/>
            <w:kern w:val="2"/>
            <w:sz w:val="24"/>
            <w:szCs w:val="24"/>
            <w14:ligatures w14:val="standardContextual"/>
          </w:rPr>
          <w:tab/>
        </w:r>
        <w:r w:rsidRPr="00112EAC">
          <w:rPr>
            <w:rStyle w:val="Hyperlink"/>
          </w:rPr>
          <w:t>Review, validation and assurance</w:t>
        </w:r>
        <w:r>
          <w:rPr>
            <w:webHidden/>
          </w:rPr>
          <w:tab/>
        </w:r>
        <w:r>
          <w:rPr>
            <w:webHidden/>
          </w:rPr>
          <w:fldChar w:fldCharType="begin"/>
        </w:r>
        <w:r>
          <w:rPr>
            <w:webHidden/>
          </w:rPr>
          <w:instrText xml:space="preserve"> PAGEREF _Toc170127165 \h </w:instrText>
        </w:r>
        <w:r>
          <w:rPr>
            <w:webHidden/>
          </w:rPr>
        </w:r>
        <w:r>
          <w:rPr>
            <w:webHidden/>
          </w:rPr>
          <w:fldChar w:fldCharType="separate"/>
        </w:r>
        <w:r>
          <w:rPr>
            <w:webHidden/>
          </w:rPr>
          <w:t>12</w:t>
        </w:r>
        <w:r>
          <w:rPr>
            <w:webHidden/>
          </w:rPr>
          <w:fldChar w:fldCharType="end"/>
        </w:r>
      </w:hyperlink>
    </w:p>
    <w:p w14:paraId="7D711216" w14:textId="2C80A8F1" w:rsidR="00FA4524" w:rsidRDefault="00FA4524">
      <w:pPr>
        <w:pStyle w:val="TOC2"/>
        <w:tabs>
          <w:tab w:val="left" w:pos="1080"/>
        </w:tabs>
        <w:rPr>
          <w:spacing w:val="0"/>
          <w:kern w:val="2"/>
          <w:sz w:val="24"/>
          <w:szCs w:val="24"/>
          <w14:ligatures w14:val="standardContextual"/>
        </w:rPr>
      </w:pPr>
      <w:hyperlink w:anchor="_Toc170127166" w:history="1">
        <w:r w:rsidRPr="00112EAC">
          <w:rPr>
            <w:rStyle w:val="Hyperlink"/>
          </w:rPr>
          <w:t>3.2</w:t>
        </w:r>
        <w:r>
          <w:rPr>
            <w:spacing w:val="0"/>
            <w:kern w:val="2"/>
            <w:sz w:val="24"/>
            <w:szCs w:val="24"/>
            <w14:ligatures w14:val="standardContextual"/>
          </w:rPr>
          <w:tab/>
        </w:r>
        <w:r w:rsidRPr="00112EAC">
          <w:rPr>
            <w:rStyle w:val="Hyperlink"/>
          </w:rPr>
          <w:t>Market response</w:t>
        </w:r>
        <w:r>
          <w:rPr>
            <w:webHidden/>
          </w:rPr>
          <w:tab/>
        </w:r>
        <w:r>
          <w:rPr>
            <w:webHidden/>
          </w:rPr>
          <w:fldChar w:fldCharType="begin"/>
        </w:r>
        <w:r>
          <w:rPr>
            <w:webHidden/>
          </w:rPr>
          <w:instrText xml:space="preserve"> PAGEREF _Toc170127166 \h </w:instrText>
        </w:r>
        <w:r>
          <w:rPr>
            <w:webHidden/>
          </w:rPr>
        </w:r>
        <w:r>
          <w:rPr>
            <w:webHidden/>
          </w:rPr>
          <w:fldChar w:fldCharType="separate"/>
        </w:r>
        <w:r>
          <w:rPr>
            <w:webHidden/>
          </w:rPr>
          <w:t>13</w:t>
        </w:r>
        <w:r>
          <w:rPr>
            <w:webHidden/>
          </w:rPr>
          <w:fldChar w:fldCharType="end"/>
        </w:r>
      </w:hyperlink>
    </w:p>
    <w:p w14:paraId="75CFDB23" w14:textId="2C3EE554" w:rsidR="00FA4524" w:rsidRDefault="00FA4524">
      <w:pPr>
        <w:pStyle w:val="TOC3"/>
        <w:tabs>
          <w:tab w:val="left" w:pos="1800"/>
        </w:tabs>
        <w:rPr>
          <w:spacing w:val="0"/>
          <w:kern w:val="2"/>
          <w:sz w:val="24"/>
          <w:szCs w:val="24"/>
          <w14:ligatures w14:val="standardContextual"/>
        </w:rPr>
      </w:pPr>
      <w:hyperlink w:anchor="_Toc170127167" w:history="1">
        <w:r w:rsidRPr="00112EAC">
          <w:rPr>
            <w:rStyle w:val="Hyperlink"/>
          </w:rPr>
          <w:t>3.2.8</w:t>
        </w:r>
        <w:r>
          <w:rPr>
            <w:spacing w:val="0"/>
            <w:kern w:val="2"/>
            <w:sz w:val="24"/>
            <w:szCs w:val="24"/>
            <w14:ligatures w14:val="standardContextual"/>
          </w:rPr>
          <w:tab/>
        </w:r>
        <w:r w:rsidRPr="00112EAC">
          <w:rPr>
            <w:rStyle w:val="Hyperlink"/>
          </w:rPr>
          <w:t>Process</w:t>
        </w:r>
        <w:r>
          <w:rPr>
            <w:webHidden/>
          </w:rPr>
          <w:tab/>
        </w:r>
        <w:r>
          <w:rPr>
            <w:webHidden/>
          </w:rPr>
          <w:fldChar w:fldCharType="begin"/>
        </w:r>
        <w:r>
          <w:rPr>
            <w:webHidden/>
          </w:rPr>
          <w:instrText xml:space="preserve"> PAGEREF _Toc170127167 \h </w:instrText>
        </w:r>
        <w:r>
          <w:rPr>
            <w:webHidden/>
          </w:rPr>
        </w:r>
        <w:r>
          <w:rPr>
            <w:webHidden/>
          </w:rPr>
          <w:fldChar w:fldCharType="separate"/>
        </w:r>
        <w:r>
          <w:rPr>
            <w:webHidden/>
          </w:rPr>
          <w:t>13</w:t>
        </w:r>
        <w:r>
          <w:rPr>
            <w:webHidden/>
          </w:rPr>
          <w:fldChar w:fldCharType="end"/>
        </w:r>
      </w:hyperlink>
    </w:p>
    <w:p w14:paraId="4216C560" w14:textId="77F2A62E" w:rsidR="00FA4524" w:rsidRDefault="00FA4524">
      <w:pPr>
        <w:pStyle w:val="TOC3"/>
        <w:tabs>
          <w:tab w:val="left" w:pos="1800"/>
        </w:tabs>
        <w:rPr>
          <w:spacing w:val="0"/>
          <w:kern w:val="2"/>
          <w:sz w:val="24"/>
          <w:szCs w:val="24"/>
          <w14:ligatures w14:val="standardContextual"/>
        </w:rPr>
      </w:pPr>
      <w:hyperlink w:anchor="_Toc170127168" w:history="1">
        <w:r w:rsidRPr="00112EAC">
          <w:rPr>
            <w:rStyle w:val="Hyperlink"/>
          </w:rPr>
          <w:t>3.2.9</w:t>
        </w:r>
        <w:r>
          <w:rPr>
            <w:spacing w:val="0"/>
            <w:kern w:val="2"/>
            <w:sz w:val="24"/>
            <w:szCs w:val="24"/>
            <w14:ligatures w14:val="standardContextual"/>
          </w:rPr>
          <w:tab/>
        </w:r>
        <w:r w:rsidRPr="00112EAC">
          <w:rPr>
            <w:rStyle w:val="Hyperlink"/>
          </w:rPr>
          <w:t>Considerations</w:t>
        </w:r>
        <w:r>
          <w:rPr>
            <w:webHidden/>
          </w:rPr>
          <w:tab/>
        </w:r>
        <w:r>
          <w:rPr>
            <w:webHidden/>
          </w:rPr>
          <w:fldChar w:fldCharType="begin"/>
        </w:r>
        <w:r>
          <w:rPr>
            <w:webHidden/>
          </w:rPr>
          <w:instrText xml:space="preserve"> PAGEREF _Toc170127168 \h </w:instrText>
        </w:r>
        <w:r>
          <w:rPr>
            <w:webHidden/>
          </w:rPr>
        </w:r>
        <w:r>
          <w:rPr>
            <w:webHidden/>
          </w:rPr>
          <w:fldChar w:fldCharType="separate"/>
        </w:r>
        <w:r>
          <w:rPr>
            <w:webHidden/>
          </w:rPr>
          <w:t>13</w:t>
        </w:r>
        <w:r>
          <w:rPr>
            <w:webHidden/>
          </w:rPr>
          <w:fldChar w:fldCharType="end"/>
        </w:r>
      </w:hyperlink>
    </w:p>
    <w:p w14:paraId="7E9ED0DC" w14:textId="60582B7E" w:rsidR="00FA4524" w:rsidRDefault="00FA4524">
      <w:pPr>
        <w:pStyle w:val="TOC3"/>
        <w:tabs>
          <w:tab w:val="left" w:pos="1920"/>
        </w:tabs>
        <w:rPr>
          <w:spacing w:val="0"/>
          <w:kern w:val="2"/>
          <w:sz w:val="24"/>
          <w:szCs w:val="24"/>
          <w14:ligatures w14:val="standardContextual"/>
        </w:rPr>
      </w:pPr>
      <w:hyperlink w:anchor="_Toc170127169" w:history="1">
        <w:r w:rsidRPr="00112EAC">
          <w:rPr>
            <w:rStyle w:val="Hyperlink"/>
          </w:rPr>
          <w:t>3.2.10</w:t>
        </w:r>
        <w:r>
          <w:rPr>
            <w:spacing w:val="0"/>
            <w:kern w:val="2"/>
            <w:sz w:val="24"/>
            <w:szCs w:val="24"/>
            <w14:ligatures w14:val="standardContextual"/>
          </w:rPr>
          <w:tab/>
        </w:r>
        <w:r w:rsidRPr="00112EAC">
          <w:rPr>
            <w:rStyle w:val="Hyperlink"/>
          </w:rPr>
          <w:t>Provisional / Additional Works Items</w:t>
        </w:r>
        <w:r>
          <w:rPr>
            <w:webHidden/>
          </w:rPr>
          <w:tab/>
        </w:r>
        <w:r>
          <w:rPr>
            <w:webHidden/>
          </w:rPr>
          <w:fldChar w:fldCharType="begin"/>
        </w:r>
        <w:r>
          <w:rPr>
            <w:webHidden/>
          </w:rPr>
          <w:instrText xml:space="preserve"> PAGEREF _Toc170127169 \h </w:instrText>
        </w:r>
        <w:r>
          <w:rPr>
            <w:webHidden/>
          </w:rPr>
        </w:r>
        <w:r>
          <w:rPr>
            <w:webHidden/>
          </w:rPr>
          <w:fldChar w:fldCharType="separate"/>
        </w:r>
        <w:r>
          <w:rPr>
            <w:webHidden/>
          </w:rPr>
          <w:t>13</w:t>
        </w:r>
        <w:r>
          <w:rPr>
            <w:webHidden/>
          </w:rPr>
          <w:fldChar w:fldCharType="end"/>
        </w:r>
      </w:hyperlink>
    </w:p>
    <w:p w14:paraId="2DBF71B9" w14:textId="0977EC8F" w:rsidR="00FA4524" w:rsidRDefault="00FA4524">
      <w:pPr>
        <w:pStyle w:val="TOC3"/>
        <w:tabs>
          <w:tab w:val="left" w:pos="1920"/>
        </w:tabs>
        <w:rPr>
          <w:spacing w:val="0"/>
          <w:kern w:val="2"/>
          <w:sz w:val="24"/>
          <w:szCs w:val="24"/>
          <w14:ligatures w14:val="standardContextual"/>
        </w:rPr>
      </w:pPr>
      <w:hyperlink w:anchor="_Toc170127170" w:history="1">
        <w:r w:rsidRPr="00112EAC">
          <w:rPr>
            <w:rStyle w:val="Hyperlink"/>
          </w:rPr>
          <w:t>3.2.11</w:t>
        </w:r>
        <w:r>
          <w:rPr>
            <w:spacing w:val="0"/>
            <w:kern w:val="2"/>
            <w:sz w:val="24"/>
            <w:szCs w:val="24"/>
            <w14:ligatures w14:val="standardContextual"/>
          </w:rPr>
          <w:tab/>
        </w:r>
        <w:r w:rsidRPr="00112EAC">
          <w:rPr>
            <w:rStyle w:val="Hyperlink"/>
          </w:rPr>
          <w:t>Examples of Provisional or Additional Works Items</w:t>
        </w:r>
        <w:r>
          <w:rPr>
            <w:webHidden/>
          </w:rPr>
          <w:tab/>
        </w:r>
        <w:r>
          <w:rPr>
            <w:webHidden/>
          </w:rPr>
          <w:fldChar w:fldCharType="begin"/>
        </w:r>
        <w:r>
          <w:rPr>
            <w:webHidden/>
          </w:rPr>
          <w:instrText xml:space="preserve"> PAGEREF _Toc170127170 \h </w:instrText>
        </w:r>
        <w:r>
          <w:rPr>
            <w:webHidden/>
          </w:rPr>
        </w:r>
        <w:r>
          <w:rPr>
            <w:webHidden/>
          </w:rPr>
          <w:fldChar w:fldCharType="separate"/>
        </w:r>
        <w:r>
          <w:rPr>
            <w:webHidden/>
          </w:rPr>
          <w:t>14</w:t>
        </w:r>
        <w:r>
          <w:rPr>
            <w:webHidden/>
          </w:rPr>
          <w:fldChar w:fldCharType="end"/>
        </w:r>
      </w:hyperlink>
    </w:p>
    <w:p w14:paraId="247A8BF8" w14:textId="0DF4FC57" w:rsidR="00FA4524" w:rsidRDefault="00FA4524">
      <w:pPr>
        <w:pStyle w:val="TOC3"/>
        <w:tabs>
          <w:tab w:val="left" w:pos="1920"/>
        </w:tabs>
        <w:rPr>
          <w:spacing w:val="0"/>
          <w:kern w:val="2"/>
          <w:sz w:val="24"/>
          <w:szCs w:val="24"/>
          <w14:ligatures w14:val="standardContextual"/>
        </w:rPr>
      </w:pPr>
      <w:hyperlink w:anchor="_Toc170127171" w:history="1">
        <w:r w:rsidRPr="00112EAC">
          <w:rPr>
            <w:rStyle w:val="Hyperlink"/>
          </w:rPr>
          <w:t>3.2.12</w:t>
        </w:r>
        <w:r>
          <w:rPr>
            <w:spacing w:val="0"/>
            <w:kern w:val="2"/>
            <w:sz w:val="24"/>
            <w:szCs w:val="24"/>
            <w14:ligatures w14:val="standardContextual"/>
          </w:rPr>
          <w:tab/>
        </w:r>
        <w:r w:rsidRPr="00112EAC">
          <w:rPr>
            <w:rStyle w:val="Hyperlink"/>
          </w:rPr>
          <w:t>Procurement</w:t>
        </w:r>
        <w:r>
          <w:rPr>
            <w:webHidden/>
          </w:rPr>
          <w:tab/>
        </w:r>
        <w:r>
          <w:rPr>
            <w:webHidden/>
          </w:rPr>
          <w:fldChar w:fldCharType="begin"/>
        </w:r>
        <w:r>
          <w:rPr>
            <w:webHidden/>
          </w:rPr>
          <w:instrText xml:space="preserve"> PAGEREF _Toc170127171 \h </w:instrText>
        </w:r>
        <w:r>
          <w:rPr>
            <w:webHidden/>
          </w:rPr>
        </w:r>
        <w:r>
          <w:rPr>
            <w:webHidden/>
          </w:rPr>
          <w:fldChar w:fldCharType="separate"/>
        </w:r>
        <w:r>
          <w:rPr>
            <w:webHidden/>
          </w:rPr>
          <w:t>14</w:t>
        </w:r>
        <w:r>
          <w:rPr>
            <w:webHidden/>
          </w:rPr>
          <w:fldChar w:fldCharType="end"/>
        </w:r>
      </w:hyperlink>
    </w:p>
    <w:p w14:paraId="0C5860B2" w14:textId="738D15B2" w:rsidR="00FA4524" w:rsidRDefault="00FA4524">
      <w:pPr>
        <w:pStyle w:val="TOC1"/>
        <w:tabs>
          <w:tab w:val="left" w:pos="446"/>
        </w:tabs>
        <w:rPr>
          <w:noProof/>
          <w:spacing w:val="0"/>
          <w:kern w:val="2"/>
          <w14:ligatures w14:val="standardContextual"/>
        </w:rPr>
      </w:pPr>
      <w:hyperlink w:anchor="_Toc170127172" w:history="1">
        <w:r w:rsidRPr="00112EAC">
          <w:rPr>
            <w:rStyle w:val="Hyperlink"/>
            <w:noProof/>
          </w:rPr>
          <w:t>4.</w:t>
        </w:r>
        <w:r>
          <w:rPr>
            <w:noProof/>
            <w:spacing w:val="0"/>
            <w:kern w:val="2"/>
            <w14:ligatures w14:val="standardContextual"/>
          </w:rPr>
          <w:tab/>
        </w:r>
        <w:r w:rsidRPr="00112EAC">
          <w:rPr>
            <w:rStyle w:val="Hyperlink"/>
            <w:noProof/>
          </w:rPr>
          <w:t>Indirect costs</w:t>
        </w:r>
        <w:r>
          <w:rPr>
            <w:noProof/>
            <w:webHidden/>
          </w:rPr>
          <w:tab/>
        </w:r>
        <w:r>
          <w:rPr>
            <w:noProof/>
            <w:webHidden/>
          </w:rPr>
          <w:fldChar w:fldCharType="begin"/>
        </w:r>
        <w:r>
          <w:rPr>
            <w:noProof/>
            <w:webHidden/>
          </w:rPr>
          <w:instrText xml:space="preserve"> PAGEREF _Toc170127172 \h </w:instrText>
        </w:r>
        <w:r>
          <w:rPr>
            <w:noProof/>
            <w:webHidden/>
          </w:rPr>
        </w:r>
        <w:r>
          <w:rPr>
            <w:noProof/>
            <w:webHidden/>
          </w:rPr>
          <w:fldChar w:fldCharType="separate"/>
        </w:r>
        <w:r>
          <w:rPr>
            <w:noProof/>
            <w:webHidden/>
          </w:rPr>
          <w:t>15</w:t>
        </w:r>
        <w:r>
          <w:rPr>
            <w:noProof/>
            <w:webHidden/>
          </w:rPr>
          <w:fldChar w:fldCharType="end"/>
        </w:r>
      </w:hyperlink>
    </w:p>
    <w:p w14:paraId="35823799" w14:textId="171108A6" w:rsidR="00FA4524" w:rsidRDefault="00FA4524">
      <w:pPr>
        <w:pStyle w:val="TOC2"/>
        <w:tabs>
          <w:tab w:val="left" w:pos="1080"/>
        </w:tabs>
        <w:rPr>
          <w:spacing w:val="0"/>
          <w:kern w:val="2"/>
          <w:sz w:val="24"/>
          <w:szCs w:val="24"/>
          <w14:ligatures w14:val="standardContextual"/>
        </w:rPr>
      </w:pPr>
      <w:hyperlink w:anchor="_Toc170127173" w:history="1">
        <w:r w:rsidRPr="00112EAC">
          <w:rPr>
            <w:rStyle w:val="Hyperlink"/>
          </w:rPr>
          <w:t>4.1</w:t>
        </w:r>
        <w:r>
          <w:rPr>
            <w:spacing w:val="0"/>
            <w:kern w:val="2"/>
            <w:sz w:val="24"/>
            <w:szCs w:val="24"/>
            <w14:ligatures w14:val="standardContextual"/>
          </w:rPr>
          <w:tab/>
        </w:r>
        <w:r w:rsidRPr="00112EAC">
          <w:rPr>
            <w:rStyle w:val="Hyperlink"/>
          </w:rPr>
          <w:t>Introduction</w:t>
        </w:r>
        <w:r>
          <w:rPr>
            <w:webHidden/>
          </w:rPr>
          <w:tab/>
        </w:r>
        <w:r>
          <w:rPr>
            <w:webHidden/>
          </w:rPr>
          <w:fldChar w:fldCharType="begin"/>
        </w:r>
        <w:r>
          <w:rPr>
            <w:webHidden/>
          </w:rPr>
          <w:instrText xml:space="preserve"> PAGEREF _Toc170127173 \h </w:instrText>
        </w:r>
        <w:r>
          <w:rPr>
            <w:webHidden/>
          </w:rPr>
        </w:r>
        <w:r>
          <w:rPr>
            <w:webHidden/>
          </w:rPr>
          <w:fldChar w:fldCharType="separate"/>
        </w:r>
        <w:r>
          <w:rPr>
            <w:webHidden/>
          </w:rPr>
          <w:t>15</w:t>
        </w:r>
        <w:r>
          <w:rPr>
            <w:webHidden/>
          </w:rPr>
          <w:fldChar w:fldCharType="end"/>
        </w:r>
      </w:hyperlink>
    </w:p>
    <w:p w14:paraId="5F9BC57E" w14:textId="2CC064DA" w:rsidR="00FA4524" w:rsidRDefault="00FA4524">
      <w:pPr>
        <w:pStyle w:val="TOC2"/>
        <w:tabs>
          <w:tab w:val="left" w:pos="1080"/>
        </w:tabs>
        <w:rPr>
          <w:spacing w:val="0"/>
          <w:kern w:val="2"/>
          <w:sz w:val="24"/>
          <w:szCs w:val="24"/>
          <w14:ligatures w14:val="standardContextual"/>
        </w:rPr>
      </w:pPr>
      <w:hyperlink w:anchor="_Toc170127174" w:history="1">
        <w:r w:rsidRPr="00112EAC">
          <w:rPr>
            <w:rStyle w:val="Hyperlink"/>
          </w:rPr>
          <w:t>4.2</w:t>
        </w:r>
        <w:r>
          <w:rPr>
            <w:spacing w:val="0"/>
            <w:kern w:val="2"/>
            <w:sz w:val="24"/>
            <w:szCs w:val="24"/>
            <w14:ligatures w14:val="standardContextual"/>
          </w:rPr>
          <w:tab/>
        </w:r>
        <w:r w:rsidRPr="00112EAC">
          <w:rPr>
            <w:rStyle w:val="Hyperlink"/>
          </w:rPr>
          <w:t>Design</w:t>
        </w:r>
        <w:r>
          <w:rPr>
            <w:webHidden/>
          </w:rPr>
          <w:tab/>
        </w:r>
        <w:r>
          <w:rPr>
            <w:webHidden/>
          </w:rPr>
          <w:fldChar w:fldCharType="begin"/>
        </w:r>
        <w:r>
          <w:rPr>
            <w:webHidden/>
          </w:rPr>
          <w:instrText xml:space="preserve"> PAGEREF _Toc170127174 \h </w:instrText>
        </w:r>
        <w:r>
          <w:rPr>
            <w:webHidden/>
          </w:rPr>
        </w:r>
        <w:r>
          <w:rPr>
            <w:webHidden/>
          </w:rPr>
          <w:fldChar w:fldCharType="separate"/>
        </w:r>
        <w:r>
          <w:rPr>
            <w:webHidden/>
          </w:rPr>
          <w:t>15</w:t>
        </w:r>
        <w:r>
          <w:rPr>
            <w:webHidden/>
          </w:rPr>
          <w:fldChar w:fldCharType="end"/>
        </w:r>
      </w:hyperlink>
    </w:p>
    <w:p w14:paraId="75F4559A" w14:textId="48A7ECA7" w:rsidR="00FA4524" w:rsidRDefault="00FA4524">
      <w:pPr>
        <w:pStyle w:val="TOC2"/>
        <w:tabs>
          <w:tab w:val="left" w:pos="1080"/>
        </w:tabs>
        <w:rPr>
          <w:spacing w:val="0"/>
          <w:kern w:val="2"/>
          <w:sz w:val="24"/>
          <w:szCs w:val="24"/>
          <w14:ligatures w14:val="standardContextual"/>
        </w:rPr>
      </w:pPr>
      <w:hyperlink w:anchor="_Toc170127175" w:history="1">
        <w:r w:rsidRPr="00112EAC">
          <w:rPr>
            <w:rStyle w:val="Hyperlink"/>
          </w:rPr>
          <w:t>4.3</w:t>
        </w:r>
        <w:r>
          <w:rPr>
            <w:spacing w:val="0"/>
            <w:kern w:val="2"/>
            <w:sz w:val="24"/>
            <w:szCs w:val="24"/>
            <w14:ligatures w14:val="standardContextual"/>
          </w:rPr>
          <w:tab/>
        </w:r>
        <w:r w:rsidRPr="00112EAC">
          <w:rPr>
            <w:rStyle w:val="Hyperlink"/>
          </w:rPr>
          <w:t>Project management</w:t>
        </w:r>
        <w:r>
          <w:rPr>
            <w:webHidden/>
          </w:rPr>
          <w:tab/>
        </w:r>
        <w:r>
          <w:rPr>
            <w:webHidden/>
          </w:rPr>
          <w:fldChar w:fldCharType="begin"/>
        </w:r>
        <w:r>
          <w:rPr>
            <w:webHidden/>
          </w:rPr>
          <w:instrText xml:space="preserve"> PAGEREF _Toc170127175 \h </w:instrText>
        </w:r>
        <w:r>
          <w:rPr>
            <w:webHidden/>
          </w:rPr>
        </w:r>
        <w:r>
          <w:rPr>
            <w:webHidden/>
          </w:rPr>
          <w:fldChar w:fldCharType="separate"/>
        </w:r>
        <w:r>
          <w:rPr>
            <w:webHidden/>
          </w:rPr>
          <w:t>16</w:t>
        </w:r>
        <w:r>
          <w:rPr>
            <w:webHidden/>
          </w:rPr>
          <w:fldChar w:fldCharType="end"/>
        </w:r>
      </w:hyperlink>
    </w:p>
    <w:p w14:paraId="3984E530" w14:textId="79182901" w:rsidR="00FA4524" w:rsidRDefault="00FA4524">
      <w:pPr>
        <w:pStyle w:val="TOC2"/>
        <w:tabs>
          <w:tab w:val="left" w:pos="1080"/>
        </w:tabs>
        <w:rPr>
          <w:spacing w:val="0"/>
          <w:kern w:val="2"/>
          <w:sz w:val="24"/>
          <w:szCs w:val="24"/>
          <w14:ligatures w14:val="standardContextual"/>
        </w:rPr>
      </w:pPr>
      <w:hyperlink w:anchor="_Toc170127176" w:history="1">
        <w:r w:rsidRPr="00112EAC">
          <w:rPr>
            <w:rStyle w:val="Hyperlink"/>
          </w:rPr>
          <w:t>4.4</w:t>
        </w:r>
        <w:r>
          <w:rPr>
            <w:spacing w:val="0"/>
            <w:kern w:val="2"/>
            <w:sz w:val="24"/>
            <w:szCs w:val="24"/>
            <w14:ligatures w14:val="standardContextual"/>
          </w:rPr>
          <w:tab/>
        </w:r>
        <w:r w:rsidRPr="00112EAC">
          <w:rPr>
            <w:rStyle w:val="Hyperlink"/>
          </w:rPr>
          <w:t>Contract Administration</w:t>
        </w:r>
        <w:r>
          <w:rPr>
            <w:webHidden/>
          </w:rPr>
          <w:tab/>
        </w:r>
        <w:r>
          <w:rPr>
            <w:webHidden/>
          </w:rPr>
          <w:fldChar w:fldCharType="begin"/>
        </w:r>
        <w:r>
          <w:rPr>
            <w:webHidden/>
          </w:rPr>
          <w:instrText xml:space="preserve"> PAGEREF _Toc170127176 \h </w:instrText>
        </w:r>
        <w:r>
          <w:rPr>
            <w:webHidden/>
          </w:rPr>
        </w:r>
        <w:r>
          <w:rPr>
            <w:webHidden/>
          </w:rPr>
          <w:fldChar w:fldCharType="separate"/>
        </w:r>
        <w:r>
          <w:rPr>
            <w:webHidden/>
          </w:rPr>
          <w:t>16</w:t>
        </w:r>
        <w:r>
          <w:rPr>
            <w:webHidden/>
          </w:rPr>
          <w:fldChar w:fldCharType="end"/>
        </w:r>
      </w:hyperlink>
    </w:p>
    <w:p w14:paraId="3A59402C" w14:textId="2013016A" w:rsidR="00FA4524" w:rsidRDefault="00FA4524">
      <w:pPr>
        <w:pStyle w:val="TOC2"/>
        <w:tabs>
          <w:tab w:val="left" w:pos="1080"/>
        </w:tabs>
        <w:rPr>
          <w:spacing w:val="0"/>
          <w:kern w:val="2"/>
          <w:sz w:val="24"/>
          <w:szCs w:val="24"/>
          <w14:ligatures w14:val="standardContextual"/>
        </w:rPr>
      </w:pPr>
      <w:hyperlink w:anchor="_Toc170127177" w:history="1">
        <w:r w:rsidRPr="00112EAC">
          <w:rPr>
            <w:rStyle w:val="Hyperlink"/>
          </w:rPr>
          <w:t>4.5</w:t>
        </w:r>
        <w:r>
          <w:rPr>
            <w:spacing w:val="0"/>
            <w:kern w:val="2"/>
            <w:sz w:val="24"/>
            <w:szCs w:val="24"/>
            <w14:ligatures w14:val="standardContextual"/>
          </w:rPr>
          <w:tab/>
        </w:r>
        <w:r w:rsidRPr="00112EAC">
          <w:rPr>
            <w:rStyle w:val="Hyperlink"/>
          </w:rPr>
          <w:t>Overall indirect cost allowances</w:t>
        </w:r>
        <w:r>
          <w:rPr>
            <w:webHidden/>
          </w:rPr>
          <w:tab/>
        </w:r>
        <w:r>
          <w:rPr>
            <w:webHidden/>
          </w:rPr>
          <w:fldChar w:fldCharType="begin"/>
        </w:r>
        <w:r>
          <w:rPr>
            <w:webHidden/>
          </w:rPr>
          <w:instrText xml:space="preserve"> PAGEREF _Toc170127177 \h </w:instrText>
        </w:r>
        <w:r>
          <w:rPr>
            <w:webHidden/>
          </w:rPr>
        </w:r>
        <w:r>
          <w:rPr>
            <w:webHidden/>
          </w:rPr>
          <w:fldChar w:fldCharType="separate"/>
        </w:r>
        <w:r>
          <w:rPr>
            <w:webHidden/>
          </w:rPr>
          <w:t>17</w:t>
        </w:r>
        <w:r>
          <w:rPr>
            <w:webHidden/>
          </w:rPr>
          <w:fldChar w:fldCharType="end"/>
        </w:r>
      </w:hyperlink>
    </w:p>
    <w:p w14:paraId="0CFFBABE" w14:textId="4AA50138" w:rsidR="00FA4524" w:rsidRDefault="00FA4524">
      <w:pPr>
        <w:pStyle w:val="TOC1"/>
        <w:tabs>
          <w:tab w:val="left" w:pos="446"/>
        </w:tabs>
        <w:rPr>
          <w:noProof/>
          <w:spacing w:val="0"/>
          <w:kern w:val="2"/>
          <w14:ligatures w14:val="standardContextual"/>
        </w:rPr>
      </w:pPr>
      <w:hyperlink w:anchor="_Toc170127178" w:history="1">
        <w:r w:rsidRPr="00112EAC">
          <w:rPr>
            <w:rStyle w:val="Hyperlink"/>
            <w:noProof/>
          </w:rPr>
          <w:t>5.</w:t>
        </w:r>
        <w:r>
          <w:rPr>
            <w:noProof/>
            <w:spacing w:val="0"/>
            <w:kern w:val="2"/>
            <w14:ligatures w14:val="standardContextual"/>
          </w:rPr>
          <w:tab/>
        </w:r>
        <w:r w:rsidRPr="00112EAC">
          <w:rPr>
            <w:rStyle w:val="Hyperlink"/>
            <w:noProof/>
          </w:rPr>
          <w:t>Contingency</w:t>
        </w:r>
        <w:r>
          <w:rPr>
            <w:noProof/>
            <w:webHidden/>
          </w:rPr>
          <w:tab/>
        </w:r>
        <w:r>
          <w:rPr>
            <w:noProof/>
            <w:webHidden/>
          </w:rPr>
          <w:fldChar w:fldCharType="begin"/>
        </w:r>
        <w:r>
          <w:rPr>
            <w:noProof/>
            <w:webHidden/>
          </w:rPr>
          <w:instrText xml:space="preserve"> PAGEREF _Toc170127178 \h </w:instrText>
        </w:r>
        <w:r>
          <w:rPr>
            <w:noProof/>
            <w:webHidden/>
          </w:rPr>
        </w:r>
        <w:r>
          <w:rPr>
            <w:noProof/>
            <w:webHidden/>
          </w:rPr>
          <w:fldChar w:fldCharType="separate"/>
        </w:r>
        <w:r>
          <w:rPr>
            <w:noProof/>
            <w:webHidden/>
          </w:rPr>
          <w:t>18</w:t>
        </w:r>
        <w:r>
          <w:rPr>
            <w:noProof/>
            <w:webHidden/>
          </w:rPr>
          <w:fldChar w:fldCharType="end"/>
        </w:r>
      </w:hyperlink>
    </w:p>
    <w:p w14:paraId="49ABCDEF" w14:textId="08E6FD12" w:rsidR="00FA4524" w:rsidRDefault="00FA4524">
      <w:pPr>
        <w:pStyle w:val="TOC2"/>
        <w:tabs>
          <w:tab w:val="left" w:pos="1080"/>
        </w:tabs>
        <w:rPr>
          <w:spacing w:val="0"/>
          <w:kern w:val="2"/>
          <w:sz w:val="24"/>
          <w:szCs w:val="24"/>
          <w14:ligatures w14:val="standardContextual"/>
        </w:rPr>
      </w:pPr>
      <w:hyperlink w:anchor="_Toc170127179" w:history="1">
        <w:r w:rsidRPr="00112EAC">
          <w:rPr>
            <w:rStyle w:val="Hyperlink"/>
          </w:rPr>
          <w:t>5.1</w:t>
        </w:r>
        <w:r>
          <w:rPr>
            <w:spacing w:val="0"/>
            <w:kern w:val="2"/>
            <w:sz w:val="24"/>
            <w:szCs w:val="24"/>
            <w14:ligatures w14:val="standardContextual"/>
          </w:rPr>
          <w:tab/>
        </w:r>
        <w:r w:rsidRPr="00112EAC">
          <w:rPr>
            <w:rStyle w:val="Hyperlink"/>
          </w:rPr>
          <w:t>Introduction</w:t>
        </w:r>
        <w:r>
          <w:rPr>
            <w:webHidden/>
          </w:rPr>
          <w:tab/>
        </w:r>
        <w:r>
          <w:rPr>
            <w:webHidden/>
          </w:rPr>
          <w:fldChar w:fldCharType="begin"/>
        </w:r>
        <w:r>
          <w:rPr>
            <w:webHidden/>
          </w:rPr>
          <w:instrText xml:space="preserve"> PAGEREF _Toc170127179 \h </w:instrText>
        </w:r>
        <w:r>
          <w:rPr>
            <w:webHidden/>
          </w:rPr>
        </w:r>
        <w:r>
          <w:rPr>
            <w:webHidden/>
          </w:rPr>
          <w:fldChar w:fldCharType="separate"/>
        </w:r>
        <w:r>
          <w:rPr>
            <w:webHidden/>
          </w:rPr>
          <w:t>18</w:t>
        </w:r>
        <w:r>
          <w:rPr>
            <w:webHidden/>
          </w:rPr>
          <w:fldChar w:fldCharType="end"/>
        </w:r>
      </w:hyperlink>
    </w:p>
    <w:p w14:paraId="5F082B87" w14:textId="5F7A7871" w:rsidR="00FA4524" w:rsidRDefault="00FA4524">
      <w:pPr>
        <w:pStyle w:val="TOC2"/>
        <w:tabs>
          <w:tab w:val="left" w:pos="1080"/>
        </w:tabs>
        <w:rPr>
          <w:spacing w:val="0"/>
          <w:kern w:val="2"/>
          <w:sz w:val="24"/>
          <w:szCs w:val="24"/>
          <w14:ligatures w14:val="standardContextual"/>
        </w:rPr>
      </w:pPr>
      <w:hyperlink w:anchor="_Toc170127180" w:history="1">
        <w:r w:rsidRPr="00112EAC">
          <w:rPr>
            <w:rStyle w:val="Hyperlink"/>
          </w:rPr>
          <w:t>5.2</w:t>
        </w:r>
        <w:r>
          <w:rPr>
            <w:spacing w:val="0"/>
            <w:kern w:val="2"/>
            <w:sz w:val="24"/>
            <w:szCs w:val="24"/>
            <w14:ligatures w14:val="standardContextual"/>
          </w:rPr>
          <w:tab/>
        </w:r>
        <w:r w:rsidRPr="00112EAC">
          <w:rPr>
            <w:rStyle w:val="Hyperlink"/>
          </w:rPr>
          <w:t>Risk profiles – treatment types</w:t>
        </w:r>
        <w:r>
          <w:rPr>
            <w:webHidden/>
          </w:rPr>
          <w:tab/>
        </w:r>
        <w:r>
          <w:rPr>
            <w:webHidden/>
          </w:rPr>
          <w:fldChar w:fldCharType="begin"/>
        </w:r>
        <w:r>
          <w:rPr>
            <w:webHidden/>
          </w:rPr>
          <w:instrText xml:space="preserve"> PAGEREF _Toc170127180 \h </w:instrText>
        </w:r>
        <w:r>
          <w:rPr>
            <w:webHidden/>
          </w:rPr>
        </w:r>
        <w:r>
          <w:rPr>
            <w:webHidden/>
          </w:rPr>
          <w:fldChar w:fldCharType="separate"/>
        </w:r>
        <w:r>
          <w:rPr>
            <w:webHidden/>
          </w:rPr>
          <w:t>18</w:t>
        </w:r>
        <w:r>
          <w:rPr>
            <w:webHidden/>
          </w:rPr>
          <w:fldChar w:fldCharType="end"/>
        </w:r>
      </w:hyperlink>
    </w:p>
    <w:p w14:paraId="577AD4D9" w14:textId="115A3BF0" w:rsidR="00FA4524" w:rsidRDefault="00FA4524">
      <w:pPr>
        <w:pStyle w:val="TOC2"/>
        <w:tabs>
          <w:tab w:val="left" w:pos="1080"/>
        </w:tabs>
        <w:rPr>
          <w:spacing w:val="0"/>
          <w:kern w:val="2"/>
          <w:sz w:val="24"/>
          <w:szCs w:val="24"/>
          <w14:ligatures w14:val="standardContextual"/>
        </w:rPr>
      </w:pPr>
      <w:hyperlink w:anchor="_Toc170127181" w:history="1">
        <w:r w:rsidRPr="00112EAC">
          <w:rPr>
            <w:rStyle w:val="Hyperlink"/>
          </w:rPr>
          <w:t>5.3</w:t>
        </w:r>
        <w:r>
          <w:rPr>
            <w:spacing w:val="0"/>
            <w:kern w:val="2"/>
            <w:sz w:val="24"/>
            <w:szCs w:val="24"/>
            <w14:ligatures w14:val="standardContextual"/>
          </w:rPr>
          <w:tab/>
        </w:r>
        <w:r w:rsidRPr="00112EAC">
          <w:rPr>
            <w:rStyle w:val="Hyperlink"/>
          </w:rPr>
          <w:t>Risk profiles – location</w:t>
        </w:r>
        <w:r>
          <w:rPr>
            <w:webHidden/>
          </w:rPr>
          <w:tab/>
        </w:r>
        <w:r>
          <w:rPr>
            <w:webHidden/>
          </w:rPr>
          <w:fldChar w:fldCharType="begin"/>
        </w:r>
        <w:r>
          <w:rPr>
            <w:webHidden/>
          </w:rPr>
          <w:instrText xml:space="preserve"> PAGEREF _Toc170127181 \h </w:instrText>
        </w:r>
        <w:r>
          <w:rPr>
            <w:webHidden/>
          </w:rPr>
        </w:r>
        <w:r>
          <w:rPr>
            <w:webHidden/>
          </w:rPr>
          <w:fldChar w:fldCharType="separate"/>
        </w:r>
        <w:r>
          <w:rPr>
            <w:webHidden/>
          </w:rPr>
          <w:t>20</w:t>
        </w:r>
        <w:r>
          <w:rPr>
            <w:webHidden/>
          </w:rPr>
          <w:fldChar w:fldCharType="end"/>
        </w:r>
      </w:hyperlink>
    </w:p>
    <w:p w14:paraId="1E447DDF" w14:textId="23792879" w:rsidR="00FA4524" w:rsidRDefault="00FA4524">
      <w:pPr>
        <w:pStyle w:val="TOC2"/>
        <w:tabs>
          <w:tab w:val="left" w:pos="1080"/>
        </w:tabs>
        <w:rPr>
          <w:spacing w:val="0"/>
          <w:kern w:val="2"/>
          <w:sz w:val="24"/>
          <w:szCs w:val="24"/>
          <w14:ligatures w14:val="standardContextual"/>
        </w:rPr>
      </w:pPr>
      <w:hyperlink w:anchor="_Toc170127182" w:history="1">
        <w:r w:rsidRPr="00112EAC">
          <w:rPr>
            <w:rStyle w:val="Hyperlink"/>
          </w:rPr>
          <w:t>5.4</w:t>
        </w:r>
        <w:r>
          <w:rPr>
            <w:spacing w:val="0"/>
            <w:kern w:val="2"/>
            <w:sz w:val="24"/>
            <w:szCs w:val="24"/>
            <w14:ligatures w14:val="standardContextual"/>
          </w:rPr>
          <w:tab/>
        </w:r>
        <w:r w:rsidRPr="00112EAC">
          <w:rPr>
            <w:rStyle w:val="Hyperlink"/>
          </w:rPr>
          <w:t>Deterministic approach – typical reconstruction projects</w:t>
        </w:r>
        <w:r>
          <w:rPr>
            <w:webHidden/>
          </w:rPr>
          <w:tab/>
        </w:r>
        <w:r>
          <w:rPr>
            <w:webHidden/>
          </w:rPr>
          <w:fldChar w:fldCharType="begin"/>
        </w:r>
        <w:r>
          <w:rPr>
            <w:webHidden/>
          </w:rPr>
          <w:instrText xml:space="preserve"> PAGEREF _Toc170127182 \h </w:instrText>
        </w:r>
        <w:r>
          <w:rPr>
            <w:webHidden/>
          </w:rPr>
        </w:r>
        <w:r>
          <w:rPr>
            <w:webHidden/>
          </w:rPr>
          <w:fldChar w:fldCharType="separate"/>
        </w:r>
        <w:r>
          <w:rPr>
            <w:webHidden/>
          </w:rPr>
          <w:t>20</w:t>
        </w:r>
        <w:r>
          <w:rPr>
            <w:webHidden/>
          </w:rPr>
          <w:fldChar w:fldCharType="end"/>
        </w:r>
      </w:hyperlink>
    </w:p>
    <w:p w14:paraId="449DA336" w14:textId="5077EEB1" w:rsidR="00FA4524" w:rsidRDefault="00FA4524">
      <w:pPr>
        <w:pStyle w:val="TOC2"/>
        <w:tabs>
          <w:tab w:val="left" w:pos="1080"/>
        </w:tabs>
        <w:rPr>
          <w:spacing w:val="0"/>
          <w:kern w:val="2"/>
          <w:sz w:val="24"/>
          <w:szCs w:val="24"/>
          <w14:ligatures w14:val="standardContextual"/>
        </w:rPr>
      </w:pPr>
      <w:hyperlink w:anchor="_Toc170127183" w:history="1">
        <w:r w:rsidRPr="00112EAC">
          <w:rPr>
            <w:rStyle w:val="Hyperlink"/>
          </w:rPr>
          <w:t>5.5</w:t>
        </w:r>
        <w:r>
          <w:rPr>
            <w:spacing w:val="0"/>
            <w:kern w:val="2"/>
            <w:sz w:val="24"/>
            <w:szCs w:val="24"/>
            <w14:ligatures w14:val="standardContextual"/>
          </w:rPr>
          <w:tab/>
        </w:r>
        <w:r w:rsidRPr="00112EAC">
          <w:rPr>
            <w:rStyle w:val="Hyperlink"/>
          </w:rPr>
          <w:t>Probabilistic approach – high value and complex projects</w:t>
        </w:r>
        <w:r>
          <w:rPr>
            <w:webHidden/>
          </w:rPr>
          <w:tab/>
        </w:r>
        <w:r>
          <w:rPr>
            <w:webHidden/>
          </w:rPr>
          <w:fldChar w:fldCharType="begin"/>
        </w:r>
        <w:r>
          <w:rPr>
            <w:webHidden/>
          </w:rPr>
          <w:instrText xml:space="preserve"> PAGEREF _Toc170127183 \h </w:instrText>
        </w:r>
        <w:r>
          <w:rPr>
            <w:webHidden/>
          </w:rPr>
        </w:r>
        <w:r>
          <w:rPr>
            <w:webHidden/>
          </w:rPr>
          <w:fldChar w:fldCharType="separate"/>
        </w:r>
        <w:r>
          <w:rPr>
            <w:webHidden/>
          </w:rPr>
          <w:t>21</w:t>
        </w:r>
        <w:r>
          <w:rPr>
            <w:webHidden/>
          </w:rPr>
          <w:fldChar w:fldCharType="end"/>
        </w:r>
      </w:hyperlink>
    </w:p>
    <w:p w14:paraId="6E8B283B" w14:textId="3A315240" w:rsidR="00FA4524" w:rsidRDefault="00FA4524">
      <w:pPr>
        <w:pStyle w:val="TOC1"/>
        <w:tabs>
          <w:tab w:val="left" w:pos="446"/>
        </w:tabs>
        <w:rPr>
          <w:noProof/>
          <w:spacing w:val="0"/>
          <w:kern w:val="2"/>
          <w14:ligatures w14:val="standardContextual"/>
        </w:rPr>
      </w:pPr>
      <w:hyperlink w:anchor="_Toc170127184" w:history="1">
        <w:r w:rsidRPr="00112EAC">
          <w:rPr>
            <w:rStyle w:val="Hyperlink"/>
            <w:noProof/>
          </w:rPr>
          <w:t>6.</w:t>
        </w:r>
        <w:r>
          <w:rPr>
            <w:noProof/>
            <w:spacing w:val="0"/>
            <w:kern w:val="2"/>
            <w14:ligatures w14:val="standardContextual"/>
          </w:rPr>
          <w:tab/>
        </w:r>
        <w:r w:rsidRPr="00112EAC">
          <w:rPr>
            <w:rStyle w:val="Hyperlink"/>
            <w:noProof/>
          </w:rPr>
          <w:t>Escalation</w:t>
        </w:r>
        <w:r>
          <w:rPr>
            <w:noProof/>
            <w:webHidden/>
          </w:rPr>
          <w:tab/>
        </w:r>
        <w:r>
          <w:rPr>
            <w:noProof/>
            <w:webHidden/>
          </w:rPr>
          <w:fldChar w:fldCharType="begin"/>
        </w:r>
        <w:r>
          <w:rPr>
            <w:noProof/>
            <w:webHidden/>
          </w:rPr>
          <w:instrText xml:space="preserve"> PAGEREF _Toc170127184 \h </w:instrText>
        </w:r>
        <w:r>
          <w:rPr>
            <w:noProof/>
            <w:webHidden/>
          </w:rPr>
        </w:r>
        <w:r>
          <w:rPr>
            <w:noProof/>
            <w:webHidden/>
          </w:rPr>
          <w:fldChar w:fldCharType="separate"/>
        </w:r>
        <w:r>
          <w:rPr>
            <w:noProof/>
            <w:webHidden/>
          </w:rPr>
          <w:t>22</w:t>
        </w:r>
        <w:r>
          <w:rPr>
            <w:noProof/>
            <w:webHidden/>
          </w:rPr>
          <w:fldChar w:fldCharType="end"/>
        </w:r>
      </w:hyperlink>
    </w:p>
    <w:p w14:paraId="6B934290" w14:textId="2C231B71" w:rsidR="00FA4524" w:rsidRDefault="00FA4524" w:rsidP="0009573A">
      <w:pPr>
        <w:pStyle w:val="TOC3"/>
        <w:tabs>
          <w:tab w:val="left" w:pos="1134"/>
        </w:tabs>
        <w:ind w:left="720" w:hanging="294"/>
        <w:rPr>
          <w:spacing w:val="0"/>
          <w:kern w:val="2"/>
          <w:sz w:val="24"/>
          <w:szCs w:val="24"/>
          <w14:ligatures w14:val="standardContextual"/>
        </w:rPr>
      </w:pPr>
      <w:hyperlink w:anchor="_Toc170127185" w:history="1">
        <w:r w:rsidRPr="00112EAC">
          <w:rPr>
            <w:rStyle w:val="Hyperlink"/>
          </w:rPr>
          <w:t>6.1.1</w:t>
        </w:r>
        <w:r>
          <w:rPr>
            <w:spacing w:val="0"/>
            <w:kern w:val="2"/>
            <w:sz w:val="24"/>
            <w:szCs w:val="24"/>
            <w14:ligatures w14:val="standardContextual"/>
          </w:rPr>
          <w:tab/>
        </w:r>
        <w:r w:rsidRPr="00112EAC">
          <w:rPr>
            <w:rStyle w:val="Hyperlink"/>
          </w:rPr>
          <w:t>Use of the Cost Escalation Calculation Tool (VT-CEsc)</w:t>
        </w:r>
        <w:r>
          <w:rPr>
            <w:webHidden/>
          </w:rPr>
          <w:tab/>
        </w:r>
        <w:r>
          <w:rPr>
            <w:webHidden/>
          </w:rPr>
          <w:fldChar w:fldCharType="begin"/>
        </w:r>
        <w:r>
          <w:rPr>
            <w:webHidden/>
          </w:rPr>
          <w:instrText xml:space="preserve"> PAGEREF _Toc170127185 \h </w:instrText>
        </w:r>
        <w:r>
          <w:rPr>
            <w:webHidden/>
          </w:rPr>
        </w:r>
        <w:r>
          <w:rPr>
            <w:webHidden/>
          </w:rPr>
          <w:fldChar w:fldCharType="separate"/>
        </w:r>
        <w:r>
          <w:rPr>
            <w:webHidden/>
          </w:rPr>
          <w:t>23</w:t>
        </w:r>
        <w:r>
          <w:rPr>
            <w:webHidden/>
          </w:rPr>
          <w:fldChar w:fldCharType="end"/>
        </w:r>
      </w:hyperlink>
    </w:p>
    <w:p w14:paraId="0B6D7425" w14:textId="3C2C5E54" w:rsidR="00FA4524" w:rsidRDefault="00FA4524">
      <w:pPr>
        <w:pStyle w:val="TOC1"/>
        <w:tabs>
          <w:tab w:val="left" w:pos="446"/>
        </w:tabs>
        <w:rPr>
          <w:noProof/>
          <w:spacing w:val="0"/>
          <w:kern w:val="2"/>
          <w14:ligatures w14:val="standardContextual"/>
        </w:rPr>
      </w:pPr>
      <w:hyperlink w:anchor="_Toc170127186" w:history="1">
        <w:r w:rsidRPr="00112EAC">
          <w:rPr>
            <w:rStyle w:val="Hyperlink"/>
            <w:noProof/>
          </w:rPr>
          <w:t>7.</w:t>
        </w:r>
        <w:r>
          <w:rPr>
            <w:noProof/>
            <w:spacing w:val="0"/>
            <w:kern w:val="2"/>
            <w14:ligatures w14:val="standardContextual"/>
          </w:rPr>
          <w:tab/>
        </w:r>
        <w:r w:rsidRPr="00112EAC">
          <w:rPr>
            <w:rStyle w:val="Hyperlink"/>
            <w:noProof/>
          </w:rPr>
          <w:t>Document information</w:t>
        </w:r>
        <w:r>
          <w:rPr>
            <w:noProof/>
            <w:webHidden/>
          </w:rPr>
          <w:tab/>
        </w:r>
        <w:r>
          <w:rPr>
            <w:noProof/>
            <w:webHidden/>
          </w:rPr>
          <w:fldChar w:fldCharType="begin"/>
        </w:r>
        <w:r>
          <w:rPr>
            <w:noProof/>
            <w:webHidden/>
          </w:rPr>
          <w:instrText xml:space="preserve"> PAGEREF _Toc170127186 \h </w:instrText>
        </w:r>
        <w:r>
          <w:rPr>
            <w:noProof/>
            <w:webHidden/>
          </w:rPr>
        </w:r>
        <w:r>
          <w:rPr>
            <w:noProof/>
            <w:webHidden/>
          </w:rPr>
          <w:fldChar w:fldCharType="separate"/>
        </w:r>
        <w:r>
          <w:rPr>
            <w:noProof/>
            <w:webHidden/>
          </w:rPr>
          <w:t>24</w:t>
        </w:r>
        <w:r>
          <w:rPr>
            <w:noProof/>
            <w:webHidden/>
          </w:rPr>
          <w:fldChar w:fldCharType="end"/>
        </w:r>
      </w:hyperlink>
    </w:p>
    <w:p w14:paraId="010D5D3A" w14:textId="7366F58A" w:rsidR="00FA4524" w:rsidRDefault="00FA4524">
      <w:pPr>
        <w:pStyle w:val="TOC2"/>
        <w:tabs>
          <w:tab w:val="left" w:pos="1080"/>
        </w:tabs>
        <w:rPr>
          <w:spacing w:val="0"/>
          <w:kern w:val="2"/>
          <w:sz w:val="24"/>
          <w:szCs w:val="24"/>
          <w14:ligatures w14:val="standardContextual"/>
        </w:rPr>
      </w:pPr>
      <w:hyperlink w:anchor="_Toc170127187" w:history="1">
        <w:r w:rsidRPr="00112EAC">
          <w:rPr>
            <w:rStyle w:val="Hyperlink"/>
          </w:rPr>
          <w:t>7.1</w:t>
        </w:r>
        <w:r>
          <w:rPr>
            <w:spacing w:val="0"/>
            <w:kern w:val="2"/>
            <w:sz w:val="24"/>
            <w:szCs w:val="24"/>
            <w14:ligatures w14:val="standardContextual"/>
          </w:rPr>
          <w:tab/>
        </w:r>
        <w:r w:rsidRPr="00112EAC">
          <w:rPr>
            <w:rStyle w:val="Hyperlink"/>
          </w:rPr>
          <w:t>Document details</w:t>
        </w:r>
        <w:r>
          <w:rPr>
            <w:webHidden/>
          </w:rPr>
          <w:tab/>
        </w:r>
        <w:r>
          <w:rPr>
            <w:webHidden/>
          </w:rPr>
          <w:fldChar w:fldCharType="begin"/>
        </w:r>
        <w:r>
          <w:rPr>
            <w:webHidden/>
          </w:rPr>
          <w:instrText xml:space="preserve"> PAGEREF _Toc170127187 \h </w:instrText>
        </w:r>
        <w:r>
          <w:rPr>
            <w:webHidden/>
          </w:rPr>
        </w:r>
        <w:r>
          <w:rPr>
            <w:webHidden/>
          </w:rPr>
          <w:fldChar w:fldCharType="separate"/>
        </w:r>
        <w:r>
          <w:rPr>
            <w:webHidden/>
          </w:rPr>
          <w:t>24</w:t>
        </w:r>
        <w:r>
          <w:rPr>
            <w:webHidden/>
          </w:rPr>
          <w:fldChar w:fldCharType="end"/>
        </w:r>
      </w:hyperlink>
    </w:p>
    <w:p w14:paraId="78BE2CDE" w14:textId="4D34352E" w:rsidR="00FA4524" w:rsidRDefault="00FA4524">
      <w:pPr>
        <w:pStyle w:val="TOC2"/>
        <w:tabs>
          <w:tab w:val="left" w:pos="1080"/>
        </w:tabs>
        <w:rPr>
          <w:spacing w:val="0"/>
          <w:kern w:val="2"/>
          <w:sz w:val="24"/>
          <w:szCs w:val="24"/>
          <w14:ligatures w14:val="standardContextual"/>
        </w:rPr>
      </w:pPr>
      <w:hyperlink w:anchor="_Toc170127188" w:history="1">
        <w:r w:rsidRPr="00112EAC">
          <w:rPr>
            <w:rStyle w:val="Hyperlink"/>
          </w:rPr>
          <w:t>7.2</w:t>
        </w:r>
        <w:r>
          <w:rPr>
            <w:spacing w:val="0"/>
            <w:kern w:val="2"/>
            <w:sz w:val="24"/>
            <w:szCs w:val="24"/>
            <w14:ligatures w14:val="standardContextual"/>
          </w:rPr>
          <w:tab/>
        </w:r>
        <w:r w:rsidRPr="00112EAC">
          <w:rPr>
            <w:rStyle w:val="Hyperlink"/>
          </w:rPr>
          <w:t>Version control</w:t>
        </w:r>
        <w:r>
          <w:rPr>
            <w:webHidden/>
          </w:rPr>
          <w:tab/>
        </w:r>
        <w:r>
          <w:rPr>
            <w:webHidden/>
          </w:rPr>
          <w:fldChar w:fldCharType="begin"/>
        </w:r>
        <w:r>
          <w:rPr>
            <w:webHidden/>
          </w:rPr>
          <w:instrText xml:space="preserve"> PAGEREF _Toc170127188 \h </w:instrText>
        </w:r>
        <w:r>
          <w:rPr>
            <w:webHidden/>
          </w:rPr>
        </w:r>
        <w:r>
          <w:rPr>
            <w:webHidden/>
          </w:rPr>
          <w:fldChar w:fldCharType="separate"/>
        </w:r>
        <w:r>
          <w:rPr>
            <w:webHidden/>
          </w:rPr>
          <w:t>24</w:t>
        </w:r>
        <w:r>
          <w:rPr>
            <w:webHidden/>
          </w:rPr>
          <w:fldChar w:fldCharType="end"/>
        </w:r>
      </w:hyperlink>
    </w:p>
    <w:p w14:paraId="32CC46B3" w14:textId="247BFECD" w:rsidR="00FA4524" w:rsidRDefault="00FA4524">
      <w:pPr>
        <w:pStyle w:val="TOC2"/>
        <w:tabs>
          <w:tab w:val="left" w:pos="1080"/>
        </w:tabs>
        <w:rPr>
          <w:spacing w:val="0"/>
          <w:kern w:val="2"/>
          <w:sz w:val="24"/>
          <w:szCs w:val="24"/>
          <w14:ligatures w14:val="standardContextual"/>
        </w:rPr>
      </w:pPr>
      <w:hyperlink w:anchor="_Toc170127189" w:history="1">
        <w:r w:rsidRPr="00112EAC">
          <w:rPr>
            <w:rStyle w:val="Hyperlink"/>
          </w:rPr>
          <w:t>7.3</w:t>
        </w:r>
        <w:r>
          <w:rPr>
            <w:spacing w:val="0"/>
            <w:kern w:val="2"/>
            <w:sz w:val="24"/>
            <w:szCs w:val="24"/>
            <w14:ligatures w14:val="standardContextual"/>
          </w:rPr>
          <w:tab/>
        </w:r>
        <w:r w:rsidRPr="00112EAC">
          <w:rPr>
            <w:rStyle w:val="Hyperlink"/>
          </w:rPr>
          <w:t>Document approval</w:t>
        </w:r>
        <w:r>
          <w:rPr>
            <w:webHidden/>
          </w:rPr>
          <w:tab/>
        </w:r>
        <w:r>
          <w:rPr>
            <w:webHidden/>
          </w:rPr>
          <w:fldChar w:fldCharType="begin"/>
        </w:r>
        <w:r>
          <w:rPr>
            <w:webHidden/>
          </w:rPr>
          <w:instrText xml:space="preserve"> PAGEREF _Toc170127189 \h </w:instrText>
        </w:r>
        <w:r>
          <w:rPr>
            <w:webHidden/>
          </w:rPr>
        </w:r>
        <w:r>
          <w:rPr>
            <w:webHidden/>
          </w:rPr>
          <w:fldChar w:fldCharType="separate"/>
        </w:r>
        <w:r>
          <w:rPr>
            <w:webHidden/>
          </w:rPr>
          <w:t>25</w:t>
        </w:r>
        <w:r>
          <w:rPr>
            <w:webHidden/>
          </w:rPr>
          <w:fldChar w:fldCharType="end"/>
        </w:r>
      </w:hyperlink>
    </w:p>
    <w:p w14:paraId="61C0FE64" w14:textId="1334D6B8" w:rsidR="00FA4524" w:rsidRDefault="00FA4524">
      <w:pPr>
        <w:pStyle w:val="TOC2"/>
        <w:tabs>
          <w:tab w:val="left" w:pos="1080"/>
        </w:tabs>
        <w:rPr>
          <w:spacing w:val="0"/>
          <w:kern w:val="2"/>
          <w:sz w:val="24"/>
          <w:szCs w:val="24"/>
          <w14:ligatures w14:val="standardContextual"/>
        </w:rPr>
      </w:pPr>
      <w:hyperlink w:anchor="_Toc170127190" w:history="1">
        <w:r w:rsidRPr="00112EAC">
          <w:rPr>
            <w:rStyle w:val="Hyperlink"/>
          </w:rPr>
          <w:t>7.4</w:t>
        </w:r>
        <w:r>
          <w:rPr>
            <w:spacing w:val="0"/>
            <w:kern w:val="2"/>
            <w:sz w:val="24"/>
            <w:szCs w:val="24"/>
            <w14:ligatures w14:val="standardContextual"/>
          </w:rPr>
          <w:tab/>
        </w:r>
        <w:r w:rsidRPr="00112EAC">
          <w:rPr>
            <w:rStyle w:val="Hyperlink"/>
          </w:rPr>
          <w:t>Reference material</w:t>
        </w:r>
        <w:r>
          <w:rPr>
            <w:webHidden/>
          </w:rPr>
          <w:tab/>
        </w:r>
        <w:r>
          <w:rPr>
            <w:webHidden/>
          </w:rPr>
          <w:fldChar w:fldCharType="begin"/>
        </w:r>
        <w:r>
          <w:rPr>
            <w:webHidden/>
          </w:rPr>
          <w:instrText xml:space="preserve"> PAGEREF _Toc170127190 \h </w:instrText>
        </w:r>
        <w:r>
          <w:rPr>
            <w:webHidden/>
          </w:rPr>
        </w:r>
        <w:r>
          <w:rPr>
            <w:webHidden/>
          </w:rPr>
          <w:fldChar w:fldCharType="separate"/>
        </w:r>
        <w:r>
          <w:rPr>
            <w:webHidden/>
          </w:rPr>
          <w:t>25</w:t>
        </w:r>
        <w:r>
          <w:rPr>
            <w:webHidden/>
          </w:rPr>
          <w:fldChar w:fldCharType="end"/>
        </w:r>
      </w:hyperlink>
    </w:p>
    <w:p w14:paraId="43EC3977" w14:textId="61443597" w:rsidR="00FA4524" w:rsidRDefault="00FA4524">
      <w:pPr>
        <w:pStyle w:val="TOC2"/>
        <w:tabs>
          <w:tab w:val="left" w:pos="1080"/>
        </w:tabs>
        <w:rPr>
          <w:spacing w:val="0"/>
          <w:kern w:val="2"/>
          <w:sz w:val="24"/>
          <w:szCs w:val="24"/>
          <w14:ligatures w14:val="standardContextual"/>
        </w:rPr>
      </w:pPr>
      <w:hyperlink w:anchor="_Toc170127191" w:history="1">
        <w:r w:rsidRPr="00112EAC">
          <w:rPr>
            <w:rStyle w:val="Hyperlink"/>
          </w:rPr>
          <w:t>7.5</w:t>
        </w:r>
        <w:r>
          <w:rPr>
            <w:spacing w:val="0"/>
            <w:kern w:val="2"/>
            <w:sz w:val="24"/>
            <w:szCs w:val="24"/>
            <w14:ligatures w14:val="standardContextual"/>
          </w:rPr>
          <w:tab/>
        </w:r>
        <w:r w:rsidRPr="00112EAC">
          <w:rPr>
            <w:rStyle w:val="Hyperlink"/>
          </w:rPr>
          <w:t>Acronyms</w:t>
        </w:r>
        <w:r>
          <w:rPr>
            <w:webHidden/>
          </w:rPr>
          <w:tab/>
        </w:r>
        <w:r>
          <w:rPr>
            <w:webHidden/>
          </w:rPr>
          <w:fldChar w:fldCharType="begin"/>
        </w:r>
        <w:r>
          <w:rPr>
            <w:webHidden/>
          </w:rPr>
          <w:instrText xml:space="preserve"> PAGEREF _Toc170127191 \h </w:instrText>
        </w:r>
        <w:r>
          <w:rPr>
            <w:webHidden/>
          </w:rPr>
        </w:r>
        <w:r>
          <w:rPr>
            <w:webHidden/>
          </w:rPr>
          <w:fldChar w:fldCharType="separate"/>
        </w:r>
        <w:r>
          <w:rPr>
            <w:webHidden/>
          </w:rPr>
          <w:t>26</w:t>
        </w:r>
        <w:r>
          <w:rPr>
            <w:webHidden/>
          </w:rPr>
          <w:fldChar w:fldCharType="end"/>
        </w:r>
      </w:hyperlink>
    </w:p>
    <w:p w14:paraId="58655CBA" w14:textId="0DA99333" w:rsidR="00FA4524" w:rsidRDefault="00FA4524">
      <w:pPr>
        <w:pStyle w:val="TOC1"/>
        <w:tabs>
          <w:tab w:val="left" w:pos="446"/>
        </w:tabs>
        <w:rPr>
          <w:noProof/>
          <w:spacing w:val="0"/>
          <w:kern w:val="2"/>
          <w14:ligatures w14:val="standardContextual"/>
        </w:rPr>
      </w:pPr>
      <w:hyperlink w:anchor="_Toc170127192" w:history="1">
        <w:r w:rsidRPr="00112EAC">
          <w:rPr>
            <w:rStyle w:val="Hyperlink"/>
            <w:noProof/>
          </w:rPr>
          <w:t>8.</w:t>
        </w:r>
        <w:r>
          <w:rPr>
            <w:noProof/>
            <w:spacing w:val="0"/>
            <w:kern w:val="2"/>
            <w14:ligatures w14:val="standardContextual"/>
          </w:rPr>
          <w:tab/>
        </w:r>
        <w:r w:rsidRPr="00112EAC">
          <w:rPr>
            <w:rStyle w:val="Hyperlink"/>
            <w:noProof/>
          </w:rPr>
          <w:t>Appendices</w:t>
        </w:r>
        <w:r>
          <w:rPr>
            <w:noProof/>
            <w:webHidden/>
          </w:rPr>
          <w:tab/>
        </w:r>
        <w:r>
          <w:rPr>
            <w:noProof/>
            <w:webHidden/>
          </w:rPr>
          <w:fldChar w:fldCharType="begin"/>
        </w:r>
        <w:r>
          <w:rPr>
            <w:noProof/>
            <w:webHidden/>
          </w:rPr>
          <w:instrText xml:space="preserve"> PAGEREF _Toc170127192 \h </w:instrText>
        </w:r>
        <w:r>
          <w:rPr>
            <w:noProof/>
            <w:webHidden/>
          </w:rPr>
        </w:r>
        <w:r>
          <w:rPr>
            <w:noProof/>
            <w:webHidden/>
          </w:rPr>
          <w:fldChar w:fldCharType="separate"/>
        </w:r>
        <w:r>
          <w:rPr>
            <w:noProof/>
            <w:webHidden/>
          </w:rPr>
          <w:t>26</w:t>
        </w:r>
        <w:r>
          <w:rPr>
            <w:noProof/>
            <w:webHidden/>
          </w:rPr>
          <w:fldChar w:fldCharType="end"/>
        </w:r>
      </w:hyperlink>
    </w:p>
    <w:p w14:paraId="43A324E3" w14:textId="5EFA3858" w:rsidR="00FA4524" w:rsidRDefault="00FA4524">
      <w:pPr>
        <w:pStyle w:val="TOC2"/>
        <w:rPr>
          <w:spacing w:val="0"/>
          <w:kern w:val="2"/>
          <w:sz w:val="24"/>
          <w:szCs w:val="24"/>
          <w14:ligatures w14:val="standardContextual"/>
        </w:rPr>
      </w:pPr>
      <w:hyperlink w:anchor="_Toc170127193" w:history="1">
        <w:r w:rsidRPr="00112EAC">
          <w:rPr>
            <w:rStyle w:val="Hyperlink"/>
          </w:rPr>
          <w:t>Appendix A: Cost estimation standard forms and templates</w:t>
        </w:r>
        <w:r>
          <w:rPr>
            <w:webHidden/>
          </w:rPr>
          <w:tab/>
        </w:r>
        <w:r>
          <w:rPr>
            <w:webHidden/>
          </w:rPr>
          <w:fldChar w:fldCharType="begin"/>
        </w:r>
        <w:r>
          <w:rPr>
            <w:webHidden/>
          </w:rPr>
          <w:instrText xml:space="preserve"> PAGEREF _Toc170127193 \h </w:instrText>
        </w:r>
        <w:r>
          <w:rPr>
            <w:webHidden/>
          </w:rPr>
        </w:r>
        <w:r>
          <w:rPr>
            <w:webHidden/>
          </w:rPr>
          <w:fldChar w:fldCharType="separate"/>
        </w:r>
        <w:r>
          <w:rPr>
            <w:webHidden/>
          </w:rPr>
          <w:t>26</w:t>
        </w:r>
        <w:r>
          <w:rPr>
            <w:webHidden/>
          </w:rPr>
          <w:fldChar w:fldCharType="end"/>
        </w:r>
      </w:hyperlink>
    </w:p>
    <w:p w14:paraId="64CADFB8" w14:textId="524AA7CF" w:rsidR="00FA4524" w:rsidRDefault="00FA4524">
      <w:pPr>
        <w:pStyle w:val="TOC2"/>
        <w:rPr>
          <w:spacing w:val="0"/>
          <w:kern w:val="2"/>
          <w:sz w:val="24"/>
          <w:szCs w:val="24"/>
          <w14:ligatures w14:val="standardContextual"/>
        </w:rPr>
      </w:pPr>
      <w:hyperlink w:anchor="_Toc170127194" w:history="1">
        <w:r w:rsidRPr="00112EAC">
          <w:rPr>
            <w:rStyle w:val="Hyperlink"/>
          </w:rPr>
          <w:t>Appendix B: Standard treatment guidelines</w:t>
        </w:r>
        <w:r>
          <w:rPr>
            <w:webHidden/>
          </w:rPr>
          <w:tab/>
        </w:r>
        <w:r>
          <w:rPr>
            <w:webHidden/>
          </w:rPr>
          <w:fldChar w:fldCharType="begin"/>
        </w:r>
        <w:r>
          <w:rPr>
            <w:webHidden/>
          </w:rPr>
          <w:instrText xml:space="preserve"> PAGEREF _Toc170127194 \h </w:instrText>
        </w:r>
        <w:r>
          <w:rPr>
            <w:webHidden/>
          </w:rPr>
        </w:r>
        <w:r>
          <w:rPr>
            <w:webHidden/>
          </w:rPr>
          <w:fldChar w:fldCharType="separate"/>
        </w:r>
        <w:r>
          <w:rPr>
            <w:webHidden/>
          </w:rPr>
          <w:t>27</w:t>
        </w:r>
        <w:r>
          <w:rPr>
            <w:webHidden/>
          </w:rPr>
          <w:fldChar w:fldCharType="end"/>
        </w:r>
      </w:hyperlink>
    </w:p>
    <w:p w14:paraId="55F58C14" w14:textId="446C5569" w:rsidR="00FA4524" w:rsidRDefault="00FA4524">
      <w:pPr>
        <w:pStyle w:val="TOC2"/>
        <w:rPr>
          <w:spacing w:val="0"/>
          <w:kern w:val="2"/>
          <w:sz w:val="24"/>
          <w:szCs w:val="24"/>
          <w14:ligatures w14:val="standardContextual"/>
        </w:rPr>
      </w:pPr>
      <w:hyperlink w:anchor="_Toc170127195" w:history="1">
        <w:r w:rsidRPr="00112EAC">
          <w:rPr>
            <w:rStyle w:val="Hyperlink"/>
          </w:rPr>
          <w:t>Appendix C: Standard deterministic risk matrix – Victoria</w:t>
        </w:r>
        <w:r>
          <w:rPr>
            <w:webHidden/>
          </w:rPr>
          <w:tab/>
        </w:r>
        <w:r>
          <w:rPr>
            <w:webHidden/>
          </w:rPr>
          <w:fldChar w:fldCharType="begin"/>
        </w:r>
        <w:r>
          <w:rPr>
            <w:webHidden/>
          </w:rPr>
          <w:instrText xml:space="preserve"> PAGEREF _Toc170127195 \h </w:instrText>
        </w:r>
        <w:r>
          <w:rPr>
            <w:webHidden/>
          </w:rPr>
        </w:r>
        <w:r>
          <w:rPr>
            <w:webHidden/>
          </w:rPr>
          <w:fldChar w:fldCharType="separate"/>
        </w:r>
        <w:r>
          <w:rPr>
            <w:webHidden/>
          </w:rPr>
          <w:t>28</w:t>
        </w:r>
        <w:r>
          <w:rPr>
            <w:webHidden/>
          </w:rPr>
          <w:fldChar w:fldCharType="end"/>
        </w:r>
      </w:hyperlink>
    </w:p>
    <w:p w14:paraId="480BCD3B" w14:textId="0534C71F" w:rsidR="00FA4524" w:rsidRDefault="00FA4524">
      <w:pPr>
        <w:pStyle w:val="TOC2"/>
        <w:rPr>
          <w:spacing w:val="0"/>
          <w:kern w:val="2"/>
          <w:sz w:val="24"/>
          <w:szCs w:val="24"/>
          <w14:ligatures w14:val="standardContextual"/>
        </w:rPr>
      </w:pPr>
      <w:hyperlink w:anchor="_Toc170127196" w:history="1">
        <w:r w:rsidRPr="00112EAC">
          <w:rPr>
            <w:rStyle w:val="Hyperlink"/>
          </w:rPr>
          <w:t>Appendix D: Guidance note 3A</w:t>
        </w:r>
        <w:r>
          <w:rPr>
            <w:webHidden/>
          </w:rPr>
          <w:tab/>
        </w:r>
        <w:r>
          <w:rPr>
            <w:webHidden/>
          </w:rPr>
          <w:fldChar w:fldCharType="begin"/>
        </w:r>
        <w:r>
          <w:rPr>
            <w:webHidden/>
          </w:rPr>
          <w:instrText xml:space="preserve"> PAGEREF _Toc170127196 \h </w:instrText>
        </w:r>
        <w:r>
          <w:rPr>
            <w:webHidden/>
          </w:rPr>
        </w:r>
        <w:r>
          <w:rPr>
            <w:webHidden/>
          </w:rPr>
          <w:fldChar w:fldCharType="separate"/>
        </w:r>
        <w:r>
          <w:rPr>
            <w:webHidden/>
          </w:rPr>
          <w:t>30</w:t>
        </w:r>
        <w:r>
          <w:rPr>
            <w:webHidden/>
          </w:rPr>
          <w:fldChar w:fldCharType="end"/>
        </w:r>
      </w:hyperlink>
    </w:p>
    <w:p w14:paraId="2BCF48BF" w14:textId="77777777" w:rsidR="00117CDF" w:rsidRDefault="008D53B1" w:rsidP="00117CDF">
      <w:r w:rsidRPr="00044BF1">
        <w:fldChar w:fldCharType="end"/>
      </w:r>
      <w:bookmarkStart w:id="4" w:name="_Toc58149986"/>
      <w:bookmarkStart w:id="5" w:name="_Ref171759389"/>
      <w:bookmarkStart w:id="6" w:name="_Toc373914669"/>
      <w:bookmarkStart w:id="7" w:name="_Toc41659991"/>
    </w:p>
    <w:p w14:paraId="4A26A186" w14:textId="77777777" w:rsidR="009762AD" w:rsidRDefault="009762AD" w:rsidP="00117CDF"/>
    <w:p w14:paraId="470F7F3A" w14:textId="77777777" w:rsidR="00117CDF" w:rsidRDefault="00117CDF" w:rsidP="00117CDF">
      <w:pPr>
        <w:sectPr w:rsidR="00117CDF" w:rsidSect="00AA033A">
          <w:footerReference w:type="even" r:id="rId14"/>
          <w:footerReference w:type="default" r:id="rId15"/>
          <w:type w:val="oddPage"/>
          <w:pgSz w:w="11906" w:h="16838" w:code="9"/>
          <w:pgMar w:top="2160" w:right="1440" w:bottom="1138" w:left="1440" w:header="605" w:footer="562" w:gutter="0"/>
          <w:pgNumType w:fmt="lowerRoman" w:start="1"/>
          <w:cols w:space="708"/>
          <w:docGrid w:linePitch="381"/>
        </w:sectPr>
      </w:pPr>
    </w:p>
    <w:p w14:paraId="38909CFA" w14:textId="77777777" w:rsidR="002550FE" w:rsidRPr="00C1511C" w:rsidRDefault="002550FE" w:rsidP="00AF7BDB">
      <w:pPr>
        <w:pStyle w:val="Heading1"/>
        <w:numPr>
          <w:ilvl w:val="0"/>
          <w:numId w:val="26"/>
        </w:numPr>
        <w:ind w:hanging="720"/>
      </w:pPr>
      <w:bookmarkStart w:id="8" w:name="_Toc170127148"/>
      <w:r w:rsidRPr="00C1511C">
        <w:lastRenderedPageBreak/>
        <w:t xml:space="preserve">Glossary of </w:t>
      </w:r>
      <w:r>
        <w:t>t</w:t>
      </w:r>
      <w:r w:rsidRPr="00C1511C">
        <w:t>erms</w:t>
      </w:r>
      <w:bookmarkEnd w:id="8"/>
      <w:r w:rsidRPr="00C1511C">
        <w:t xml:space="preserve"> </w:t>
      </w:r>
    </w:p>
    <w:tbl>
      <w:tblPr>
        <w:tblStyle w:val="DTFtexttable"/>
        <w:tblW w:w="4986" w:type="pct"/>
        <w:tblLayout w:type="fixed"/>
        <w:tblLook w:val="0220" w:firstRow="1" w:lastRow="0" w:firstColumn="0" w:lastColumn="0" w:noHBand="1" w:noVBand="0"/>
      </w:tblPr>
      <w:tblGrid>
        <w:gridCol w:w="2497"/>
        <w:gridCol w:w="6504"/>
      </w:tblGrid>
      <w:tr w:rsidR="002550FE" w:rsidRPr="00357D85" w14:paraId="528ADB53" w14:textId="77777777" w:rsidTr="00AD0C3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7" w:type="pct"/>
          </w:tcPr>
          <w:p w14:paraId="1EE2F28C" w14:textId="77777777" w:rsidR="002550FE" w:rsidRPr="0088560B" w:rsidRDefault="002550FE" w:rsidP="00AD0C3E">
            <w:pPr>
              <w:pStyle w:val="Tableheader"/>
            </w:pPr>
            <w:r w:rsidRPr="0088560B">
              <w:t>Terms</w:t>
            </w:r>
          </w:p>
        </w:tc>
        <w:tc>
          <w:tcPr>
            <w:cnfStyle w:val="000001000000" w:firstRow="0" w:lastRow="0" w:firstColumn="0" w:lastColumn="0" w:oddVBand="0" w:evenVBand="1" w:oddHBand="0" w:evenHBand="0" w:firstRowFirstColumn="0" w:firstRowLastColumn="0" w:lastRowFirstColumn="0" w:lastRowLastColumn="0"/>
            <w:tcW w:w="3613" w:type="pct"/>
          </w:tcPr>
          <w:p w14:paraId="037FA288" w14:textId="77777777" w:rsidR="002550FE" w:rsidRPr="0088560B" w:rsidRDefault="002550FE" w:rsidP="00AD0C3E">
            <w:pPr>
              <w:pStyle w:val="Tableheader"/>
              <w:rPr>
                <w:lang w:val="en-US"/>
              </w:rPr>
            </w:pPr>
            <w:r w:rsidRPr="0088560B">
              <w:t>Description</w:t>
            </w:r>
          </w:p>
        </w:tc>
      </w:tr>
      <w:tr w:rsidR="002550FE" w:rsidRPr="00357D85" w14:paraId="1CFCB118"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40CE787" w14:textId="77777777" w:rsidR="002550FE" w:rsidRPr="003219FC" w:rsidRDefault="002550FE" w:rsidP="00AD0C3E">
            <w:pPr>
              <w:pStyle w:val="Tabletext"/>
            </w:pPr>
            <w:r w:rsidRPr="003219FC">
              <w:t xml:space="preserve">Administering Authority </w:t>
            </w:r>
          </w:p>
        </w:tc>
        <w:tc>
          <w:tcPr>
            <w:cnfStyle w:val="000001000000" w:firstRow="0" w:lastRow="0" w:firstColumn="0" w:lastColumn="0" w:oddVBand="0" w:evenVBand="1" w:oddHBand="0" w:evenHBand="0" w:firstRowFirstColumn="0" w:firstRowLastColumn="0" w:lastRowFirstColumn="0" w:lastRowLastColumn="0"/>
            <w:tcW w:w="3613" w:type="pct"/>
          </w:tcPr>
          <w:p w14:paraId="6E1B00DB" w14:textId="2C89E43F" w:rsidR="002550FE" w:rsidRPr="00884C5E" w:rsidRDefault="002550FE" w:rsidP="00AD0C3E">
            <w:pPr>
              <w:pStyle w:val="Tabletext"/>
              <w:rPr>
                <w:szCs w:val="17"/>
              </w:rPr>
            </w:pPr>
            <w:r w:rsidRPr="00884C5E">
              <w:rPr>
                <w:szCs w:val="17"/>
              </w:rPr>
              <w:t xml:space="preserve">The Administering Authority for the DRFA in Victoria is </w:t>
            </w:r>
            <w:r w:rsidR="00765149">
              <w:rPr>
                <w:szCs w:val="17"/>
              </w:rPr>
              <w:t>Emergency Recovery Victoria</w:t>
            </w:r>
            <w:r>
              <w:rPr>
                <w:szCs w:val="17"/>
              </w:rPr>
              <w:t xml:space="preserve">, </w:t>
            </w:r>
            <w:r w:rsidRPr="00884C5E">
              <w:rPr>
                <w:szCs w:val="17"/>
              </w:rPr>
              <w:t xml:space="preserve">the Department of </w:t>
            </w:r>
            <w:r>
              <w:rPr>
                <w:szCs w:val="17"/>
              </w:rPr>
              <w:t>Justice and Community Safety</w:t>
            </w:r>
            <w:r w:rsidRPr="00884C5E">
              <w:rPr>
                <w:szCs w:val="17"/>
              </w:rPr>
              <w:t>. D</w:t>
            </w:r>
            <w:r>
              <w:rPr>
                <w:szCs w:val="17"/>
              </w:rPr>
              <w:t>JCS</w:t>
            </w:r>
            <w:r w:rsidRPr="00884C5E">
              <w:rPr>
                <w:szCs w:val="17"/>
              </w:rPr>
              <w:t xml:space="preserve"> serves as the single point of contact with the Australian Government and oversees the implementation of the DRFA across state agencies and local council</w:t>
            </w:r>
            <w:r w:rsidR="006F031F">
              <w:rPr>
                <w:szCs w:val="17"/>
              </w:rPr>
              <w:t>s</w:t>
            </w:r>
            <w:r w:rsidRPr="00884C5E">
              <w:rPr>
                <w:szCs w:val="17"/>
              </w:rPr>
              <w:t>.</w:t>
            </w:r>
          </w:p>
        </w:tc>
      </w:tr>
      <w:tr w:rsidR="002550FE" w:rsidRPr="00357D85" w14:paraId="50AA853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2522AFFA" w14:textId="77777777" w:rsidR="002550FE" w:rsidRPr="003219FC" w:rsidRDefault="002550FE" w:rsidP="00AD0C3E">
            <w:pPr>
              <w:pStyle w:val="Tabletext"/>
            </w:pPr>
            <w:r w:rsidRPr="003219FC">
              <w:t>Allowable time limits</w:t>
            </w:r>
          </w:p>
        </w:tc>
        <w:tc>
          <w:tcPr>
            <w:cnfStyle w:val="000001000000" w:firstRow="0" w:lastRow="0" w:firstColumn="0" w:lastColumn="0" w:oddVBand="0" w:evenVBand="1" w:oddHBand="0" w:evenHBand="0" w:firstRowFirstColumn="0" w:firstRowLastColumn="0" w:lastRowFirstColumn="0" w:lastRowLastColumn="0"/>
            <w:tcW w:w="3613" w:type="pct"/>
          </w:tcPr>
          <w:p w14:paraId="3EC5BD85" w14:textId="77777777" w:rsidR="002550FE" w:rsidRDefault="002550FE" w:rsidP="00AD0C3E">
            <w:pPr>
              <w:pStyle w:val="Tabletext"/>
            </w:pPr>
            <w:r>
              <w:t xml:space="preserve">Prescribed timeframes under the DRFA including, but not limited to, the following activities: </w:t>
            </w:r>
          </w:p>
          <w:p w14:paraId="43047DE5" w14:textId="77777777" w:rsidR="002550FE" w:rsidRDefault="002550FE" w:rsidP="00AD0C3E">
            <w:pPr>
              <w:pStyle w:val="Tablebullet"/>
            </w:pPr>
            <w:r>
              <w:t xml:space="preserve">Notification of the Australian Government of a disaster event </w:t>
            </w:r>
          </w:p>
          <w:p w14:paraId="1E5E8738" w14:textId="77777777" w:rsidR="002550FE" w:rsidRDefault="002550FE" w:rsidP="00AD0C3E">
            <w:pPr>
              <w:pStyle w:val="Tablebullet"/>
            </w:pPr>
            <w:r>
              <w:t xml:space="preserve">Completion of emergency </w:t>
            </w:r>
            <w:proofErr w:type="gramStart"/>
            <w:r>
              <w:t>works</w:t>
            </w:r>
            <w:proofErr w:type="gramEnd"/>
            <w:r>
              <w:t xml:space="preserve"> and non-REPA reconstruction works </w:t>
            </w:r>
          </w:p>
          <w:p w14:paraId="2B763EB2" w14:textId="77777777" w:rsidR="002550FE" w:rsidRDefault="002550FE" w:rsidP="00AD0C3E">
            <w:pPr>
              <w:pStyle w:val="Tablebullet"/>
            </w:pPr>
            <w:r>
              <w:t xml:space="preserve">Provision of evidence of damage to the State for an eligible disaster event </w:t>
            </w:r>
          </w:p>
          <w:p w14:paraId="724FF3D9" w14:textId="77777777" w:rsidR="002550FE" w:rsidRDefault="002550FE" w:rsidP="00AD0C3E">
            <w:pPr>
              <w:pStyle w:val="Tablebullet"/>
            </w:pPr>
            <w:r>
              <w:t xml:space="preserve">Approval of cost estimates related to a disaster event </w:t>
            </w:r>
          </w:p>
          <w:p w14:paraId="004ACD16" w14:textId="77777777" w:rsidR="002550FE" w:rsidRPr="003219FC" w:rsidRDefault="002550FE" w:rsidP="00AD0C3E">
            <w:pPr>
              <w:pStyle w:val="Tablebullet"/>
            </w:pPr>
            <w:r>
              <w:t xml:space="preserve">Period to incur REPA expenses </w:t>
            </w:r>
          </w:p>
        </w:tc>
      </w:tr>
      <w:tr w:rsidR="002550FE" w:rsidRPr="00357D85" w14:paraId="355C7F96"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8C50F48" w14:textId="77777777" w:rsidR="002550FE" w:rsidRPr="00E850A4" w:rsidRDefault="002550FE" w:rsidP="00AD0C3E">
            <w:pPr>
              <w:pStyle w:val="Tabletext"/>
              <w:rPr>
                <w:szCs w:val="17"/>
              </w:rPr>
            </w:pPr>
            <w:r w:rsidRPr="00E850A4">
              <w:rPr>
                <w:szCs w:val="17"/>
              </w:rPr>
              <w:t>ASAE3150</w:t>
            </w:r>
          </w:p>
        </w:tc>
        <w:tc>
          <w:tcPr>
            <w:cnfStyle w:val="000001000000" w:firstRow="0" w:lastRow="0" w:firstColumn="0" w:lastColumn="0" w:oddVBand="0" w:evenVBand="1" w:oddHBand="0" w:evenHBand="0" w:firstRowFirstColumn="0" w:firstRowLastColumn="0" w:lastRowFirstColumn="0" w:lastRowLastColumn="0"/>
            <w:tcW w:w="3613" w:type="pct"/>
          </w:tcPr>
          <w:p w14:paraId="7AE81AE3" w14:textId="77777777" w:rsidR="002550FE" w:rsidRPr="00AF7BDB" w:rsidRDefault="002550FE" w:rsidP="00AD0C3E">
            <w:pPr>
              <w:pStyle w:val="Tabletext"/>
              <w:rPr>
                <w:szCs w:val="17"/>
              </w:rPr>
            </w:pPr>
            <w:r w:rsidRPr="00AF7BDB">
              <w:rPr>
                <w:szCs w:val="17"/>
              </w:rPr>
              <w:t xml:space="preserve">ASAE3150 Assurance Engagements on Controls, issued by the Auditing and Assurance Standards Board </w:t>
            </w:r>
          </w:p>
        </w:tc>
      </w:tr>
      <w:tr w:rsidR="002550FE" w:rsidRPr="00357D85" w14:paraId="55A840D9"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897608E" w14:textId="77777777" w:rsidR="002550FE" w:rsidRPr="00A36CE8" w:rsidRDefault="002550FE" w:rsidP="00AD0C3E">
            <w:pPr>
              <w:pStyle w:val="Tabletext"/>
            </w:pPr>
            <w:r w:rsidRPr="00A36CE8">
              <w:t>ASA 800</w:t>
            </w:r>
          </w:p>
        </w:tc>
        <w:tc>
          <w:tcPr>
            <w:cnfStyle w:val="000001000000" w:firstRow="0" w:lastRow="0" w:firstColumn="0" w:lastColumn="0" w:oddVBand="0" w:evenVBand="1" w:oddHBand="0" w:evenHBand="0" w:firstRowFirstColumn="0" w:firstRowLastColumn="0" w:lastRowFirstColumn="0" w:lastRowLastColumn="0"/>
            <w:tcW w:w="3613" w:type="pct"/>
          </w:tcPr>
          <w:p w14:paraId="225FF0DE" w14:textId="77777777" w:rsidR="002550FE" w:rsidRPr="00884C5E" w:rsidRDefault="002550FE" w:rsidP="00AD0C3E">
            <w:pPr>
              <w:pStyle w:val="Tabletext"/>
              <w:rPr>
                <w:szCs w:val="17"/>
              </w:rPr>
            </w:pPr>
            <w:r w:rsidRPr="00884C5E">
              <w:rPr>
                <w:szCs w:val="17"/>
              </w:rPr>
              <w:t>Auditing Standard ASA 800 Special Considerations-Audits of Financial Reports Prepared in Accordance with Special Purpose Frameworks, issued by the Auditing and Assurance Standards Board.</w:t>
            </w:r>
          </w:p>
        </w:tc>
      </w:tr>
      <w:tr w:rsidR="002550FE" w:rsidRPr="00357D85" w14:paraId="348E672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2CCBA9F" w14:textId="77777777" w:rsidR="002550FE" w:rsidRPr="00A36CE8" w:rsidRDefault="002550FE" w:rsidP="00AD0C3E">
            <w:pPr>
              <w:pStyle w:val="Tabletext"/>
            </w:pPr>
            <w:r w:rsidRPr="00A36CE8">
              <w:t xml:space="preserve">Assessing Authority </w:t>
            </w:r>
          </w:p>
        </w:tc>
        <w:tc>
          <w:tcPr>
            <w:cnfStyle w:val="000001000000" w:firstRow="0" w:lastRow="0" w:firstColumn="0" w:lastColumn="0" w:oddVBand="0" w:evenVBand="1" w:oddHBand="0" w:evenHBand="0" w:firstRowFirstColumn="0" w:firstRowLastColumn="0" w:lastRowFirstColumn="0" w:lastRowLastColumn="0"/>
            <w:tcW w:w="3613" w:type="pct"/>
          </w:tcPr>
          <w:p w14:paraId="73202DEA" w14:textId="1C25C666" w:rsidR="002550FE" w:rsidRPr="00884C5E" w:rsidRDefault="002550FE" w:rsidP="00AD0C3E">
            <w:pPr>
              <w:pStyle w:val="Tabletext"/>
              <w:rPr>
                <w:szCs w:val="17"/>
              </w:rPr>
            </w:pPr>
            <w:r w:rsidRPr="00884C5E">
              <w:rPr>
                <w:szCs w:val="17"/>
              </w:rPr>
              <w:t xml:space="preserve">The Assessing Authority assesses claims on behalf of </w:t>
            </w:r>
            <w:r w:rsidR="00765149">
              <w:rPr>
                <w:szCs w:val="17"/>
              </w:rPr>
              <w:t>Emergency Recovery Victoria</w:t>
            </w:r>
            <w:r w:rsidRPr="00884C5E">
              <w:rPr>
                <w:szCs w:val="17"/>
              </w:rPr>
              <w:t xml:space="preserve">. The Assessing Authority </w:t>
            </w:r>
            <w:r w:rsidR="00AD0C3E">
              <w:rPr>
                <w:szCs w:val="17"/>
              </w:rPr>
              <w:t xml:space="preserve">appointed is </w:t>
            </w:r>
            <w:r w:rsidR="005962EA">
              <w:rPr>
                <w:szCs w:val="17"/>
              </w:rPr>
              <w:t xml:space="preserve">the </w:t>
            </w:r>
            <w:r w:rsidR="00AD0C3E">
              <w:rPr>
                <w:szCs w:val="17"/>
              </w:rPr>
              <w:t xml:space="preserve">Department of Transport. </w:t>
            </w:r>
          </w:p>
        </w:tc>
      </w:tr>
      <w:tr w:rsidR="002550FE" w:rsidRPr="00357D85" w14:paraId="07C57A2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561790BD" w14:textId="77777777" w:rsidR="002550FE" w:rsidRPr="00A36CE8" w:rsidRDefault="002550FE" w:rsidP="00AD0C3E">
            <w:pPr>
              <w:pStyle w:val="Tabletext"/>
            </w:pPr>
            <w:r w:rsidRPr="00A36CE8">
              <w:t>Borrow pit</w:t>
            </w:r>
          </w:p>
        </w:tc>
        <w:tc>
          <w:tcPr>
            <w:cnfStyle w:val="000001000000" w:firstRow="0" w:lastRow="0" w:firstColumn="0" w:lastColumn="0" w:oddVBand="0" w:evenVBand="1" w:oddHBand="0" w:evenHBand="0" w:firstRowFirstColumn="0" w:firstRowLastColumn="0" w:lastRowFirstColumn="0" w:lastRowLastColumn="0"/>
            <w:tcW w:w="3613" w:type="pct"/>
          </w:tcPr>
          <w:p w14:paraId="6118997F" w14:textId="77777777" w:rsidR="002550FE" w:rsidRPr="00884C5E" w:rsidRDefault="002550FE" w:rsidP="00AD0C3E">
            <w:pPr>
              <w:pStyle w:val="Tabletext"/>
              <w:rPr>
                <w:szCs w:val="17"/>
              </w:rPr>
            </w:pPr>
            <w:r w:rsidRPr="00884C5E">
              <w:rPr>
                <w:szCs w:val="17"/>
              </w:rPr>
              <w:t>A borrow pit is an area where material (usually soil, gravel or sand) has been excavated for use at another location</w:t>
            </w:r>
          </w:p>
        </w:tc>
      </w:tr>
      <w:tr w:rsidR="002550FE" w:rsidRPr="00357D85" w14:paraId="148F0701"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DEAE110" w14:textId="77777777" w:rsidR="002550FE" w:rsidRPr="00A36CE8" w:rsidRDefault="002550FE" w:rsidP="00AD0C3E">
            <w:pPr>
              <w:pStyle w:val="Tabletext"/>
            </w:pPr>
            <w:r w:rsidRPr="00A36CE8">
              <w:t>Claim pack</w:t>
            </w:r>
          </w:p>
        </w:tc>
        <w:tc>
          <w:tcPr>
            <w:cnfStyle w:val="000001000000" w:firstRow="0" w:lastRow="0" w:firstColumn="0" w:lastColumn="0" w:oddVBand="0" w:evenVBand="1" w:oddHBand="0" w:evenHBand="0" w:firstRowFirstColumn="0" w:firstRowLastColumn="0" w:lastRowFirstColumn="0" w:lastRowLastColumn="0"/>
            <w:tcW w:w="3613" w:type="pct"/>
          </w:tcPr>
          <w:p w14:paraId="76C8E891" w14:textId="77777777" w:rsidR="002550FE" w:rsidRPr="00884C5E" w:rsidRDefault="002550FE" w:rsidP="00AD0C3E">
            <w:pPr>
              <w:pStyle w:val="Tabletext"/>
              <w:rPr>
                <w:szCs w:val="17"/>
              </w:rPr>
            </w:pPr>
            <w:r w:rsidRPr="00884C5E">
              <w:rPr>
                <w:szCs w:val="17"/>
              </w:rPr>
              <w:t>The financial reporting pack provided by the Australian Government to the State each year.</w:t>
            </w:r>
          </w:p>
        </w:tc>
      </w:tr>
      <w:tr w:rsidR="002550FE" w:rsidRPr="00357D85" w14:paraId="749D20ED"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E0C5C72" w14:textId="77777777" w:rsidR="002550FE" w:rsidRPr="00A36CE8" w:rsidRDefault="002550FE" w:rsidP="00AD0C3E">
            <w:pPr>
              <w:pStyle w:val="Tabletext"/>
            </w:pPr>
            <w:r w:rsidRPr="00A36CE8">
              <w:t>Contingency</w:t>
            </w:r>
          </w:p>
        </w:tc>
        <w:tc>
          <w:tcPr>
            <w:cnfStyle w:val="000001000000" w:firstRow="0" w:lastRow="0" w:firstColumn="0" w:lastColumn="0" w:oddVBand="0" w:evenVBand="1" w:oddHBand="0" w:evenHBand="0" w:firstRowFirstColumn="0" w:firstRowLastColumn="0" w:lastRowFirstColumn="0" w:lastRowLastColumn="0"/>
            <w:tcW w:w="3613" w:type="pct"/>
          </w:tcPr>
          <w:p w14:paraId="4B436C43" w14:textId="77777777" w:rsidR="002550FE" w:rsidRPr="00884C5E" w:rsidRDefault="002550FE" w:rsidP="00AD0C3E">
            <w:pPr>
              <w:pStyle w:val="Tabletext"/>
              <w:rPr>
                <w:szCs w:val="17"/>
              </w:rPr>
            </w:pPr>
            <w:r w:rsidRPr="00884C5E">
              <w:rPr>
                <w:szCs w:val="17"/>
              </w:rPr>
              <w:t>The allowance reflecting the reconstruction project risk profile, complexity, investment lifecycle, benchmarks and past performance for similar projects.</w:t>
            </w:r>
          </w:p>
        </w:tc>
      </w:tr>
      <w:tr w:rsidR="002550FE" w:rsidRPr="00357D85" w14:paraId="2D47EE87"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4B051517" w14:textId="77777777" w:rsidR="002550FE" w:rsidRPr="00A36CE8" w:rsidRDefault="002550FE" w:rsidP="00AD0C3E">
            <w:pPr>
              <w:pStyle w:val="Tabletext"/>
            </w:pPr>
            <w:r>
              <w:t xml:space="preserve">Control agency </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1D06E9E6" w14:textId="77777777" w:rsidR="002550FE" w:rsidRPr="00FF334D" w:rsidRDefault="002550FE" w:rsidP="00AD0C3E">
            <w:pPr>
              <w:pStyle w:val="Tabletext"/>
              <w:rPr>
                <w:szCs w:val="17"/>
              </w:rPr>
            </w:pPr>
            <w:r w:rsidRPr="00765149">
              <w:rPr>
                <w:szCs w:val="17"/>
              </w:rPr>
              <w:t>The agency who is responsible to undertaking the control activity to mitigate the risk to ensure that the control objective(s) can be met.</w:t>
            </w:r>
          </w:p>
        </w:tc>
      </w:tr>
      <w:tr w:rsidR="002550FE" w:rsidRPr="00357D85" w14:paraId="68060E48"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B967FF1" w14:textId="77777777" w:rsidR="002550FE" w:rsidRPr="00A36CE8" w:rsidRDefault="002550FE" w:rsidP="00AD0C3E">
            <w:pPr>
              <w:pStyle w:val="Tabletext"/>
            </w:pPr>
            <w:r w:rsidRPr="00A36CE8">
              <w:t xml:space="preserve">Control objectives </w:t>
            </w:r>
          </w:p>
        </w:tc>
        <w:tc>
          <w:tcPr>
            <w:cnfStyle w:val="000001000000" w:firstRow="0" w:lastRow="0" w:firstColumn="0" w:lastColumn="0" w:oddVBand="0" w:evenVBand="1" w:oddHBand="0" w:evenHBand="0" w:firstRowFirstColumn="0" w:firstRowLastColumn="0" w:lastRowFirstColumn="0" w:lastRowLastColumn="0"/>
            <w:tcW w:w="3613" w:type="pct"/>
          </w:tcPr>
          <w:p w14:paraId="17B724A8" w14:textId="77777777" w:rsidR="002550FE" w:rsidRPr="00884C5E" w:rsidRDefault="002550FE" w:rsidP="00AD0C3E">
            <w:pPr>
              <w:pStyle w:val="Tabletext"/>
              <w:rPr>
                <w:szCs w:val="17"/>
              </w:rPr>
            </w:pPr>
            <w:r w:rsidRPr="00884C5E">
              <w:rPr>
                <w:szCs w:val="17"/>
              </w:rPr>
              <w:t>The control objectives established within these arrangements, as required under ASAE3150</w:t>
            </w:r>
          </w:p>
        </w:tc>
      </w:tr>
      <w:tr w:rsidR="002550FE" w:rsidRPr="00357D85" w14:paraId="2E7DBE1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B5EC469" w14:textId="77777777" w:rsidR="002550FE" w:rsidRPr="00A36CE8" w:rsidRDefault="002550FE" w:rsidP="00AD0C3E">
            <w:pPr>
              <w:pStyle w:val="Tabletext"/>
            </w:pPr>
            <w:r w:rsidRPr="00A36CE8">
              <w:lastRenderedPageBreak/>
              <w:t xml:space="preserve">Cost estimation </w:t>
            </w:r>
          </w:p>
        </w:tc>
        <w:tc>
          <w:tcPr>
            <w:cnfStyle w:val="000001000000" w:firstRow="0" w:lastRow="0" w:firstColumn="0" w:lastColumn="0" w:oddVBand="0" w:evenVBand="1" w:oddHBand="0" w:evenHBand="0" w:firstRowFirstColumn="0" w:firstRowLastColumn="0" w:lastRowFirstColumn="0" w:lastRowLastColumn="0"/>
            <w:tcW w:w="3613" w:type="pct"/>
          </w:tcPr>
          <w:p w14:paraId="0DA1CB56" w14:textId="21DA593C" w:rsidR="002550FE" w:rsidRPr="007D533D" w:rsidRDefault="002550FE" w:rsidP="00AD0C3E">
            <w:pPr>
              <w:pStyle w:val="Tabletext"/>
              <w:rPr>
                <w:szCs w:val="17"/>
              </w:rPr>
            </w:pPr>
            <w:r w:rsidRPr="007D533D">
              <w:rPr>
                <w:szCs w:val="17"/>
              </w:rPr>
              <w:t xml:space="preserve">The process of developing the </w:t>
            </w:r>
            <w:r w:rsidRPr="007D533D">
              <w:rPr>
                <w:iCs/>
                <w:szCs w:val="17"/>
              </w:rPr>
              <w:t xml:space="preserve">estimated reconstruction cost </w:t>
            </w:r>
            <w:r w:rsidR="00A67096">
              <w:rPr>
                <w:iCs/>
                <w:szCs w:val="17"/>
              </w:rPr>
              <w:t>(ERC)</w:t>
            </w:r>
            <w:r w:rsidR="009D3601">
              <w:rPr>
                <w:iCs/>
                <w:szCs w:val="17"/>
              </w:rPr>
              <w:t xml:space="preserve"> </w:t>
            </w:r>
            <w:r w:rsidRPr="007D533D">
              <w:rPr>
                <w:szCs w:val="17"/>
              </w:rPr>
              <w:t xml:space="preserve">or the </w:t>
            </w:r>
            <w:r w:rsidRPr="007D533D">
              <w:rPr>
                <w:iCs/>
                <w:szCs w:val="17"/>
              </w:rPr>
              <w:t xml:space="preserve">reconstruction </w:t>
            </w:r>
            <w:r w:rsidRPr="007D533D">
              <w:rPr>
                <w:szCs w:val="17"/>
              </w:rPr>
              <w:t xml:space="preserve">of </w:t>
            </w:r>
            <w:r w:rsidRPr="007D533D">
              <w:rPr>
                <w:iCs/>
                <w:szCs w:val="17"/>
              </w:rPr>
              <w:t xml:space="preserve">essential public assets </w:t>
            </w:r>
            <w:r w:rsidRPr="007D533D">
              <w:rPr>
                <w:szCs w:val="17"/>
              </w:rPr>
              <w:t xml:space="preserve">by building up the component elements including: </w:t>
            </w:r>
          </w:p>
          <w:p w14:paraId="130257E5" w14:textId="77777777" w:rsidR="002550FE" w:rsidRPr="007D533D" w:rsidRDefault="002550FE" w:rsidP="00AD0C3E">
            <w:pPr>
              <w:pStyle w:val="Tablebullet"/>
              <w:rPr>
                <w:szCs w:val="17"/>
              </w:rPr>
            </w:pPr>
            <w:r w:rsidRPr="007D533D">
              <w:rPr>
                <w:szCs w:val="17"/>
              </w:rPr>
              <w:t xml:space="preserve">scoping and defining the works required for </w:t>
            </w:r>
            <w:r w:rsidRPr="007D533D">
              <w:rPr>
                <w:iCs/>
                <w:szCs w:val="17"/>
              </w:rPr>
              <w:t xml:space="preserve">reconstruction </w:t>
            </w:r>
            <w:r w:rsidRPr="007D533D">
              <w:rPr>
                <w:szCs w:val="17"/>
              </w:rPr>
              <w:t xml:space="preserve">of the </w:t>
            </w:r>
            <w:r w:rsidRPr="007D533D">
              <w:rPr>
                <w:iCs/>
                <w:szCs w:val="17"/>
              </w:rPr>
              <w:t xml:space="preserve">essential public </w:t>
            </w:r>
            <w:proofErr w:type="gramStart"/>
            <w:r w:rsidRPr="007D533D">
              <w:rPr>
                <w:iCs/>
                <w:szCs w:val="17"/>
              </w:rPr>
              <w:t>asset;</w:t>
            </w:r>
            <w:proofErr w:type="gramEnd"/>
            <w:r w:rsidRPr="007D533D">
              <w:rPr>
                <w:iCs/>
                <w:szCs w:val="17"/>
              </w:rPr>
              <w:t xml:space="preserve"> </w:t>
            </w:r>
          </w:p>
          <w:p w14:paraId="5BF2A1C4" w14:textId="77777777" w:rsidR="002550FE" w:rsidRPr="007D533D" w:rsidRDefault="002550FE" w:rsidP="00AD0C3E">
            <w:pPr>
              <w:pStyle w:val="Tablebullet"/>
              <w:rPr>
                <w:szCs w:val="17"/>
              </w:rPr>
            </w:pPr>
            <w:r w:rsidRPr="007D533D">
              <w:rPr>
                <w:szCs w:val="17"/>
              </w:rPr>
              <w:t xml:space="preserve">applying relevant assumptions and exclusions, and </w:t>
            </w:r>
          </w:p>
          <w:p w14:paraId="7B1B7C51" w14:textId="7627CC5E" w:rsidR="00FF334D" w:rsidRPr="007D533D" w:rsidRDefault="002550FE" w:rsidP="00FF334D">
            <w:pPr>
              <w:pStyle w:val="Tablebullet"/>
              <w:rPr>
                <w:szCs w:val="17"/>
              </w:rPr>
            </w:pPr>
            <w:r w:rsidRPr="007D533D">
              <w:rPr>
                <w:szCs w:val="17"/>
              </w:rPr>
              <w:t>using available historical data of actual costs (that is, benchmark pricing</w:t>
            </w:r>
            <w:r w:rsidR="00FF334D" w:rsidRPr="007D533D">
              <w:rPr>
                <w:szCs w:val="17"/>
              </w:rPr>
              <w:t>, or recently tendered rates from similarly scoped works (i.e. gravel re</w:t>
            </w:r>
            <w:r w:rsidR="00102E3B" w:rsidRPr="007D533D">
              <w:rPr>
                <w:szCs w:val="17"/>
              </w:rPr>
              <w:t>-</w:t>
            </w:r>
            <w:r w:rsidR="00FF334D" w:rsidRPr="007D533D">
              <w:rPr>
                <w:szCs w:val="17"/>
              </w:rPr>
              <w:t>sheeting, formation grading, minor patching etc) provided to a Delivery Agency, either through maintenance programs or other DRFA works</w:t>
            </w:r>
            <w:r w:rsidRPr="007D533D">
              <w:rPr>
                <w:szCs w:val="17"/>
              </w:rPr>
              <w:t xml:space="preserve">) and/or supplier quotes to estimate the cost of </w:t>
            </w:r>
            <w:r w:rsidRPr="007D533D">
              <w:rPr>
                <w:iCs/>
                <w:szCs w:val="17"/>
              </w:rPr>
              <w:t xml:space="preserve">reconstruction </w:t>
            </w:r>
            <w:r w:rsidRPr="007D533D">
              <w:rPr>
                <w:szCs w:val="17"/>
              </w:rPr>
              <w:t>works.</w:t>
            </w:r>
            <w:r w:rsidR="00FF334D" w:rsidRPr="007D533D">
              <w:rPr>
                <w:szCs w:val="17"/>
              </w:rPr>
              <w:t xml:space="preserve"> </w:t>
            </w:r>
            <w:r w:rsidR="00882CAA" w:rsidRPr="007D533D">
              <w:rPr>
                <w:szCs w:val="17"/>
              </w:rPr>
              <w:t>Refer to section 3.1.64 in this Guideline.</w:t>
            </w:r>
          </w:p>
          <w:p w14:paraId="2B524A3A" w14:textId="77777777" w:rsidR="00EA41BE" w:rsidRPr="00EA41BE" w:rsidRDefault="00EA41BE" w:rsidP="00EA41BE">
            <w:pPr>
              <w:pStyle w:val="NormalIndent"/>
              <w:ind w:left="0"/>
              <w:rPr>
                <w:szCs w:val="17"/>
              </w:rPr>
            </w:pPr>
            <w:r w:rsidRPr="00EA41BE">
              <w:rPr>
                <w:szCs w:val="17"/>
              </w:rPr>
              <w:t>The ERC includes costs that are directly related to the construction, design, and project management, and may include contingency and cost escalation. The eligibility of these costs is contingent on demonstrating that they are directly related to eligible works to restore an essential public asset damaged as a direct result of an eligible event.</w:t>
            </w:r>
          </w:p>
          <w:p w14:paraId="49CD6EF0" w14:textId="593CA9DC" w:rsidR="00EA41BE" w:rsidRDefault="00EA41BE" w:rsidP="00EA41BE">
            <w:pPr>
              <w:pStyle w:val="NormalIndent"/>
              <w:ind w:left="0"/>
              <w:rPr>
                <w:szCs w:val="17"/>
              </w:rPr>
            </w:pPr>
            <w:r w:rsidRPr="00EA41BE">
              <w:rPr>
                <w:szCs w:val="17"/>
              </w:rPr>
              <w:t>Indirect costs associated with developing an estimated reconstruction costs must be directly related to an essential public asset being claimed under Category B of the DRFA. If the essential public asset reconstruction does not proceed under Category B, any costs, including indirect costs, are ineligible for claiming under the DRFA as the costs cannot be linked to an eligible clause under the DRFA.</w:t>
            </w:r>
          </w:p>
          <w:p w14:paraId="0FFF964D" w14:textId="30495E67" w:rsidR="00FF334D" w:rsidRPr="007D533D" w:rsidRDefault="00FF334D" w:rsidP="00F95FB0">
            <w:pPr>
              <w:pStyle w:val="NormalIndent"/>
              <w:ind w:left="0"/>
              <w:rPr>
                <w:szCs w:val="17"/>
              </w:rPr>
            </w:pPr>
            <w:r w:rsidRPr="007D533D">
              <w:rPr>
                <w:szCs w:val="17"/>
              </w:rPr>
              <w:t>Where cost estimation is the selected method, Delivery Agencies must verify the estimated reconstruction cost by:</w:t>
            </w:r>
          </w:p>
          <w:p w14:paraId="5B35D3B9" w14:textId="437AB2CD" w:rsidR="00FF334D" w:rsidRPr="007D533D" w:rsidRDefault="00FF334D" w:rsidP="00F95FB0">
            <w:pPr>
              <w:pStyle w:val="NormalIndent"/>
              <w:numPr>
                <w:ilvl w:val="0"/>
                <w:numId w:val="28"/>
              </w:numPr>
              <w:ind w:left="360"/>
              <w:rPr>
                <w:szCs w:val="17"/>
              </w:rPr>
            </w:pPr>
            <w:r w:rsidRPr="007D533D">
              <w:rPr>
                <w:szCs w:val="17"/>
              </w:rPr>
              <w:t>Using an internal engineer or quantity surveyor with the appropriate level of expertise and experience (from within the Delivery Agency) as defined in the Glossary as a suitably qualified professional; or</w:t>
            </w:r>
          </w:p>
          <w:p w14:paraId="3B08528C" w14:textId="77777777" w:rsidR="00FF334D" w:rsidRPr="007D533D" w:rsidRDefault="00FF334D" w:rsidP="00F95FB0">
            <w:pPr>
              <w:pStyle w:val="NormalIndent"/>
              <w:numPr>
                <w:ilvl w:val="0"/>
                <w:numId w:val="28"/>
              </w:numPr>
              <w:ind w:left="360"/>
              <w:rPr>
                <w:szCs w:val="17"/>
              </w:rPr>
            </w:pPr>
            <w:r w:rsidRPr="007D533D">
              <w:rPr>
                <w:szCs w:val="17"/>
              </w:rPr>
              <w:t>Engaging an independent engineer or quantity surveyor with the appropriate level of expertise and experience.</w:t>
            </w:r>
          </w:p>
          <w:p w14:paraId="0634B12D" w14:textId="1795369E" w:rsidR="00FF334D" w:rsidRPr="00884C5E" w:rsidRDefault="00FF334D" w:rsidP="00F95FB0">
            <w:pPr>
              <w:pStyle w:val="NormalIndent"/>
              <w:ind w:left="0"/>
              <w:rPr>
                <w:szCs w:val="17"/>
              </w:rPr>
            </w:pPr>
            <w:r w:rsidRPr="007D533D">
              <w:rPr>
                <w:szCs w:val="17"/>
              </w:rPr>
              <w:t>A suitably qualified professional may be</w:t>
            </w:r>
            <w:r w:rsidRPr="00FF334D">
              <w:rPr>
                <w:szCs w:val="17"/>
              </w:rPr>
              <w:t xml:space="preserve"> defined as a person with relevant tertiary qualification and a minimum of five years’ experience in the appropriate field of work for the asset type, or a person with the appropriate level of expertise and experience within the Delivery Agency at the Director level, for example, Director Infrastructure or its equivalent.</w:t>
            </w:r>
          </w:p>
        </w:tc>
      </w:tr>
      <w:tr w:rsidR="002550FE" w:rsidRPr="00BC1763" w14:paraId="06A4ABB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28F1B79F" w14:textId="77777777" w:rsidR="002550FE" w:rsidRPr="00A36CE8" w:rsidRDefault="002550FE" w:rsidP="00AD0C3E">
            <w:pPr>
              <w:pStyle w:val="Tabletext"/>
              <w:rPr>
                <w:color w:val="FF0000"/>
              </w:rPr>
            </w:pPr>
            <w:r w:rsidRPr="00A36CE8">
              <w:t xml:space="preserve">Counter disaster operations </w:t>
            </w:r>
          </w:p>
        </w:tc>
        <w:tc>
          <w:tcPr>
            <w:cnfStyle w:val="000001000000" w:firstRow="0" w:lastRow="0" w:firstColumn="0" w:lastColumn="0" w:oddVBand="0" w:evenVBand="1" w:oddHBand="0" w:evenHBand="0" w:firstRowFirstColumn="0" w:firstRowLastColumn="0" w:lastRowFirstColumn="0" w:lastRowLastColumn="0"/>
            <w:tcW w:w="3613" w:type="pct"/>
          </w:tcPr>
          <w:p w14:paraId="5C1E04A2" w14:textId="77777777" w:rsidR="002550FE" w:rsidRPr="00884C5E" w:rsidRDefault="002550FE" w:rsidP="00AD0C3E">
            <w:pPr>
              <w:pStyle w:val="Tabletext"/>
              <w:rPr>
                <w:color w:val="FF0000"/>
                <w:szCs w:val="17"/>
              </w:rPr>
            </w:pPr>
            <w:r w:rsidRPr="00884C5E">
              <w:rPr>
                <w:szCs w:val="17"/>
              </w:rPr>
              <w:t xml:space="preserve">Activities undertaken by the state in response to the occurrence of a disaster event to protect a community from the impacts of the disaster event </w:t>
            </w:r>
          </w:p>
        </w:tc>
      </w:tr>
      <w:tr w:rsidR="002550FE" w:rsidRPr="00357D85" w14:paraId="59F5994E"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65B9444" w14:textId="77777777" w:rsidR="002550FE" w:rsidRPr="00A36CE8" w:rsidRDefault="002550FE" w:rsidP="00AD0C3E">
            <w:pPr>
              <w:pStyle w:val="Tabletext"/>
            </w:pPr>
            <w:r w:rsidRPr="00A36CE8">
              <w:t xml:space="preserve">Day Labour </w:t>
            </w:r>
          </w:p>
        </w:tc>
        <w:tc>
          <w:tcPr>
            <w:cnfStyle w:val="000001000000" w:firstRow="0" w:lastRow="0" w:firstColumn="0" w:lastColumn="0" w:oddVBand="0" w:evenVBand="1" w:oddHBand="0" w:evenHBand="0" w:firstRowFirstColumn="0" w:firstRowLastColumn="0" w:lastRowFirstColumn="0" w:lastRowLastColumn="0"/>
            <w:tcW w:w="3613" w:type="pct"/>
          </w:tcPr>
          <w:p w14:paraId="3253F548" w14:textId="50C86E26" w:rsidR="002550FE" w:rsidRPr="00884C5E" w:rsidRDefault="002550FE" w:rsidP="00AD0C3E">
            <w:pPr>
              <w:pStyle w:val="Tabletext"/>
              <w:rPr>
                <w:szCs w:val="17"/>
              </w:rPr>
            </w:pPr>
            <w:r w:rsidRPr="00884C5E">
              <w:rPr>
                <w:szCs w:val="17"/>
              </w:rPr>
              <w:t>The use of a Delivery Agency’s own plant, equipment or resources to reconstruct an asset. The key components of day labour are plant, labour and materials.</w:t>
            </w:r>
            <w:r w:rsidR="006F4091">
              <w:rPr>
                <w:szCs w:val="17"/>
              </w:rPr>
              <w:t xml:space="preserve"> Refer to </w:t>
            </w:r>
            <w:hyperlink r:id="rId16" w:history="1">
              <w:r w:rsidR="006F4091" w:rsidRPr="006F4091">
                <w:rPr>
                  <w:rStyle w:val="Hyperlink"/>
                  <w:szCs w:val="17"/>
                </w:rPr>
                <w:t>Victorian DRFA Guideline 1 Claims and Eligibility for essential public assets</w:t>
              </w:r>
            </w:hyperlink>
            <w:r w:rsidR="006F4091">
              <w:rPr>
                <w:szCs w:val="17"/>
              </w:rPr>
              <w:t xml:space="preserve"> for more details on the eligibility of Day labour under Direct Costs section.</w:t>
            </w:r>
          </w:p>
        </w:tc>
      </w:tr>
      <w:tr w:rsidR="002550FE" w:rsidRPr="00357D85" w14:paraId="50F233C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E07307C" w14:textId="77777777" w:rsidR="002550FE" w:rsidRPr="00A36CE8" w:rsidRDefault="002550FE" w:rsidP="00AD0C3E">
            <w:pPr>
              <w:pStyle w:val="Tabletext"/>
            </w:pPr>
            <w:r w:rsidRPr="00A36CE8">
              <w:t xml:space="preserve">Disaster event activation </w:t>
            </w:r>
          </w:p>
        </w:tc>
        <w:tc>
          <w:tcPr>
            <w:cnfStyle w:val="000001000000" w:firstRow="0" w:lastRow="0" w:firstColumn="0" w:lastColumn="0" w:oddVBand="0" w:evenVBand="1" w:oddHBand="0" w:evenHBand="0" w:firstRowFirstColumn="0" w:firstRowLastColumn="0" w:lastRowFirstColumn="0" w:lastRowLastColumn="0"/>
            <w:tcW w:w="3613" w:type="pct"/>
          </w:tcPr>
          <w:p w14:paraId="34DBD525" w14:textId="77777777" w:rsidR="002550FE" w:rsidRPr="00884C5E" w:rsidRDefault="002550FE" w:rsidP="00AD0C3E">
            <w:pPr>
              <w:pStyle w:val="Tabletext"/>
              <w:rPr>
                <w:szCs w:val="17"/>
              </w:rPr>
            </w:pPr>
            <w:r w:rsidRPr="00884C5E">
              <w:rPr>
                <w:szCs w:val="17"/>
              </w:rPr>
              <w:t xml:space="preserve">Under the DRFA, for an event to be activated, the following conditions must be satisfied: </w:t>
            </w:r>
          </w:p>
          <w:p w14:paraId="708CCCF2" w14:textId="77777777" w:rsidR="002550FE" w:rsidRPr="00884C5E" w:rsidRDefault="002550FE" w:rsidP="00AD0C3E">
            <w:pPr>
              <w:pStyle w:val="Tablebullet"/>
              <w:rPr>
                <w:szCs w:val="17"/>
              </w:rPr>
            </w:pPr>
            <w:r w:rsidRPr="00884C5E">
              <w:rPr>
                <w:szCs w:val="17"/>
              </w:rPr>
              <w:t xml:space="preserve">Meets the definition of a natural disaster or terrorist event and eligible disaster; and </w:t>
            </w:r>
          </w:p>
          <w:p w14:paraId="649F5E51" w14:textId="77777777" w:rsidR="002550FE" w:rsidRPr="00884C5E" w:rsidRDefault="002550FE" w:rsidP="00AD0C3E">
            <w:pPr>
              <w:pStyle w:val="Tablebullet"/>
              <w:rPr>
                <w:szCs w:val="17"/>
              </w:rPr>
            </w:pPr>
            <w:r w:rsidRPr="00884C5E">
              <w:rPr>
                <w:szCs w:val="17"/>
              </w:rPr>
              <w:t>Has impacted an eligible undertaking.</w:t>
            </w:r>
          </w:p>
        </w:tc>
      </w:tr>
      <w:tr w:rsidR="002550FE" w:rsidRPr="00357D85" w14:paraId="2D15F89D"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76B81CEC" w14:textId="77777777" w:rsidR="002550FE" w:rsidRPr="00A36CE8" w:rsidRDefault="002550FE" w:rsidP="00AD0C3E">
            <w:pPr>
              <w:pStyle w:val="Tabletext"/>
            </w:pPr>
            <w:r>
              <w:t>Disaster Recovery Funding Arrangements Management System</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103A7137" w14:textId="77777777" w:rsidR="002550FE" w:rsidRPr="00884C5E" w:rsidRDefault="002550FE" w:rsidP="00AD0C3E">
            <w:pPr>
              <w:pStyle w:val="Tabletext"/>
              <w:rPr>
                <w:szCs w:val="17"/>
              </w:rPr>
            </w:pPr>
            <w:r w:rsidRPr="00AF7BDB">
              <w:rPr>
                <w:szCs w:val="17"/>
              </w:rPr>
              <w:t xml:space="preserve">The processes and controls implemented by state agency and </w:t>
            </w:r>
            <w:r w:rsidR="00A07138" w:rsidRPr="00AF7BDB">
              <w:rPr>
                <w:szCs w:val="17"/>
              </w:rPr>
              <w:t>third-party</w:t>
            </w:r>
            <w:r w:rsidRPr="00AF7BDB">
              <w:rPr>
                <w:szCs w:val="17"/>
              </w:rPr>
              <w:t xml:space="preserve"> organisations (where applicable) in relation to an estimated reconstruction cost, as defined by these arrangements.</w:t>
            </w:r>
          </w:p>
        </w:tc>
      </w:tr>
      <w:tr w:rsidR="002550FE" w:rsidRPr="00357D85" w14:paraId="1B952C12"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EEF6A43" w14:textId="77777777" w:rsidR="002550FE" w:rsidRPr="00A36CE8" w:rsidRDefault="002550FE" w:rsidP="00AD0C3E">
            <w:pPr>
              <w:pStyle w:val="Tabletext"/>
            </w:pPr>
            <w:r w:rsidRPr="00A36CE8">
              <w:t>D</w:t>
            </w:r>
            <w:r>
              <w:t>elivery A</w:t>
            </w:r>
            <w:r w:rsidRPr="00A36CE8">
              <w:t xml:space="preserve">gency </w:t>
            </w:r>
          </w:p>
        </w:tc>
        <w:tc>
          <w:tcPr>
            <w:cnfStyle w:val="000001000000" w:firstRow="0" w:lastRow="0" w:firstColumn="0" w:lastColumn="0" w:oddVBand="0" w:evenVBand="1" w:oddHBand="0" w:evenHBand="0" w:firstRowFirstColumn="0" w:firstRowLastColumn="0" w:lastRowFirstColumn="0" w:lastRowLastColumn="0"/>
            <w:tcW w:w="3613" w:type="pct"/>
          </w:tcPr>
          <w:p w14:paraId="01CC7445" w14:textId="77777777" w:rsidR="002550FE" w:rsidRPr="00884C5E" w:rsidRDefault="002550FE" w:rsidP="00AD0C3E">
            <w:pPr>
              <w:pStyle w:val="Tabletext"/>
              <w:rPr>
                <w:szCs w:val="17"/>
              </w:rPr>
            </w:pPr>
            <w:r w:rsidRPr="00884C5E">
              <w:rPr>
                <w:szCs w:val="17"/>
              </w:rPr>
              <w:t>A State or Local Government agency responsible for delivering emergency or reconstruction works to restore an asset post-disaster.</w:t>
            </w:r>
          </w:p>
        </w:tc>
      </w:tr>
      <w:tr w:rsidR="002550FE" w:rsidRPr="00357D85" w14:paraId="63A0DDEB"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4C88070" w14:textId="77777777" w:rsidR="002550FE" w:rsidRPr="00A36CE8" w:rsidRDefault="002550FE" w:rsidP="00AD0C3E">
            <w:pPr>
              <w:pStyle w:val="Tabletext"/>
            </w:pPr>
            <w:r w:rsidRPr="00A36CE8">
              <w:lastRenderedPageBreak/>
              <w:t>Direct costs</w:t>
            </w:r>
          </w:p>
        </w:tc>
        <w:tc>
          <w:tcPr>
            <w:cnfStyle w:val="000001000000" w:firstRow="0" w:lastRow="0" w:firstColumn="0" w:lastColumn="0" w:oddVBand="0" w:evenVBand="1" w:oddHBand="0" w:evenHBand="0" w:firstRowFirstColumn="0" w:firstRowLastColumn="0" w:lastRowFirstColumn="0" w:lastRowLastColumn="0"/>
            <w:tcW w:w="3613" w:type="pct"/>
          </w:tcPr>
          <w:p w14:paraId="5AF4279F" w14:textId="77777777" w:rsidR="002550FE" w:rsidRPr="00884C5E" w:rsidRDefault="002550FE" w:rsidP="00AD0C3E">
            <w:pPr>
              <w:pStyle w:val="Tabletext"/>
              <w:rPr>
                <w:szCs w:val="17"/>
              </w:rPr>
            </w:pPr>
            <w:r w:rsidRPr="00884C5E">
              <w:rPr>
                <w:szCs w:val="17"/>
              </w:rPr>
              <w:t>Costs directly associated with the reconstruction of an eligible essential public asset, commonly referred to as construction costs.</w:t>
            </w:r>
          </w:p>
        </w:tc>
      </w:tr>
      <w:tr w:rsidR="002550FE" w:rsidRPr="00357D85" w14:paraId="1F5E2D7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2D6E7470" w14:textId="77777777" w:rsidR="002550FE" w:rsidRPr="00A36CE8" w:rsidRDefault="002550FE" w:rsidP="00AD0C3E">
            <w:pPr>
              <w:pStyle w:val="Tabletext"/>
            </w:pPr>
            <w:r w:rsidRPr="00A36CE8">
              <w:t xml:space="preserve">Eligible disaster </w:t>
            </w:r>
          </w:p>
        </w:tc>
        <w:tc>
          <w:tcPr>
            <w:cnfStyle w:val="000001000000" w:firstRow="0" w:lastRow="0" w:firstColumn="0" w:lastColumn="0" w:oddVBand="0" w:evenVBand="1" w:oddHBand="0" w:evenHBand="0" w:firstRowFirstColumn="0" w:firstRowLastColumn="0" w:lastRowFirstColumn="0" w:lastRowLastColumn="0"/>
            <w:tcW w:w="3613" w:type="pct"/>
          </w:tcPr>
          <w:p w14:paraId="0175AE07" w14:textId="77777777" w:rsidR="002550FE" w:rsidRPr="00884C5E" w:rsidRDefault="002550FE" w:rsidP="00AD0C3E">
            <w:pPr>
              <w:pStyle w:val="Tabletext"/>
              <w:rPr>
                <w:szCs w:val="17"/>
              </w:rPr>
            </w:pPr>
            <w:r w:rsidRPr="00884C5E">
              <w:rPr>
                <w:szCs w:val="17"/>
              </w:rPr>
              <w:t xml:space="preserve">A natural disaster or terrorist act for which: </w:t>
            </w:r>
          </w:p>
          <w:p w14:paraId="1AA20502" w14:textId="77777777" w:rsidR="002550FE" w:rsidRPr="00884C5E" w:rsidRDefault="002550FE" w:rsidP="00AD0C3E">
            <w:pPr>
              <w:pStyle w:val="Tablebullet"/>
              <w:rPr>
                <w:szCs w:val="17"/>
              </w:rPr>
            </w:pPr>
            <w:r w:rsidRPr="00884C5E">
              <w:rPr>
                <w:szCs w:val="17"/>
              </w:rPr>
              <w:t xml:space="preserve">a coordinated multi-agency response was required, and </w:t>
            </w:r>
          </w:p>
          <w:p w14:paraId="54A6D5A0" w14:textId="77777777" w:rsidR="002550FE" w:rsidRPr="00884C5E" w:rsidRDefault="002550FE" w:rsidP="00AD0C3E">
            <w:pPr>
              <w:pStyle w:val="Tablebullet"/>
              <w:rPr>
                <w:szCs w:val="17"/>
              </w:rPr>
            </w:pPr>
            <w:r w:rsidRPr="00884C5E">
              <w:rPr>
                <w:szCs w:val="17"/>
              </w:rPr>
              <w:t>state expenditure exceeds the small disaster criterion.</w:t>
            </w:r>
          </w:p>
        </w:tc>
      </w:tr>
      <w:tr w:rsidR="002550FE" w:rsidRPr="00357D85" w14:paraId="73A7F51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B01D66F" w14:textId="77777777" w:rsidR="002550FE" w:rsidRPr="00A36CE8" w:rsidRDefault="002550FE" w:rsidP="00AD0C3E">
            <w:pPr>
              <w:pStyle w:val="Tabletext"/>
            </w:pPr>
            <w:r w:rsidRPr="00A36CE8">
              <w:t xml:space="preserve">Eligible measure </w:t>
            </w:r>
          </w:p>
        </w:tc>
        <w:tc>
          <w:tcPr>
            <w:cnfStyle w:val="000001000000" w:firstRow="0" w:lastRow="0" w:firstColumn="0" w:lastColumn="0" w:oddVBand="0" w:evenVBand="1" w:oddHBand="0" w:evenHBand="0" w:firstRowFirstColumn="0" w:firstRowLastColumn="0" w:lastRowFirstColumn="0" w:lastRowLastColumn="0"/>
            <w:tcW w:w="3613" w:type="pct"/>
          </w:tcPr>
          <w:p w14:paraId="108C5BBC" w14:textId="77777777" w:rsidR="002550FE" w:rsidRPr="00884C5E" w:rsidRDefault="002550FE" w:rsidP="00AD0C3E">
            <w:pPr>
              <w:pStyle w:val="Tabletext"/>
              <w:rPr>
                <w:color w:val="FF0000"/>
                <w:szCs w:val="17"/>
                <w:u w:val="single"/>
              </w:rPr>
            </w:pPr>
            <w:r w:rsidRPr="00884C5E">
              <w:rPr>
                <w:szCs w:val="17"/>
              </w:rPr>
              <w:t xml:space="preserve">A relief or recovery assistance measure specified in these </w:t>
            </w:r>
            <w:r w:rsidRPr="00884C5E">
              <w:rPr>
                <w:iCs/>
                <w:szCs w:val="17"/>
              </w:rPr>
              <w:t xml:space="preserve">arrangements, </w:t>
            </w:r>
            <w:r w:rsidRPr="00884C5E">
              <w:rPr>
                <w:szCs w:val="17"/>
              </w:rPr>
              <w:t xml:space="preserve">or a cost to the </w:t>
            </w:r>
            <w:r w:rsidRPr="00884C5E">
              <w:rPr>
                <w:iCs/>
                <w:szCs w:val="17"/>
              </w:rPr>
              <w:t xml:space="preserve">state </w:t>
            </w:r>
            <w:r w:rsidRPr="00884C5E">
              <w:rPr>
                <w:szCs w:val="17"/>
              </w:rPr>
              <w:t xml:space="preserve">under clause 8.1 of these </w:t>
            </w:r>
            <w:r w:rsidRPr="00884C5E">
              <w:rPr>
                <w:iCs/>
                <w:szCs w:val="17"/>
              </w:rPr>
              <w:t>arrangements</w:t>
            </w:r>
            <w:r w:rsidRPr="00884C5E">
              <w:rPr>
                <w:szCs w:val="17"/>
              </w:rPr>
              <w:t xml:space="preserve">. </w:t>
            </w:r>
          </w:p>
        </w:tc>
      </w:tr>
      <w:tr w:rsidR="002550FE" w:rsidRPr="00357D85" w14:paraId="62A06AC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D7168BE" w14:textId="77777777" w:rsidR="002550FE" w:rsidRPr="00A36CE8" w:rsidRDefault="002550FE" w:rsidP="00AD0C3E">
            <w:pPr>
              <w:pStyle w:val="Tabletext"/>
            </w:pPr>
            <w:r w:rsidRPr="00A36CE8">
              <w:t xml:space="preserve">Eligible undertaking </w:t>
            </w:r>
          </w:p>
        </w:tc>
        <w:tc>
          <w:tcPr>
            <w:cnfStyle w:val="000001000000" w:firstRow="0" w:lastRow="0" w:firstColumn="0" w:lastColumn="0" w:oddVBand="0" w:evenVBand="1" w:oddHBand="0" w:evenHBand="0" w:firstRowFirstColumn="0" w:firstRowLastColumn="0" w:lastRowFirstColumn="0" w:lastRowLastColumn="0"/>
            <w:tcW w:w="3613" w:type="pct"/>
          </w:tcPr>
          <w:p w14:paraId="52CBF34D" w14:textId="77777777" w:rsidR="002550FE" w:rsidRPr="00884C5E" w:rsidRDefault="002550FE" w:rsidP="00AD0C3E">
            <w:pPr>
              <w:pStyle w:val="Tabletext"/>
              <w:rPr>
                <w:szCs w:val="17"/>
              </w:rPr>
            </w:pPr>
            <w:r w:rsidRPr="00884C5E">
              <w:rPr>
                <w:szCs w:val="17"/>
              </w:rPr>
              <w:t xml:space="preserve">A body that: </w:t>
            </w:r>
          </w:p>
          <w:p w14:paraId="7541A63D" w14:textId="77777777" w:rsidR="002550FE" w:rsidRPr="00884C5E" w:rsidRDefault="002550FE" w:rsidP="00AD0C3E">
            <w:pPr>
              <w:pStyle w:val="Tablebullet"/>
              <w:rPr>
                <w:szCs w:val="17"/>
              </w:rPr>
            </w:pPr>
            <w:r w:rsidRPr="00884C5E">
              <w:rPr>
                <w:szCs w:val="17"/>
              </w:rPr>
              <w:t xml:space="preserve">is one of the following: </w:t>
            </w:r>
          </w:p>
          <w:p w14:paraId="7293671F" w14:textId="77777777" w:rsidR="002550FE" w:rsidRPr="00884C5E" w:rsidRDefault="002550FE" w:rsidP="00AD0C3E">
            <w:pPr>
              <w:pStyle w:val="Tabledash"/>
              <w:rPr>
                <w:szCs w:val="17"/>
              </w:rPr>
            </w:pPr>
            <w:r w:rsidRPr="00884C5E">
              <w:rPr>
                <w:szCs w:val="17"/>
              </w:rPr>
              <w:t xml:space="preserve">a department or other agency of a </w:t>
            </w:r>
            <w:r w:rsidRPr="00884C5E">
              <w:rPr>
                <w:i/>
                <w:iCs/>
                <w:szCs w:val="17"/>
              </w:rPr>
              <w:t xml:space="preserve">state </w:t>
            </w:r>
            <w:r w:rsidRPr="00884C5E">
              <w:rPr>
                <w:szCs w:val="17"/>
              </w:rPr>
              <w:t xml:space="preserve">government, or </w:t>
            </w:r>
          </w:p>
          <w:p w14:paraId="1BE7FEEF" w14:textId="77777777" w:rsidR="002550FE" w:rsidRPr="00884C5E" w:rsidRDefault="002550FE" w:rsidP="00AD0C3E">
            <w:pPr>
              <w:pStyle w:val="Tabledash"/>
              <w:rPr>
                <w:szCs w:val="17"/>
              </w:rPr>
            </w:pPr>
            <w:r w:rsidRPr="00884C5E">
              <w:rPr>
                <w:szCs w:val="17"/>
              </w:rPr>
              <w:t xml:space="preserve">established by or under </w:t>
            </w:r>
            <w:r w:rsidRPr="00884C5E">
              <w:rPr>
                <w:i/>
                <w:iCs/>
                <w:szCs w:val="17"/>
              </w:rPr>
              <w:t xml:space="preserve">state </w:t>
            </w:r>
            <w:r w:rsidRPr="00884C5E">
              <w:rPr>
                <w:szCs w:val="17"/>
              </w:rPr>
              <w:t xml:space="preserve">legislation for public purposes (for example, a local council), and </w:t>
            </w:r>
          </w:p>
          <w:p w14:paraId="2E2BD53E" w14:textId="77777777" w:rsidR="002550FE" w:rsidRPr="00884C5E" w:rsidRDefault="002550FE" w:rsidP="00AD0C3E">
            <w:pPr>
              <w:pStyle w:val="Tablebullet"/>
              <w:rPr>
                <w:szCs w:val="17"/>
              </w:rPr>
            </w:pPr>
            <w:r w:rsidRPr="00884C5E">
              <w:rPr>
                <w:szCs w:val="17"/>
              </w:rPr>
              <w:t>in the operation of the asset provides services free of charge or at a rate that is 50 per cent or less of the cost to provide those services.</w:t>
            </w:r>
          </w:p>
        </w:tc>
      </w:tr>
      <w:tr w:rsidR="002550FE" w:rsidRPr="00357D85" w14:paraId="6A4EF05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F2CA05E" w14:textId="77777777" w:rsidR="002550FE" w:rsidRPr="00A36CE8" w:rsidRDefault="002550FE" w:rsidP="00AD0C3E">
            <w:pPr>
              <w:pStyle w:val="Tabletext"/>
            </w:pPr>
            <w:r w:rsidRPr="00A36CE8">
              <w:t xml:space="preserve">Emergency works </w:t>
            </w:r>
          </w:p>
        </w:tc>
        <w:tc>
          <w:tcPr>
            <w:cnfStyle w:val="000001000000" w:firstRow="0" w:lastRow="0" w:firstColumn="0" w:lastColumn="0" w:oddVBand="0" w:evenVBand="1" w:oddHBand="0" w:evenHBand="0" w:firstRowFirstColumn="0" w:firstRowLastColumn="0" w:lastRowFirstColumn="0" w:lastRowLastColumn="0"/>
            <w:tcW w:w="3613" w:type="pct"/>
          </w:tcPr>
          <w:p w14:paraId="2E1114B6" w14:textId="77777777" w:rsidR="002550FE" w:rsidRPr="00884C5E" w:rsidRDefault="002550FE" w:rsidP="00AD0C3E">
            <w:pPr>
              <w:pStyle w:val="Tabletext"/>
              <w:rPr>
                <w:szCs w:val="17"/>
              </w:rPr>
            </w:pPr>
            <w:r w:rsidRPr="00884C5E">
              <w:rPr>
                <w:szCs w:val="17"/>
              </w:rPr>
              <w:t xml:space="preserve">Urgent activities necessary following an </w:t>
            </w:r>
            <w:r w:rsidRPr="00884C5E">
              <w:rPr>
                <w:iCs/>
                <w:szCs w:val="17"/>
              </w:rPr>
              <w:t xml:space="preserve">eligible disaster </w:t>
            </w:r>
            <w:r w:rsidRPr="00884C5E">
              <w:rPr>
                <w:szCs w:val="17"/>
              </w:rPr>
              <w:t xml:space="preserve">to temporarily restore an </w:t>
            </w:r>
            <w:r w:rsidRPr="00884C5E">
              <w:rPr>
                <w:iCs/>
                <w:szCs w:val="17"/>
              </w:rPr>
              <w:t xml:space="preserve">essential public asset </w:t>
            </w:r>
            <w:r w:rsidRPr="00884C5E">
              <w:rPr>
                <w:szCs w:val="17"/>
              </w:rPr>
              <w:t xml:space="preserve">to enable it to operate/be operated at an acceptable level of efficiency to support the immediate recovery of a community, and take place: </w:t>
            </w:r>
          </w:p>
          <w:p w14:paraId="6054466F" w14:textId="77777777" w:rsidR="002550FE" w:rsidRPr="00884C5E" w:rsidRDefault="002550FE" w:rsidP="00AD0C3E">
            <w:pPr>
              <w:pStyle w:val="Tablebullet"/>
              <w:rPr>
                <w:szCs w:val="17"/>
              </w:rPr>
            </w:pPr>
            <w:r w:rsidRPr="00884C5E">
              <w:rPr>
                <w:szCs w:val="17"/>
              </w:rPr>
              <w:t xml:space="preserve">prior to the </w:t>
            </w:r>
            <w:r w:rsidRPr="00884C5E">
              <w:rPr>
                <w:iCs/>
                <w:szCs w:val="17"/>
              </w:rPr>
              <w:t xml:space="preserve">state </w:t>
            </w:r>
            <w:r w:rsidRPr="00884C5E">
              <w:rPr>
                <w:szCs w:val="17"/>
              </w:rPr>
              <w:t xml:space="preserve">commencing </w:t>
            </w:r>
            <w:r w:rsidRPr="00884C5E">
              <w:rPr>
                <w:iCs/>
                <w:szCs w:val="17"/>
              </w:rPr>
              <w:t xml:space="preserve">essential public asset reconstruction works </w:t>
            </w:r>
            <w:r w:rsidRPr="00884C5E">
              <w:rPr>
                <w:szCs w:val="17"/>
              </w:rPr>
              <w:t xml:space="preserve">in accordance with these </w:t>
            </w:r>
            <w:r w:rsidRPr="00884C5E">
              <w:rPr>
                <w:iCs/>
                <w:szCs w:val="17"/>
              </w:rPr>
              <w:t>arrangements</w:t>
            </w:r>
            <w:r w:rsidRPr="00884C5E">
              <w:rPr>
                <w:szCs w:val="17"/>
              </w:rPr>
              <w:t xml:space="preserve">, or </w:t>
            </w:r>
          </w:p>
          <w:p w14:paraId="1C1EF2A2" w14:textId="77777777" w:rsidR="002550FE" w:rsidRPr="00884C5E" w:rsidRDefault="002550FE" w:rsidP="00AD0C3E">
            <w:pPr>
              <w:pStyle w:val="Tablebullet"/>
              <w:rPr>
                <w:szCs w:val="17"/>
              </w:rPr>
            </w:pPr>
            <w:r w:rsidRPr="00884C5E">
              <w:rPr>
                <w:szCs w:val="17"/>
              </w:rPr>
              <w:t xml:space="preserve">prior to or at the same time as </w:t>
            </w:r>
            <w:r w:rsidRPr="00884C5E">
              <w:rPr>
                <w:iCs/>
                <w:szCs w:val="17"/>
              </w:rPr>
              <w:t xml:space="preserve">immediate reconstruction works </w:t>
            </w:r>
            <w:r w:rsidRPr="00884C5E">
              <w:rPr>
                <w:szCs w:val="17"/>
              </w:rPr>
              <w:t xml:space="preserve">and where no </w:t>
            </w:r>
            <w:r w:rsidRPr="00884C5E">
              <w:rPr>
                <w:iCs/>
                <w:szCs w:val="17"/>
              </w:rPr>
              <w:t xml:space="preserve">essential public asset reconstruction works </w:t>
            </w:r>
            <w:r w:rsidRPr="00884C5E">
              <w:rPr>
                <w:szCs w:val="17"/>
              </w:rPr>
              <w:t>are required.</w:t>
            </w:r>
          </w:p>
        </w:tc>
      </w:tr>
      <w:tr w:rsidR="002550FE" w:rsidRPr="00357D85" w14:paraId="3D0771C2"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166277E" w14:textId="77777777" w:rsidR="002550FE" w:rsidRPr="00A36CE8" w:rsidRDefault="002550FE" w:rsidP="00AD0C3E">
            <w:pPr>
              <w:pStyle w:val="Tabletext"/>
            </w:pPr>
            <w:r w:rsidRPr="00A36CE8">
              <w:t>Escalation</w:t>
            </w:r>
          </w:p>
        </w:tc>
        <w:tc>
          <w:tcPr>
            <w:cnfStyle w:val="000001000000" w:firstRow="0" w:lastRow="0" w:firstColumn="0" w:lastColumn="0" w:oddVBand="0" w:evenVBand="1" w:oddHBand="0" w:evenHBand="0" w:firstRowFirstColumn="0" w:firstRowLastColumn="0" w:lastRowFirstColumn="0" w:lastRowLastColumn="0"/>
            <w:tcW w:w="3613" w:type="pct"/>
          </w:tcPr>
          <w:p w14:paraId="77060554" w14:textId="77777777" w:rsidR="002550FE" w:rsidRPr="00884C5E" w:rsidRDefault="002550FE" w:rsidP="00AD0C3E">
            <w:pPr>
              <w:pStyle w:val="Tabletext"/>
              <w:rPr>
                <w:szCs w:val="17"/>
              </w:rPr>
            </w:pPr>
            <w:r w:rsidRPr="00884C5E">
              <w:rPr>
                <w:szCs w:val="17"/>
              </w:rPr>
              <w:t>The allowance for expected changes in capital costs throughout the project lifecycle.</w:t>
            </w:r>
          </w:p>
        </w:tc>
      </w:tr>
      <w:tr w:rsidR="002550FE" w:rsidRPr="00357D85" w14:paraId="153A6742"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61A3FE42" w14:textId="77777777" w:rsidR="002550FE" w:rsidRPr="00A36CE8" w:rsidRDefault="002550FE" w:rsidP="00AD0C3E">
            <w:pPr>
              <w:pStyle w:val="Tabletext"/>
            </w:pPr>
            <w:r w:rsidRPr="00A36CE8">
              <w:t xml:space="preserve">Essential public asset </w:t>
            </w:r>
          </w:p>
        </w:tc>
        <w:tc>
          <w:tcPr>
            <w:cnfStyle w:val="000001000000" w:firstRow="0" w:lastRow="0" w:firstColumn="0" w:lastColumn="0" w:oddVBand="0" w:evenVBand="1" w:oddHBand="0" w:evenHBand="0" w:firstRowFirstColumn="0" w:firstRowLastColumn="0" w:lastRowFirstColumn="0" w:lastRowLastColumn="0"/>
            <w:tcW w:w="3613" w:type="pct"/>
          </w:tcPr>
          <w:p w14:paraId="6B5E218F" w14:textId="77777777" w:rsidR="002550FE" w:rsidRPr="00884C5E" w:rsidRDefault="002550FE" w:rsidP="00AD0C3E">
            <w:pPr>
              <w:pStyle w:val="Tabletext"/>
              <w:rPr>
                <w:szCs w:val="17"/>
              </w:rPr>
            </w:pPr>
            <w:r w:rsidRPr="004152EA">
              <w:rPr>
                <w:szCs w:val="17"/>
              </w:rPr>
              <w:t>A transport or public infrastructure asset of an eligible undertaking which, the state considers, and the Australian Government agrees, is a necessary part of a state’s infrastructure and is integral to the normal functioning of a community.</w:t>
            </w:r>
          </w:p>
        </w:tc>
      </w:tr>
      <w:tr w:rsidR="002550FE" w:rsidRPr="00357D85" w14:paraId="4BF2EADC"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C980FA3" w14:textId="77777777" w:rsidR="002550FE" w:rsidRPr="00A36CE8" w:rsidRDefault="002550FE" w:rsidP="00AD0C3E">
            <w:pPr>
              <w:pStyle w:val="Tabletext"/>
            </w:pPr>
            <w:r w:rsidRPr="00A36CE8">
              <w:t xml:space="preserve">Essential public asset function framework </w:t>
            </w:r>
          </w:p>
        </w:tc>
        <w:tc>
          <w:tcPr>
            <w:cnfStyle w:val="000001000000" w:firstRow="0" w:lastRow="0" w:firstColumn="0" w:lastColumn="0" w:oddVBand="0" w:evenVBand="1" w:oddHBand="0" w:evenHBand="0" w:firstRowFirstColumn="0" w:firstRowLastColumn="0" w:lastRowFirstColumn="0" w:lastRowLastColumn="0"/>
            <w:tcW w:w="3613" w:type="pct"/>
          </w:tcPr>
          <w:p w14:paraId="709CD70C" w14:textId="77777777" w:rsidR="002550FE" w:rsidRPr="004152EA" w:rsidRDefault="002550FE" w:rsidP="00AD0C3E">
            <w:pPr>
              <w:pStyle w:val="Tabletext"/>
              <w:rPr>
                <w:color w:val="FF0000"/>
                <w:szCs w:val="17"/>
                <w:u w:val="single"/>
              </w:rPr>
            </w:pPr>
            <w:r w:rsidRPr="004152EA">
              <w:rPr>
                <w:szCs w:val="17"/>
              </w:rPr>
              <w:t xml:space="preserve">The </w:t>
            </w:r>
            <w:r w:rsidRPr="004152EA">
              <w:rPr>
                <w:iCs/>
                <w:szCs w:val="17"/>
              </w:rPr>
              <w:t xml:space="preserve">Essential Public Asset Function Framework </w:t>
            </w:r>
            <w:r w:rsidRPr="004152EA">
              <w:rPr>
                <w:szCs w:val="17"/>
              </w:rPr>
              <w:t xml:space="preserve">as defined by these </w:t>
            </w:r>
            <w:r w:rsidRPr="004152EA">
              <w:rPr>
                <w:iCs/>
                <w:szCs w:val="17"/>
              </w:rPr>
              <w:t xml:space="preserve">arrangements </w:t>
            </w:r>
            <w:r w:rsidRPr="004152EA">
              <w:rPr>
                <w:szCs w:val="17"/>
              </w:rPr>
              <w:t xml:space="preserve">(refer to clause 6.3). </w:t>
            </w:r>
          </w:p>
        </w:tc>
      </w:tr>
      <w:tr w:rsidR="00C76D85" w:rsidRPr="00357D85" w14:paraId="31E8743A"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128CB5F" w14:textId="77777777" w:rsidR="00C76D85" w:rsidRPr="00A36CE8" w:rsidRDefault="00C76D85" w:rsidP="00C76D85">
            <w:pPr>
              <w:pStyle w:val="Tabletext"/>
              <w:rPr>
                <w:sz w:val="18"/>
                <w:szCs w:val="18"/>
              </w:rPr>
            </w:pPr>
            <w:r w:rsidRPr="00926529">
              <w:t>Essential public asset reconstruction works</w:t>
            </w:r>
          </w:p>
        </w:tc>
        <w:tc>
          <w:tcPr>
            <w:cnfStyle w:val="000001000000" w:firstRow="0" w:lastRow="0" w:firstColumn="0" w:lastColumn="0" w:oddVBand="0" w:evenVBand="1" w:oddHBand="0" w:evenHBand="0" w:firstRowFirstColumn="0" w:firstRowLastColumn="0" w:lastRowFirstColumn="0" w:lastRowLastColumn="0"/>
            <w:tcW w:w="3613" w:type="pct"/>
          </w:tcPr>
          <w:p w14:paraId="550EBFFF" w14:textId="7C566E71" w:rsidR="00C76D85" w:rsidRPr="004152EA" w:rsidRDefault="00C76D85" w:rsidP="00C76D85">
            <w:pPr>
              <w:pStyle w:val="Tabletext"/>
              <w:rPr>
                <w:color w:val="FF0000"/>
                <w:szCs w:val="17"/>
                <w:u w:val="single"/>
              </w:rPr>
            </w:pPr>
            <w:r w:rsidRPr="005154A4">
              <w:rPr>
                <w:szCs w:val="17"/>
              </w:rPr>
              <w:t xml:space="preserve">Reconstruction works on an essential public asset directly damaged by an eligible disaster for which an estimated reconstruction cost (known as a </w:t>
            </w:r>
            <w:r w:rsidR="00AA47AA">
              <w:rPr>
                <w:szCs w:val="17"/>
              </w:rPr>
              <w:t>certified estimate works package</w:t>
            </w:r>
            <w:r w:rsidRPr="005154A4">
              <w:rPr>
                <w:szCs w:val="17"/>
              </w:rPr>
              <w:t xml:space="preserve"> once approved by the </w:t>
            </w:r>
            <w:r w:rsidR="00183B80">
              <w:rPr>
                <w:szCs w:val="17"/>
              </w:rPr>
              <w:t>Emergency Recovery Victoria</w:t>
            </w:r>
            <w:r w:rsidRPr="005154A4">
              <w:rPr>
                <w:szCs w:val="17"/>
              </w:rPr>
              <w:t>, has been developed.</w:t>
            </w:r>
          </w:p>
        </w:tc>
      </w:tr>
      <w:tr w:rsidR="00C76D85" w:rsidRPr="00357D85" w14:paraId="7077EF02"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DBF9FB3" w14:textId="77777777" w:rsidR="00C76D85" w:rsidRPr="00A36CE8" w:rsidRDefault="00C76D85" w:rsidP="00C76D85">
            <w:pPr>
              <w:pStyle w:val="Tabletext"/>
            </w:pPr>
            <w:r w:rsidRPr="00A36CE8">
              <w:t xml:space="preserve">Estimated reconstruction costs </w:t>
            </w:r>
          </w:p>
        </w:tc>
        <w:tc>
          <w:tcPr>
            <w:cnfStyle w:val="000001000000" w:firstRow="0" w:lastRow="0" w:firstColumn="0" w:lastColumn="0" w:oddVBand="0" w:evenVBand="1" w:oddHBand="0" w:evenHBand="0" w:firstRowFirstColumn="0" w:firstRowLastColumn="0" w:lastRowFirstColumn="0" w:lastRowLastColumn="0"/>
            <w:tcW w:w="3613" w:type="pct"/>
          </w:tcPr>
          <w:p w14:paraId="0CF98819" w14:textId="77777777" w:rsidR="00C76D85" w:rsidRPr="00D44BF5" w:rsidRDefault="00C76D85" w:rsidP="00C76D85">
            <w:pPr>
              <w:pStyle w:val="Tabletext"/>
              <w:rPr>
                <w:szCs w:val="17"/>
              </w:rPr>
            </w:pPr>
            <w:r w:rsidRPr="005154A4">
              <w:rPr>
                <w:szCs w:val="17"/>
              </w:rPr>
              <w:t xml:space="preserve">The estimated cost of reconstruction of an essential public asset damaged by an eligible disaster and calculated in accordance with these arrangements (known as </w:t>
            </w:r>
            <w:r w:rsidRPr="00D44BF5">
              <w:rPr>
                <w:szCs w:val="17"/>
              </w:rPr>
              <w:t xml:space="preserve">a </w:t>
            </w:r>
            <w:r w:rsidR="00AA47AA" w:rsidRPr="00D44BF5">
              <w:rPr>
                <w:szCs w:val="17"/>
              </w:rPr>
              <w:t>certified estimate works package</w:t>
            </w:r>
            <w:r w:rsidRPr="00D44BF5">
              <w:rPr>
                <w:szCs w:val="17"/>
              </w:rPr>
              <w:t xml:space="preserve"> once approved by the </w:t>
            </w:r>
            <w:r w:rsidR="00183B80" w:rsidRPr="00D44BF5">
              <w:rPr>
                <w:szCs w:val="17"/>
              </w:rPr>
              <w:t>ERV</w:t>
            </w:r>
            <w:r w:rsidRPr="00D44BF5">
              <w:rPr>
                <w:szCs w:val="17"/>
              </w:rPr>
              <w:t>.</w:t>
            </w:r>
          </w:p>
          <w:p w14:paraId="3519AD43" w14:textId="675B7264" w:rsidR="00252067" w:rsidRPr="00D44BF5" w:rsidRDefault="00252067" w:rsidP="00252067">
            <w:pPr>
              <w:pStyle w:val="Tabletext"/>
              <w:rPr>
                <w:szCs w:val="17"/>
              </w:rPr>
            </w:pPr>
            <w:r w:rsidRPr="00D44BF5">
              <w:rPr>
                <w:szCs w:val="17"/>
              </w:rPr>
              <w:t>The</w:t>
            </w:r>
            <w:r w:rsidR="00DE54FC" w:rsidRPr="00D44BF5">
              <w:rPr>
                <w:szCs w:val="17"/>
              </w:rPr>
              <w:t xml:space="preserve"> estimated </w:t>
            </w:r>
            <w:r w:rsidR="00DF49E7" w:rsidRPr="00D44BF5">
              <w:rPr>
                <w:szCs w:val="17"/>
              </w:rPr>
              <w:t>reconstruction cost inc</w:t>
            </w:r>
            <w:r w:rsidRPr="00D44BF5">
              <w:rPr>
                <w:szCs w:val="17"/>
              </w:rPr>
              <w:t>ludes costs that are directly related to the construction, design, and project management, and may include contingency and cost escalation. The eligibility of these costs is contingent on demonstrating that they are directly related to eligible works to restore an essential public asset damaged as a direct result of an eligible event.</w:t>
            </w:r>
          </w:p>
          <w:p w14:paraId="7B5E6C91" w14:textId="4BDAB4C7" w:rsidR="00252067" w:rsidRPr="004152EA" w:rsidRDefault="00252067" w:rsidP="00252067">
            <w:pPr>
              <w:pStyle w:val="Tabletext"/>
              <w:rPr>
                <w:color w:val="FF0000"/>
                <w:szCs w:val="17"/>
                <w:u w:val="single"/>
              </w:rPr>
            </w:pPr>
            <w:r w:rsidRPr="00D44BF5">
              <w:rPr>
                <w:szCs w:val="17"/>
              </w:rPr>
              <w:t>Indirect costs associated with developing an estimated reconstruction costs must be directly related to an essential public asset being claimed under Category B of the DRFA. If the essential public asset reconstruction does not proceed under Category B, any costs, including indirect costs, are ineligible for claiming under the DRFA as the costs cannot be linked to an eligible clause under the DRFA.</w:t>
            </w:r>
          </w:p>
        </w:tc>
      </w:tr>
      <w:tr w:rsidR="002550FE" w:rsidRPr="00357D85" w14:paraId="4B1AA45B"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4191524" w14:textId="77777777" w:rsidR="002550FE" w:rsidRPr="00A36CE8" w:rsidRDefault="002550FE" w:rsidP="00AD0C3E">
            <w:pPr>
              <w:pStyle w:val="Tabletext"/>
            </w:pPr>
            <w:r w:rsidRPr="00A36CE8">
              <w:t>Extensions to allowable time limits</w:t>
            </w:r>
          </w:p>
        </w:tc>
        <w:tc>
          <w:tcPr>
            <w:cnfStyle w:val="000001000000" w:firstRow="0" w:lastRow="0" w:firstColumn="0" w:lastColumn="0" w:oddVBand="0" w:evenVBand="1" w:oddHBand="0" w:evenHBand="0" w:firstRowFirstColumn="0" w:firstRowLastColumn="0" w:lastRowFirstColumn="0" w:lastRowLastColumn="0"/>
            <w:tcW w:w="3613" w:type="pct"/>
          </w:tcPr>
          <w:p w14:paraId="114CD1D5" w14:textId="77777777" w:rsidR="002550FE" w:rsidRPr="004152EA" w:rsidRDefault="002550FE" w:rsidP="00AD0C3E">
            <w:pPr>
              <w:pStyle w:val="Tabletext"/>
              <w:rPr>
                <w:szCs w:val="17"/>
              </w:rPr>
            </w:pPr>
            <w:r w:rsidRPr="004152EA">
              <w:rPr>
                <w:szCs w:val="17"/>
              </w:rPr>
              <w:t xml:space="preserve">Extensions to prescribed timeframes under special/ extenuating circumstances to maintain eligibility of a claim under the DRFA </w:t>
            </w:r>
          </w:p>
        </w:tc>
      </w:tr>
      <w:tr w:rsidR="002550FE" w:rsidRPr="00357D85" w14:paraId="4AF0812F"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582017F1" w14:textId="77777777" w:rsidR="002550FE" w:rsidRPr="008C04A8" w:rsidRDefault="002550FE" w:rsidP="00AD0C3E">
            <w:pPr>
              <w:pStyle w:val="Tabletext"/>
              <w:rPr>
                <w:szCs w:val="17"/>
              </w:rPr>
            </w:pPr>
            <w:r w:rsidRPr="008C04A8">
              <w:rPr>
                <w:szCs w:val="17"/>
              </w:rPr>
              <w:t>First principles estimation</w:t>
            </w:r>
          </w:p>
        </w:tc>
        <w:tc>
          <w:tcPr>
            <w:cnfStyle w:val="000001000000" w:firstRow="0" w:lastRow="0" w:firstColumn="0" w:lastColumn="0" w:oddVBand="0" w:evenVBand="1" w:oddHBand="0" w:evenHBand="0" w:firstRowFirstColumn="0" w:firstRowLastColumn="0" w:lastRowFirstColumn="0" w:lastRowLastColumn="0"/>
            <w:tcW w:w="3613" w:type="pct"/>
          </w:tcPr>
          <w:p w14:paraId="62434D11" w14:textId="77777777" w:rsidR="002550FE" w:rsidRPr="008C04A8" w:rsidRDefault="002550FE" w:rsidP="00AD0C3E">
            <w:pPr>
              <w:pStyle w:val="Tabletext"/>
              <w:rPr>
                <w:szCs w:val="17"/>
              </w:rPr>
            </w:pPr>
            <w:r w:rsidRPr="008C04A8">
              <w:rPr>
                <w:szCs w:val="17"/>
              </w:rPr>
              <w:t>The process of assigning plant, labour and material rates to a given work activity or standard treatment.</w:t>
            </w:r>
          </w:p>
        </w:tc>
      </w:tr>
      <w:tr w:rsidR="002550FE" w:rsidRPr="00357D85" w14:paraId="7755132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798B328" w14:textId="77777777" w:rsidR="002550FE" w:rsidRPr="00252270" w:rsidRDefault="002550FE" w:rsidP="00AD0C3E">
            <w:pPr>
              <w:pStyle w:val="Tabletext"/>
              <w:rPr>
                <w:szCs w:val="17"/>
              </w:rPr>
            </w:pPr>
            <w:r w:rsidRPr="008C04A8">
              <w:rPr>
                <w:szCs w:val="17"/>
              </w:rPr>
              <w:lastRenderedPageBreak/>
              <w:t>Immediate reconstruction works</w:t>
            </w:r>
            <w:r w:rsidRPr="00252270">
              <w:rPr>
                <w:szCs w:val="17"/>
              </w:rPr>
              <w:t xml:space="preserve"> </w:t>
            </w:r>
          </w:p>
        </w:tc>
        <w:tc>
          <w:tcPr>
            <w:cnfStyle w:val="000001000000" w:firstRow="0" w:lastRow="0" w:firstColumn="0" w:lastColumn="0" w:oddVBand="0" w:evenVBand="1" w:oddHBand="0" w:evenHBand="0" w:firstRowFirstColumn="0" w:firstRowLastColumn="0" w:lastRowFirstColumn="0" w:lastRowLastColumn="0"/>
            <w:tcW w:w="3613" w:type="pct"/>
          </w:tcPr>
          <w:p w14:paraId="081DB929" w14:textId="77777777" w:rsidR="002550FE" w:rsidRPr="008C04A8" w:rsidRDefault="002550FE" w:rsidP="00AD0C3E">
            <w:pPr>
              <w:pStyle w:val="Tabletext"/>
              <w:rPr>
                <w:color w:val="FF0000"/>
                <w:szCs w:val="17"/>
                <w:u w:val="single"/>
              </w:rPr>
            </w:pPr>
            <w:r w:rsidRPr="008C04A8">
              <w:rPr>
                <w:szCs w:val="17"/>
              </w:rPr>
              <w:t xml:space="preserve">Immediate </w:t>
            </w:r>
            <w:r w:rsidRPr="008C04A8">
              <w:rPr>
                <w:iCs/>
                <w:szCs w:val="17"/>
              </w:rPr>
              <w:t xml:space="preserve">reconstruction </w:t>
            </w:r>
            <w:r w:rsidRPr="008C04A8">
              <w:rPr>
                <w:szCs w:val="17"/>
              </w:rPr>
              <w:t xml:space="preserve">activities following an </w:t>
            </w:r>
            <w:r w:rsidRPr="008C04A8">
              <w:rPr>
                <w:iCs/>
                <w:szCs w:val="17"/>
              </w:rPr>
              <w:t xml:space="preserve">eligible disaster </w:t>
            </w:r>
            <w:r w:rsidRPr="008C04A8">
              <w:rPr>
                <w:szCs w:val="17"/>
              </w:rPr>
              <w:t xml:space="preserve">to fully </w:t>
            </w:r>
            <w:r w:rsidRPr="008C04A8">
              <w:rPr>
                <w:iCs/>
                <w:szCs w:val="17"/>
              </w:rPr>
              <w:t xml:space="preserve">reconstruct </w:t>
            </w:r>
            <w:r w:rsidRPr="008C04A8">
              <w:rPr>
                <w:szCs w:val="17"/>
              </w:rPr>
              <w:t xml:space="preserve">an </w:t>
            </w:r>
            <w:r w:rsidRPr="008C04A8">
              <w:rPr>
                <w:iCs/>
                <w:szCs w:val="17"/>
              </w:rPr>
              <w:t xml:space="preserve">essential public asset, </w:t>
            </w:r>
            <w:r w:rsidRPr="008C04A8">
              <w:rPr>
                <w:szCs w:val="17"/>
              </w:rPr>
              <w:t xml:space="preserve">and where no </w:t>
            </w:r>
            <w:r w:rsidRPr="008C04A8">
              <w:rPr>
                <w:iCs/>
                <w:szCs w:val="17"/>
              </w:rPr>
              <w:t xml:space="preserve">essential public asset reconstruction works </w:t>
            </w:r>
            <w:r w:rsidRPr="008C04A8">
              <w:rPr>
                <w:szCs w:val="17"/>
              </w:rPr>
              <w:t xml:space="preserve">are required. </w:t>
            </w:r>
          </w:p>
        </w:tc>
      </w:tr>
      <w:tr w:rsidR="002550FE" w:rsidRPr="00357D85" w14:paraId="148CB5F1"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5CC1D3A" w14:textId="77777777" w:rsidR="002550FE" w:rsidRPr="008C04A8" w:rsidRDefault="002550FE" w:rsidP="00AD0C3E">
            <w:pPr>
              <w:pStyle w:val="Tabletext"/>
              <w:rPr>
                <w:szCs w:val="17"/>
              </w:rPr>
            </w:pPr>
            <w:r w:rsidRPr="008C04A8">
              <w:rPr>
                <w:szCs w:val="17"/>
              </w:rPr>
              <w:t>Ineligible works</w:t>
            </w:r>
          </w:p>
        </w:tc>
        <w:tc>
          <w:tcPr>
            <w:cnfStyle w:val="000001000000" w:firstRow="0" w:lastRow="0" w:firstColumn="0" w:lastColumn="0" w:oddVBand="0" w:evenVBand="1" w:oddHBand="0" w:evenHBand="0" w:firstRowFirstColumn="0" w:firstRowLastColumn="0" w:lastRowFirstColumn="0" w:lastRowLastColumn="0"/>
            <w:tcW w:w="3613" w:type="pct"/>
          </w:tcPr>
          <w:p w14:paraId="528A091E" w14:textId="77777777" w:rsidR="002550FE" w:rsidRPr="008C04A8" w:rsidRDefault="002550FE" w:rsidP="00AD0C3E">
            <w:pPr>
              <w:pStyle w:val="Tabletext"/>
              <w:rPr>
                <w:szCs w:val="17"/>
              </w:rPr>
            </w:pPr>
            <w:r w:rsidRPr="008C04A8">
              <w:rPr>
                <w:szCs w:val="17"/>
              </w:rPr>
              <w:t>Works that are not eligible for claiming under the DRFA arrangements</w:t>
            </w:r>
          </w:p>
        </w:tc>
      </w:tr>
      <w:tr w:rsidR="002550FE" w:rsidRPr="00357D85" w14:paraId="203829CA"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52CA38F" w14:textId="77777777" w:rsidR="002550FE" w:rsidRPr="008C04A8" w:rsidRDefault="002550FE" w:rsidP="00AD0C3E">
            <w:pPr>
              <w:pStyle w:val="Tabletext"/>
              <w:rPr>
                <w:szCs w:val="17"/>
              </w:rPr>
            </w:pPr>
            <w:r w:rsidRPr="008C04A8">
              <w:rPr>
                <w:szCs w:val="17"/>
              </w:rPr>
              <w:t xml:space="preserve">Indirect costs </w:t>
            </w:r>
          </w:p>
        </w:tc>
        <w:tc>
          <w:tcPr>
            <w:cnfStyle w:val="000001000000" w:firstRow="0" w:lastRow="0" w:firstColumn="0" w:lastColumn="0" w:oddVBand="0" w:evenVBand="1" w:oddHBand="0" w:evenHBand="0" w:firstRowFirstColumn="0" w:firstRowLastColumn="0" w:lastRowFirstColumn="0" w:lastRowLastColumn="0"/>
            <w:tcW w:w="3613" w:type="pct"/>
          </w:tcPr>
          <w:p w14:paraId="5F90FAD1" w14:textId="77777777" w:rsidR="002550FE" w:rsidRDefault="002550FE" w:rsidP="00AD0C3E">
            <w:pPr>
              <w:pStyle w:val="Tabletext"/>
              <w:rPr>
                <w:szCs w:val="17"/>
              </w:rPr>
            </w:pPr>
            <w:r w:rsidRPr="008C04A8">
              <w:rPr>
                <w:szCs w:val="17"/>
              </w:rPr>
              <w:t xml:space="preserve">Costs indirectly related to the reconstruction of an eligible essential public asset, including overheads, project management, procurement and engineering assessment costs. </w:t>
            </w:r>
          </w:p>
          <w:p w14:paraId="46D9ED32" w14:textId="4F6E205A" w:rsidR="006320B2" w:rsidRPr="006320B2" w:rsidRDefault="006320B2" w:rsidP="006320B2">
            <w:pPr>
              <w:pStyle w:val="Tabletext"/>
              <w:rPr>
                <w:szCs w:val="17"/>
              </w:rPr>
            </w:pPr>
            <w:r w:rsidRPr="006320B2">
              <w:rPr>
                <w:szCs w:val="17"/>
              </w:rPr>
              <w:t>The</w:t>
            </w:r>
            <w:r w:rsidR="00DF49E7">
              <w:rPr>
                <w:szCs w:val="17"/>
              </w:rPr>
              <w:t xml:space="preserve"> estimated reconstruction costs</w:t>
            </w:r>
            <w:r w:rsidRPr="006320B2">
              <w:rPr>
                <w:szCs w:val="17"/>
              </w:rPr>
              <w:t xml:space="preserve"> </w:t>
            </w:r>
            <w:proofErr w:type="gramStart"/>
            <w:r w:rsidRPr="006320B2">
              <w:rPr>
                <w:szCs w:val="17"/>
              </w:rPr>
              <w:t>includes</w:t>
            </w:r>
            <w:proofErr w:type="gramEnd"/>
            <w:r w:rsidRPr="006320B2">
              <w:rPr>
                <w:szCs w:val="17"/>
              </w:rPr>
              <w:t xml:space="preserve"> costs that are directly related to the construction, design, and project management, and may include contingency and cost escalation. The eligibility of these costs is contingent on demonstrating that they are directly related to eligible works to restore an essential public asset damaged as a direct result of an eligible event.</w:t>
            </w:r>
          </w:p>
          <w:p w14:paraId="4C8B89F4" w14:textId="1045CCE8" w:rsidR="006320B2" w:rsidRPr="008C04A8" w:rsidRDefault="006320B2" w:rsidP="006320B2">
            <w:pPr>
              <w:pStyle w:val="Tabletext"/>
              <w:rPr>
                <w:szCs w:val="17"/>
              </w:rPr>
            </w:pPr>
            <w:r w:rsidRPr="006320B2">
              <w:rPr>
                <w:szCs w:val="17"/>
              </w:rPr>
              <w:t>Indirect costs associated with developing an estimated reconstruction costs must be directly related to an essential public asset being claimed under Category B of the DRFA. If the essential public asset reconstruction does not proceed under Category B, any costs, including indirect costs, are ineligible for claiming under the DRFA as the costs cannot be linked to an eligible clause under the DRFA.</w:t>
            </w:r>
          </w:p>
        </w:tc>
      </w:tr>
      <w:tr w:rsidR="002550FE" w:rsidRPr="00357D85" w14:paraId="48177198"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25A7DD30" w14:textId="77777777" w:rsidR="002550FE" w:rsidRPr="008C04A8" w:rsidRDefault="002550FE" w:rsidP="00AD0C3E">
            <w:pPr>
              <w:pStyle w:val="Tabletext"/>
              <w:rPr>
                <w:szCs w:val="17"/>
              </w:rPr>
            </w:pPr>
            <w:r w:rsidRPr="008C04A8">
              <w:rPr>
                <w:szCs w:val="17"/>
              </w:rPr>
              <w:t>Independent Technical Review</w:t>
            </w:r>
          </w:p>
        </w:tc>
        <w:tc>
          <w:tcPr>
            <w:cnfStyle w:val="000001000000" w:firstRow="0" w:lastRow="0" w:firstColumn="0" w:lastColumn="0" w:oddVBand="0" w:evenVBand="1" w:oddHBand="0" w:evenHBand="0" w:firstRowFirstColumn="0" w:firstRowLastColumn="0" w:lastRowFirstColumn="0" w:lastRowLastColumn="0"/>
            <w:tcW w:w="3613" w:type="pct"/>
          </w:tcPr>
          <w:p w14:paraId="33DD33C2" w14:textId="77777777" w:rsidR="002550FE" w:rsidRPr="008C04A8" w:rsidRDefault="002550FE" w:rsidP="00AD0C3E">
            <w:pPr>
              <w:pStyle w:val="Tabletext"/>
              <w:rPr>
                <w:szCs w:val="17"/>
              </w:rPr>
            </w:pPr>
            <w:r w:rsidRPr="008C04A8">
              <w:rPr>
                <w:szCs w:val="17"/>
              </w:rPr>
              <w:t>A review of estimated reconstruction costs in accordance with the DRFA</w:t>
            </w:r>
          </w:p>
        </w:tc>
      </w:tr>
      <w:tr w:rsidR="002550FE" w:rsidRPr="00357D85" w14:paraId="1CA18F85"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66D9F12" w14:textId="77777777" w:rsidR="002550FE" w:rsidRPr="008C04A8" w:rsidRDefault="002550FE" w:rsidP="00AD0C3E">
            <w:pPr>
              <w:pStyle w:val="Tabletext"/>
              <w:rPr>
                <w:szCs w:val="17"/>
              </w:rPr>
            </w:pPr>
            <w:r w:rsidRPr="008C04A8">
              <w:rPr>
                <w:szCs w:val="17"/>
              </w:rPr>
              <w:t xml:space="preserve">Market response </w:t>
            </w:r>
          </w:p>
        </w:tc>
        <w:tc>
          <w:tcPr>
            <w:cnfStyle w:val="000001000000" w:firstRow="0" w:lastRow="0" w:firstColumn="0" w:lastColumn="0" w:oddVBand="0" w:evenVBand="1" w:oddHBand="0" w:evenHBand="0" w:firstRowFirstColumn="0" w:firstRowLastColumn="0" w:lastRowFirstColumn="0" w:lastRowLastColumn="0"/>
            <w:tcW w:w="3613" w:type="pct"/>
          </w:tcPr>
          <w:p w14:paraId="767C60FC" w14:textId="2F35B6D5" w:rsidR="002550FE" w:rsidRPr="008C04A8" w:rsidRDefault="002550FE" w:rsidP="00AD0C3E">
            <w:pPr>
              <w:pStyle w:val="Tabletext"/>
              <w:rPr>
                <w:color w:val="FF0000"/>
                <w:szCs w:val="17"/>
                <w:u w:val="single"/>
              </w:rPr>
            </w:pPr>
            <w:r w:rsidRPr="008C04A8">
              <w:rPr>
                <w:szCs w:val="17"/>
              </w:rPr>
              <w:t xml:space="preserve">The process of developing </w:t>
            </w:r>
            <w:r w:rsidRPr="008C04A8">
              <w:rPr>
                <w:iCs/>
                <w:szCs w:val="17"/>
              </w:rPr>
              <w:t xml:space="preserve">estimated reconstruction cost </w:t>
            </w:r>
            <w:r w:rsidRPr="008C04A8">
              <w:rPr>
                <w:szCs w:val="17"/>
              </w:rPr>
              <w:t xml:space="preserve">for </w:t>
            </w:r>
            <w:r w:rsidRPr="008C04A8">
              <w:rPr>
                <w:iCs/>
                <w:szCs w:val="17"/>
              </w:rPr>
              <w:t xml:space="preserve">reconstruction </w:t>
            </w:r>
            <w:r w:rsidRPr="008C04A8">
              <w:rPr>
                <w:szCs w:val="17"/>
              </w:rPr>
              <w:t xml:space="preserve">of </w:t>
            </w:r>
            <w:r w:rsidRPr="008C04A8">
              <w:rPr>
                <w:iCs/>
                <w:szCs w:val="17"/>
              </w:rPr>
              <w:t xml:space="preserve">essential public assets </w:t>
            </w:r>
            <w:r w:rsidRPr="008C04A8">
              <w:rPr>
                <w:szCs w:val="17"/>
              </w:rPr>
              <w:t xml:space="preserve">by tender or competitive bidding. </w:t>
            </w:r>
            <w:r w:rsidR="00310314">
              <w:rPr>
                <w:szCs w:val="17"/>
              </w:rPr>
              <w:t xml:space="preserve">This includes those costs incurred outside the allowable </w:t>
            </w:r>
            <w:proofErr w:type="gramStart"/>
            <w:r w:rsidR="00310314">
              <w:rPr>
                <w:szCs w:val="17"/>
              </w:rPr>
              <w:t>time period</w:t>
            </w:r>
            <w:proofErr w:type="gramEnd"/>
            <w:r w:rsidR="00310314">
              <w:rPr>
                <w:szCs w:val="17"/>
              </w:rPr>
              <w:t xml:space="preserve"> for either emergency </w:t>
            </w:r>
            <w:proofErr w:type="gramStart"/>
            <w:r w:rsidR="00310314">
              <w:rPr>
                <w:szCs w:val="17"/>
              </w:rPr>
              <w:t>works</w:t>
            </w:r>
            <w:proofErr w:type="gramEnd"/>
            <w:r w:rsidR="00310314">
              <w:rPr>
                <w:szCs w:val="17"/>
              </w:rPr>
              <w:t xml:space="preserve"> or immediate reconstruction works, where an extension request has not been approved.</w:t>
            </w:r>
          </w:p>
        </w:tc>
      </w:tr>
      <w:tr w:rsidR="002550FE" w:rsidRPr="00357D85" w14:paraId="184D417F"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7D0BB169" w14:textId="77777777" w:rsidR="002550FE" w:rsidRPr="008C04A8" w:rsidRDefault="002550FE" w:rsidP="00AD0C3E">
            <w:pPr>
              <w:pStyle w:val="Tabletext"/>
              <w:rPr>
                <w:szCs w:val="17"/>
              </w:rPr>
            </w:pPr>
            <w:r w:rsidRPr="008C04A8">
              <w:rPr>
                <w:szCs w:val="17"/>
              </w:rPr>
              <w:t xml:space="preserve">Monitoring agency </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44A21004" w14:textId="77777777" w:rsidR="002550FE" w:rsidRPr="008C04A8" w:rsidRDefault="002550FE" w:rsidP="00AD0C3E">
            <w:pPr>
              <w:pStyle w:val="Tabletext"/>
              <w:rPr>
                <w:szCs w:val="17"/>
              </w:rPr>
            </w:pPr>
            <w:r w:rsidRPr="00252270">
              <w:rPr>
                <w:szCs w:val="17"/>
              </w:rPr>
              <w:t>The agency who is responsible for monitoring that the control activity has been undertaken to successfully meet the control objective(s).</w:t>
            </w:r>
          </w:p>
        </w:tc>
      </w:tr>
      <w:tr w:rsidR="002550FE" w:rsidRPr="00357D85" w14:paraId="57EB9F3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66D66905" w14:textId="77777777" w:rsidR="002550FE" w:rsidRPr="008C04A8" w:rsidRDefault="002550FE" w:rsidP="00AD0C3E">
            <w:pPr>
              <w:pStyle w:val="Tabletext"/>
              <w:rPr>
                <w:szCs w:val="17"/>
              </w:rPr>
            </w:pPr>
            <w:r w:rsidRPr="008C04A8">
              <w:rPr>
                <w:szCs w:val="17"/>
              </w:rPr>
              <w:t>Natural disasters</w:t>
            </w:r>
          </w:p>
        </w:tc>
        <w:tc>
          <w:tcPr>
            <w:cnfStyle w:val="000001000000" w:firstRow="0" w:lastRow="0" w:firstColumn="0" w:lastColumn="0" w:oddVBand="0" w:evenVBand="1" w:oddHBand="0" w:evenHBand="0" w:firstRowFirstColumn="0" w:firstRowLastColumn="0" w:lastRowFirstColumn="0" w:lastRowLastColumn="0"/>
            <w:tcW w:w="3613" w:type="pct"/>
          </w:tcPr>
          <w:p w14:paraId="4A87D462" w14:textId="77777777" w:rsidR="002550FE" w:rsidRPr="008C04A8" w:rsidRDefault="002550FE" w:rsidP="00AD0C3E">
            <w:pPr>
              <w:pStyle w:val="Tabletext"/>
              <w:rPr>
                <w:szCs w:val="17"/>
              </w:rPr>
            </w:pPr>
            <w:r w:rsidRPr="008C04A8">
              <w:rPr>
                <w:szCs w:val="17"/>
              </w:rPr>
              <w:t>According to the DRFA, a natural disaster is one, or a combination of the following rapid onset events: Bushfire, earthquake, flood, storm, cyclone, storm surge, landslide, tsunami, meteorite strike or tornado.</w:t>
            </w:r>
          </w:p>
        </w:tc>
      </w:tr>
      <w:tr w:rsidR="002550FE" w:rsidRPr="00357D85" w14:paraId="021086DE"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5473B14" w14:textId="77777777" w:rsidR="002550FE" w:rsidRPr="008C04A8" w:rsidRDefault="002550FE" w:rsidP="00AD0C3E">
            <w:pPr>
              <w:pStyle w:val="Tabletext"/>
              <w:rPr>
                <w:szCs w:val="17"/>
              </w:rPr>
            </w:pPr>
            <w:r w:rsidRPr="008C04A8">
              <w:rPr>
                <w:szCs w:val="17"/>
              </w:rPr>
              <w:t>Pre-disaster condition</w:t>
            </w:r>
          </w:p>
        </w:tc>
        <w:tc>
          <w:tcPr>
            <w:cnfStyle w:val="000001000000" w:firstRow="0" w:lastRow="0" w:firstColumn="0" w:lastColumn="0" w:oddVBand="0" w:evenVBand="1" w:oddHBand="0" w:evenHBand="0" w:firstRowFirstColumn="0" w:firstRowLastColumn="0" w:lastRowFirstColumn="0" w:lastRowLastColumn="0"/>
            <w:tcW w:w="3613" w:type="pct"/>
          </w:tcPr>
          <w:p w14:paraId="18B20FB0" w14:textId="5193D459" w:rsidR="002550FE" w:rsidRPr="008C04A8" w:rsidRDefault="002550FE" w:rsidP="00AD0C3E">
            <w:pPr>
              <w:pStyle w:val="Tabletext"/>
              <w:rPr>
                <w:szCs w:val="17"/>
              </w:rPr>
            </w:pPr>
            <w:r w:rsidRPr="008C04A8">
              <w:rPr>
                <w:szCs w:val="17"/>
              </w:rPr>
              <w:t>Condition of an eligible asset prior to the occurrence of the disaster event</w:t>
            </w:r>
            <w:r w:rsidR="00310314">
              <w:rPr>
                <w:szCs w:val="17"/>
              </w:rPr>
              <w:t>.</w:t>
            </w:r>
            <w:r w:rsidRPr="008C04A8">
              <w:rPr>
                <w:szCs w:val="17"/>
              </w:rPr>
              <w:t xml:space="preserve"> </w:t>
            </w:r>
          </w:p>
        </w:tc>
      </w:tr>
      <w:tr w:rsidR="002550FE" w:rsidRPr="00357D85" w14:paraId="1EAAA3E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F12A167" w14:textId="77777777" w:rsidR="002550FE" w:rsidRPr="008C04A8" w:rsidRDefault="002550FE" w:rsidP="00AD0C3E">
            <w:pPr>
              <w:pStyle w:val="Tabletext"/>
              <w:rPr>
                <w:szCs w:val="17"/>
              </w:rPr>
            </w:pPr>
            <w:r w:rsidRPr="008C04A8">
              <w:rPr>
                <w:szCs w:val="17"/>
              </w:rPr>
              <w:t xml:space="preserve">Post-disaster condition </w:t>
            </w:r>
          </w:p>
        </w:tc>
        <w:tc>
          <w:tcPr>
            <w:cnfStyle w:val="000001000000" w:firstRow="0" w:lastRow="0" w:firstColumn="0" w:lastColumn="0" w:oddVBand="0" w:evenVBand="1" w:oddHBand="0" w:evenHBand="0" w:firstRowFirstColumn="0" w:firstRowLastColumn="0" w:lastRowFirstColumn="0" w:lastRowLastColumn="0"/>
            <w:tcW w:w="3613" w:type="pct"/>
          </w:tcPr>
          <w:p w14:paraId="18C6D373" w14:textId="63960DB2" w:rsidR="002550FE" w:rsidRPr="008C04A8" w:rsidRDefault="002550FE" w:rsidP="00AD0C3E">
            <w:pPr>
              <w:pStyle w:val="Tabletext"/>
              <w:rPr>
                <w:szCs w:val="17"/>
              </w:rPr>
            </w:pPr>
            <w:r w:rsidRPr="008C04A8">
              <w:rPr>
                <w:szCs w:val="17"/>
              </w:rPr>
              <w:t>Condition of an eligible asset in the aftermath of a disaster event occurring</w:t>
            </w:r>
            <w:r w:rsidR="00310314">
              <w:rPr>
                <w:szCs w:val="17"/>
              </w:rPr>
              <w:t>.</w:t>
            </w:r>
            <w:r w:rsidRPr="008C04A8">
              <w:rPr>
                <w:szCs w:val="17"/>
              </w:rPr>
              <w:t xml:space="preserve"> </w:t>
            </w:r>
          </w:p>
        </w:tc>
      </w:tr>
      <w:tr w:rsidR="002550FE" w:rsidRPr="00357D85" w14:paraId="70B8F7C5"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35E35C0" w14:textId="77777777" w:rsidR="002550FE" w:rsidRPr="008C04A8" w:rsidRDefault="002550FE" w:rsidP="00AD0C3E">
            <w:pPr>
              <w:pStyle w:val="Tabletext"/>
              <w:rPr>
                <w:szCs w:val="17"/>
              </w:rPr>
            </w:pPr>
            <w:r w:rsidRPr="008C04A8">
              <w:rPr>
                <w:szCs w:val="17"/>
              </w:rPr>
              <w:t xml:space="preserve">Pre-disaster asset function </w:t>
            </w:r>
          </w:p>
        </w:tc>
        <w:tc>
          <w:tcPr>
            <w:cnfStyle w:val="000001000000" w:firstRow="0" w:lastRow="0" w:firstColumn="0" w:lastColumn="0" w:oddVBand="0" w:evenVBand="1" w:oddHBand="0" w:evenHBand="0" w:firstRowFirstColumn="0" w:firstRowLastColumn="0" w:lastRowFirstColumn="0" w:lastRowLastColumn="0"/>
            <w:tcW w:w="3613" w:type="pct"/>
          </w:tcPr>
          <w:p w14:paraId="2040CB03" w14:textId="77777777" w:rsidR="002550FE" w:rsidRPr="008C04A8" w:rsidRDefault="002550FE" w:rsidP="00AD0C3E">
            <w:pPr>
              <w:pStyle w:val="Tabletext"/>
              <w:rPr>
                <w:szCs w:val="17"/>
              </w:rPr>
            </w:pPr>
            <w:r w:rsidRPr="008C04A8">
              <w:rPr>
                <w:szCs w:val="17"/>
              </w:rPr>
              <w:t>Under the DRFA, the Australian Government will provide funding equivalent to reconstruct an essential public asset to its pre-disaster function. Therefore, the pre-disaster function must be determined to establish the proposed treatment and subsequent estimated reconstruction cost. It is important to note that pre-disaster condition of the asset is still an important factor, and evidence of the assets condition prior to the disaster event is required as part of the funding claims process.</w:t>
            </w:r>
          </w:p>
        </w:tc>
      </w:tr>
      <w:tr w:rsidR="002550FE" w:rsidRPr="00357D85" w14:paraId="1A7D430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3063DED" w14:textId="77777777" w:rsidR="002550FE" w:rsidRPr="008C04A8" w:rsidRDefault="002550FE" w:rsidP="00AD0C3E">
            <w:pPr>
              <w:pStyle w:val="Tabletext"/>
              <w:rPr>
                <w:szCs w:val="17"/>
              </w:rPr>
            </w:pPr>
            <w:r w:rsidRPr="008C04A8">
              <w:rPr>
                <w:szCs w:val="17"/>
              </w:rPr>
              <w:t>Project</w:t>
            </w:r>
          </w:p>
        </w:tc>
        <w:tc>
          <w:tcPr>
            <w:cnfStyle w:val="000001000000" w:firstRow="0" w:lastRow="0" w:firstColumn="0" w:lastColumn="0" w:oddVBand="0" w:evenVBand="1" w:oddHBand="0" w:evenHBand="0" w:firstRowFirstColumn="0" w:firstRowLastColumn="0" w:lastRowFirstColumn="0" w:lastRowLastColumn="0"/>
            <w:tcW w:w="3613" w:type="pct"/>
          </w:tcPr>
          <w:p w14:paraId="21825C3B" w14:textId="77777777" w:rsidR="002550FE" w:rsidRPr="008C04A8" w:rsidRDefault="002550FE" w:rsidP="00AD0C3E">
            <w:pPr>
              <w:pStyle w:val="Tabletext"/>
              <w:rPr>
                <w:rFonts w:asciiTheme="majorHAnsi" w:hAnsiTheme="majorHAnsi" w:cstheme="majorHAnsi"/>
                <w:szCs w:val="17"/>
              </w:rPr>
            </w:pPr>
            <w:proofErr w:type="gramStart"/>
            <w:r w:rsidRPr="008C04A8">
              <w:rPr>
                <w:rFonts w:asciiTheme="majorHAnsi" w:hAnsiTheme="majorHAnsi" w:cstheme="majorHAnsi"/>
                <w:szCs w:val="17"/>
              </w:rPr>
              <w:t>For the purpose of</w:t>
            </w:r>
            <w:proofErr w:type="gramEnd"/>
            <w:r w:rsidRPr="008C04A8">
              <w:rPr>
                <w:rFonts w:asciiTheme="majorHAnsi" w:hAnsiTheme="majorHAnsi" w:cstheme="majorHAnsi"/>
                <w:szCs w:val="17"/>
              </w:rPr>
              <w:t xml:space="preserve"> defining a project, a project shall be considered one of the following:</w:t>
            </w:r>
          </w:p>
          <w:p w14:paraId="21190094" w14:textId="77777777" w:rsidR="002550FE" w:rsidRPr="008C04A8" w:rsidRDefault="002550FE" w:rsidP="00AD0C3E">
            <w:pPr>
              <w:pStyle w:val="Tablebullet"/>
              <w:keepLines/>
              <w:rPr>
                <w:rFonts w:asciiTheme="majorHAnsi" w:hAnsiTheme="majorHAnsi" w:cstheme="majorHAnsi"/>
                <w:szCs w:val="17"/>
              </w:rPr>
            </w:pPr>
            <w:r w:rsidRPr="008C04A8">
              <w:rPr>
                <w:rFonts w:asciiTheme="majorHAnsi" w:hAnsiTheme="majorHAnsi" w:cstheme="majorHAnsi"/>
                <w:szCs w:val="17"/>
              </w:rPr>
              <w:t>a single asset</w:t>
            </w:r>
          </w:p>
          <w:p w14:paraId="573800A3" w14:textId="1D8A482E" w:rsidR="002550FE" w:rsidRPr="008C04A8" w:rsidRDefault="002550FE" w:rsidP="00AD0C3E">
            <w:pPr>
              <w:pStyle w:val="Tablebullet"/>
              <w:rPr>
                <w:szCs w:val="17"/>
              </w:rPr>
            </w:pPr>
            <w:r w:rsidRPr="008C04A8">
              <w:rPr>
                <w:rFonts w:asciiTheme="majorHAnsi" w:hAnsiTheme="majorHAnsi" w:cstheme="majorHAnsi"/>
                <w:szCs w:val="17"/>
              </w:rPr>
              <w:t xml:space="preserve">up to 10 individual assets with </w:t>
            </w:r>
            <w:r w:rsidR="00C04A47">
              <w:rPr>
                <w:rFonts w:asciiTheme="majorHAnsi" w:hAnsiTheme="majorHAnsi" w:cstheme="majorHAnsi"/>
                <w:szCs w:val="17"/>
              </w:rPr>
              <w:t xml:space="preserve">a </w:t>
            </w:r>
            <w:r w:rsidR="00361ADA">
              <w:rPr>
                <w:rFonts w:asciiTheme="majorHAnsi" w:hAnsiTheme="majorHAnsi" w:cstheme="majorHAnsi"/>
                <w:szCs w:val="17"/>
              </w:rPr>
              <w:t xml:space="preserve">reasonable </w:t>
            </w:r>
            <w:r w:rsidR="00C04A47">
              <w:rPr>
                <w:rFonts w:asciiTheme="majorHAnsi" w:hAnsiTheme="majorHAnsi" w:cstheme="majorHAnsi"/>
                <w:szCs w:val="17"/>
              </w:rPr>
              <w:t xml:space="preserve">total </w:t>
            </w:r>
            <w:r w:rsidRPr="008C04A8">
              <w:rPr>
                <w:rFonts w:asciiTheme="majorHAnsi" w:hAnsiTheme="majorHAnsi" w:cstheme="majorHAnsi"/>
                <w:szCs w:val="17"/>
              </w:rPr>
              <w:t xml:space="preserve">estimated cost </w:t>
            </w:r>
          </w:p>
        </w:tc>
      </w:tr>
      <w:tr w:rsidR="002550FE" w:rsidRPr="00357D85" w14:paraId="4093A3ED"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52807CBE" w14:textId="77777777" w:rsidR="002550FE" w:rsidRPr="008C04A8" w:rsidRDefault="002550FE" w:rsidP="00AD0C3E">
            <w:pPr>
              <w:pStyle w:val="Tabletext"/>
              <w:rPr>
                <w:szCs w:val="17"/>
              </w:rPr>
            </w:pPr>
            <w:r w:rsidRPr="008C04A8">
              <w:rPr>
                <w:szCs w:val="17"/>
              </w:rPr>
              <w:t xml:space="preserve">Public infrastructure </w:t>
            </w:r>
          </w:p>
        </w:tc>
        <w:tc>
          <w:tcPr>
            <w:cnfStyle w:val="000001000000" w:firstRow="0" w:lastRow="0" w:firstColumn="0" w:lastColumn="0" w:oddVBand="0" w:evenVBand="1" w:oddHBand="0" w:evenHBand="0" w:firstRowFirstColumn="0" w:firstRowLastColumn="0" w:lastRowFirstColumn="0" w:lastRowLastColumn="0"/>
            <w:tcW w:w="3613" w:type="pct"/>
          </w:tcPr>
          <w:p w14:paraId="263E56C6" w14:textId="77777777" w:rsidR="002550FE" w:rsidRPr="008C04A8" w:rsidRDefault="002550FE" w:rsidP="00AD0C3E">
            <w:pPr>
              <w:pStyle w:val="Tabletext"/>
              <w:rPr>
                <w:color w:val="FF0000"/>
                <w:szCs w:val="17"/>
                <w:u w:val="single"/>
              </w:rPr>
            </w:pPr>
            <w:r w:rsidRPr="008C04A8">
              <w:rPr>
                <w:szCs w:val="17"/>
              </w:rPr>
              <w:t xml:space="preserve">An asset that is an integral part of a </w:t>
            </w:r>
            <w:r w:rsidRPr="008C04A8">
              <w:rPr>
                <w:iCs/>
                <w:szCs w:val="17"/>
              </w:rPr>
              <w:t xml:space="preserve">state’s </w:t>
            </w:r>
            <w:r w:rsidRPr="008C04A8">
              <w:rPr>
                <w:szCs w:val="17"/>
              </w:rPr>
              <w:t xml:space="preserve">infrastructure and is associated with health, education, justice or welfare. </w:t>
            </w:r>
          </w:p>
        </w:tc>
      </w:tr>
      <w:tr w:rsidR="002550FE" w:rsidRPr="00357D85" w14:paraId="27AFD046"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B048533" w14:textId="77777777" w:rsidR="002550FE" w:rsidRPr="008C04A8" w:rsidRDefault="002550FE" w:rsidP="00AD0C3E">
            <w:pPr>
              <w:pStyle w:val="Tabletext"/>
              <w:rPr>
                <w:szCs w:val="17"/>
              </w:rPr>
            </w:pPr>
            <w:r w:rsidRPr="008C04A8">
              <w:rPr>
                <w:szCs w:val="17"/>
              </w:rPr>
              <w:t xml:space="preserve">Reconstruction </w:t>
            </w:r>
          </w:p>
        </w:tc>
        <w:tc>
          <w:tcPr>
            <w:cnfStyle w:val="000001000000" w:firstRow="0" w:lastRow="0" w:firstColumn="0" w:lastColumn="0" w:oddVBand="0" w:evenVBand="1" w:oddHBand="0" w:evenHBand="0" w:firstRowFirstColumn="0" w:firstRowLastColumn="0" w:lastRowFirstColumn="0" w:lastRowLastColumn="0"/>
            <w:tcW w:w="3613" w:type="pct"/>
          </w:tcPr>
          <w:p w14:paraId="7776E804" w14:textId="77777777" w:rsidR="002550FE" w:rsidRPr="008C04A8" w:rsidRDefault="002550FE" w:rsidP="00AD0C3E">
            <w:pPr>
              <w:pStyle w:val="Tabletext"/>
              <w:rPr>
                <w:color w:val="FF0000"/>
                <w:szCs w:val="17"/>
                <w:u w:val="single"/>
              </w:rPr>
            </w:pPr>
            <w:r w:rsidRPr="008C04A8">
              <w:rPr>
                <w:szCs w:val="17"/>
              </w:rPr>
              <w:t xml:space="preserve">The restoration or replacement of an </w:t>
            </w:r>
            <w:r w:rsidRPr="008C04A8">
              <w:rPr>
                <w:iCs/>
                <w:szCs w:val="17"/>
              </w:rPr>
              <w:t xml:space="preserve">essential public asset. </w:t>
            </w:r>
          </w:p>
        </w:tc>
      </w:tr>
      <w:tr w:rsidR="002550FE" w:rsidRPr="00357D85" w14:paraId="537D9EBB"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ED5D9C9" w14:textId="77777777" w:rsidR="002550FE" w:rsidRPr="00FE3256" w:rsidRDefault="002550FE" w:rsidP="00AD0C3E">
            <w:pPr>
              <w:pStyle w:val="Tabletext"/>
              <w:rPr>
                <w:szCs w:val="17"/>
              </w:rPr>
            </w:pPr>
            <w:r w:rsidRPr="008C04A8">
              <w:rPr>
                <w:szCs w:val="17"/>
              </w:rPr>
              <w:t xml:space="preserve">Re-damaged essential public asset </w:t>
            </w:r>
          </w:p>
        </w:tc>
        <w:tc>
          <w:tcPr>
            <w:cnfStyle w:val="000001000000" w:firstRow="0" w:lastRow="0" w:firstColumn="0" w:lastColumn="0" w:oddVBand="0" w:evenVBand="1" w:oddHBand="0" w:evenHBand="0" w:firstRowFirstColumn="0" w:firstRowLastColumn="0" w:lastRowFirstColumn="0" w:lastRowLastColumn="0"/>
            <w:tcW w:w="3613" w:type="pct"/>
          </w:tcPr>
          <w:p w14:paraId="0D10AB05" w14:textId="77777777" w:rsidR="002550FE" w:rsidRPr="008C04A8" w:rsidRDefault="002550FE" w:rsidP="00AD0C3E">
            <w:pPr>
              <w:pStyle w:val="Tabletext"/>
              <w:rPr>
                <w:color w:val="FF0000"/>
                <w:szCs w:val="17"/>
                <w:u w:val="single"/>
              </w:rPr>
            </w:pPr>
            <w:r w:rsidRPr="008C04A8">
              <w:rPr>
                <w:szCs w:val="17"/>
              </w:rPr>
              <w:t xml:space="preserve">An </w:t>
            </w:r>
            <w:r w:rsidRPr="008C04A8">
              <w:rPr>
                <w:iCs/>
                <w:szCs w:val="17"/>
              </w:rPr>
              <w:t xml:space="preserve">essential public asset </w:t>
            </w:r>
            <w:r w:rsidRPr="008C04A8">
              <w:rPr>
                <w:szCs w:val="17"/>
              </w:rPr>
              <w:t xml:space="preserve">is re-damaged if it suffers additional damage from a subsequent </w:t>
            </w:r>
            <w:r w:rsidRPr="008C04A8">
              <w:rPr>
                <w:iCs/>
                <w:szCs w:val="17"/>
              </w:rPr>
              <w:t xml:space="preserve">eligible disaster </w:t>
            </w:r>
            <w:r w:rsidRPr="008C04A8">
              <w:rPr>
                <w:szCs w:val="17"/>
              </w:rPr>
              <w:t xml:space="preserve">which occurs after the development of an </w:t>
            </w:r>
            <w:r w:rsidRPr="008C04A8">
              <w:rPr>
                <w:iCs/>
                <w:szCs w:val="17"/>
              </w:rPr>
              <w:t xml:space="preserve">estimated reconstruction cost </w:t>
            </w:r>
            <w:r w:rsidRPr="008C04A8">
              <w:rPr>
                <w:szCs w:val="17"/>
              </w:rPr>
              <w:t xml:space="preserve">for the preceding </w:t>
            </w:r>
            <w:r w:rsidRPr="008C04A8">
              <w:rPr>
                <w:iCs/>
                <w:szCs w:val="17"/>
              </w:rPr>
              <w:t xml:space="preserve">eligible disaster. </w:t>
            </w:r>
          </w:p>
        </w:tc>
      </w:tr>
      <w:tr w:rsidR="002550FE" w:rsidRPr="00357D85" w14:paraId="4D38B0B9"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53F4374" w14:textId="77777777" w:rsidR="002550FE" w:rsidRPr="00FE3256" w:rsidRDefault="002550FE" w:rsidP="00AD0C3E">
            <w:pPr>
              <w:pStyle w:val="Tabletext"/>
              <w:rPr>
                <w:szCs w:val="17"/>
              </w:rPr>
            </w:pPr>
            <w:r w:rsidRPr="008C04A8">
              <w:rPr>
                <w:szCs w:val="17"/>
              </w:rPr>
              <w:lastRenderedPageBreak/>
              <w:t>Reasonable assurance engagement</w:t>
            </w:r>
          </w:p>
        </w:tc>
        <w:tc>
          <w:tcPr>
            <w:cnfStyle w:val="000001000000" w:firstRow="0" w:lastRow="0" w:firstColumn="0" w:lastColumn="0" w:oddVBand="0" w:evenVBand="1" w:oddHBand="0" w:evenHBand="0" w:firstRowFirstColumn="0" w:firstRowLastColumn="0" w:lastRowFirstColumn="0" w:lastRowLastColumn="0"/>
            <w:tcW w:w="3613" w:type="pct"/>
          </w:tcPr>
          <w:p w14:paraId="370B729D" w14:textId="77777777" w:rsidR="002550FE" w:rsidRPr="008C04A8" w:rsidRDefault="002550FE" w:rsidP="00AD0C3E">
            <w:pPr>
              <w:pStyle w:val="Tabletext"/>
              <w:rPr>
                <w:szCs w:val="17"/>
              </w:rPr>
            </w:pPr>
            <w:r w:rsidRPr="008C04A8">
              <w:rPr>
                <w:szCs w:val="17"/>
              </w:rPr>
              <w:t>An assurance engagement in which the assurance practitioner reduces engagement risk to an acceptably low level in the circumstances of the engagement as the basis for the assurance practitioner’s conclusion. The assurance practitioner’s conclusion is expressed in a form that conveys the assurance practitioner’s opinion on the outcome of the measurement or evaluation of the underlying subject matter against criteria</w:t>
            </w:r>
          </w:p>
        </w:tc>
      </w:tr>
      <w:tr w:rsidR="002550FE" w:rsidRPr="00357D85" w14:paraId="6E5EDB35"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12E0922F" w14:textId="77777777" w:rsidR="002550FE" w:rsidRPr="008C04A8" w:rsidRDefault="002550FE" w:rsidP="00AD0C3E">
            <w:pPr>
              <w:pStyle w:val="Tabletext"/>
              <w:rPr>
                <w:szCs w:val="17"/>
              </w:rPr>
            </w:pPr>
            <w:r w:rsidRPr="008C04A8">
              <w:rPr>
                <w:szCs w:val="17"/>
              </w:rPr>
              <w:t xml:space="preserve">Responsible agency </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4C54DAE8" w14:textId="77777777" w:rsidR="002550FE" w:rsidRPr="008C04A8" w:rsidRDefault="002550FE" w:rsidP="00AD0C3E">
            <w:pPr>
              <w:pStyle w:val="Tabletext"/>
              <w:rPr>
                <w:szCs w:val="17"/>
              </w:rPr>
            </w:pPr>
            <w:r w:rsidRPr="00252270">
              <w:rPr>
                <w:rFonts w:ascii="Arial" w:eastAsia="Times New Roman" w:hAnsi="Arial" w:cs="Arial"/>
                <w:szCs w:val="17"/>
              </w:rPr>
              <w:t>The agency who is responsible for undertaking the activity as prescribed under the DRFA.</w:t>
            </w:r>
          </w:p>
        </w:tc>
      </w:tr>
      <w:tr w:rsidR="002550FE" w:rsidRPr="00357D85" w14:paraId="7650A1F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80C73CB" w14:textId="77777777" w:rsidR="002550FE" w:rsidRPr="008C04A8" w:rsidRDefault="002550FE" w:rsidP="00AD0C3E">
            <w:pPr>
              <w:pStyle w:val="Tabletext"/>
              <w:rPr>
                <w:szCs w:val="17"/>
              </w:rPr>
            </w:pPr>
            <w:r w:rsidRPr="008C04A8">
              <w:rPr>
                <w:szCs w:val="17"/>
              </w:rPr>
              <w:t>Small disaster criterion</w:t>
            </w:r>
          </w:p>
        </w:tc>
        <w:tc>
          <w:tcPr>
            <w:cnfStyle w:val="000001000000" w:firstRow="0" w:lastRow="0" w:firstColumn="0" w:lastColumn="0" w:oddVBand="0" w:evenVBand="1" w:oddHBand="0" w:evenHBand="0" w:firstRowFirstColumn="0" w:firstRowLastColumn="0" w:lastRowFirstColumn="0" w:lastRowLastColumn="0"/>
            <w:tcW w:w="3613" w:type="pct"/>
          </w:tcPr>
          <w:p w14:paraId="20C3102F" w14:textId="77777777" w:rsidR="002550FE" w:rsidRPr="008C04A8" w:rsidRDefault="002550FE" w:rsidP="00AD0C3E">
            <w:pPr>
              <w:pStyle w:val="Tabletext"/>
              <w:rPr>
                <w:szCs w:val="17"/>
              </w:rPr>
            </w:pPr>
            <w:r w:rsidRPr="008C04A8">
              <w:rPr>
                <w:szCs w:val="17"/>
              </w:rPr>
              <w:t>For the purposes of these arrangements, the amount of $240 000 or an amount as published by the department.</w:t>
            </w:r>
          </w:p>
        </w:tc>
      </w:tr>
      <w:tr w:rsidR="002550FE" w:rsidRPr="00357D85" w14:paraId="058D30BF"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E620767" w14:textId="77777777" w:rsidR="002550FE" w:rsidRPr="008C04A8" w:rsidRDefault="002550FE" w:rsidP="00AD0C3E">
            <w:pPr>
              <w:pStyle w:val="Tabletext"/>
              <w:rPr>
                <w:szCs w:val="17"/>
              </w:rPr>
            </w:pPr>
            <w:r w:rsidRPr="008C04A8">
              <w:rPr>
                <w:szCs w:val="17"/>
              </w:rPr>
              <w:t xml:space="preserve">Special Circumstances </w:t>
            </w:r>
          </w:p>
        </w:tc>
        <w:tc>
          <w:tcPr>
            <w:cnfStyle w:val="000001000000" w:firstRow="0" w:lastRow="0" w:firstColumn="0" w:lastColumn="0" w:oddVBand="0" w:evenVBand="1" w:oddHBand="0" w:evenHBand="0" w:firstRowFirstColumn="0" w:firstRowLastColumn="0" w:lastRowFirstColumn="0" w:lastRowLastColumn="0"/>
            <w:tcW w:w="3613" w:type="pct"/>
          </w:tcPr>
          <w:p w14:paraId="61C2B456" w14:textId="77777777" w:rsidR="002550FE" w:rsidRPr="008C04A8" w:rsidRDefault="002550FE" w:rsidP="00AD0C3E">
            <w:pPr>
              <w:pStyle w:val="Tabletext"/>
              <w:rPr>
                <w:szCs w:val="17"/>
              </w:rPr>
            </w:pPr>
            <w:r w:rsidRPr="008C04A8">
              <w:rPr>
                <w:szCs w:val="17"/>
              </w:rPr>
              <w:t xml:space="preserve">Where the estimated reconstruction cost is lower than the actual cost of a project </w:t>
            </w:r>
            <w:proofErr w:type="gramStart"/>
            <w:r w:rsidRPr="008C04A8">
              <w:rPr>
                <w:szCs w:val="17"/>
              </w:rPr>
              <w:t>as a result of</w:t>
            </w:r>
            <w:proofErr w:type="gramEnd"/>
            <w:r w:rsidRPr="008C04A8">
              <w:rPr>
                <w:szCs w:val="17"/>
              </w:rPr>
              <w:t xml:space="preserve"> special circumstances, and the variance does not meet the criteria for an Independent Technical Review, delivery agencies can adjust the estimated reconstruction cost to reflect the variance. The Delivery Agency must provide evidence to the Assessing Authority to demonstrate the special circumstances encountered, including why the special circumstances could not reasonably have been foreseen.</w:t>
            </w:r>
          </w:p>
        </w:tc>
      </w:tr>
      <w:tr w:rsidR="002550FE" w:rsidRPr="00357D85" w14:paraId="2563C36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493B946" w14:textId="77777777" w:rsidR="002550FE" w:rsidRPr="008C04A8" w:rsidRDefault="002550FE" w:rsidP="00AD0C3E">
            <w:pPr>
              <w:pStyle w:val="Tabletext"/>
              <w:rPr>
                <w:szCs w:val="17"/>
              </w:rPr>
            </w:pPr>
            <w:r w:rsidRPr="008C04A8">
              <w:rPr>
                <w:szCs w:val="17"/>
              </w:rPr>
              <w:t>Standard treatment(s)</w:t>
            </w:r>
          </w:p>
        </w:tc>
        <w:tc>
          <w:tcPr>
            <w:cnfStyle w:val="000001000000" w:firstRow="0" w:lastRow="0" w:firstColumn="0" w:lastColumn="0" w:oddVBand="0" w:evenVBand="1" w:oddHBand="0" w:evenHBand="0" w:firstRowFirstColumn="0" w:firstRowLastColumn="0" w:lastRowFirstColumn="0" w:lastRowLastColumn="0"/>
            <w:tcW w:w="3613" w:type="pct"/>
          </w:tcPr>
          <w:p w14:paraId="02377A84" w14:textId="77777777" w:rsidR="002550FE" w:rsidRPr="008C04A8" w:rsidRDefault="002550FE" w:rsidP="00AD0C3E">
            <w:pPr>
              <w:pStyle w:val="Tabletext"/>
              <w:rPr>
                <w:szCs w:val="17"/>
              </w:rPr>
            </w:pPr>
            <w:r w:rsidRPr="008C04A8">
              <w:rPr>
                <w:szCs w:val="17"/>
              </w:rPr>
              <w:t>Common or typical reconstruction/ repair procedures undertaken in response to damage sustained from natural disasters</w:t>
            </w:r>
            <w:r w:rsidRPr="008C04A8" w:rsidDel="00557D79">
              <w:rPr>
                <w:szCs w:val="17"/>
              </w:rPr>
              <w:t xml:space="preserve"> </w:t>
            </w:r>
          </w:p>
        </w:tc>
      </w:tr>
      <w:tr w:rsidR="00D905EA" w:rsidRPr="00357D85" w14:paraId="228F991C" w14:textId="77777777" w:rsidTr="003F7B36">
        <w:tc>
          <w:tcPr>
            <w:cnfStyle w:val="000010000000" w:firstRow="0" w:lastRow="0" w:firstColumn="0" w:lastColumn="0" w:oddVBand="1" w:evenVBand="0" w:oddHBand="0" w:evenHBand="0" w:firstRowFirstColumn="0" w:firstRowLastColumn="0" w:lastRowFirstColumn="0" w:lastRowLastColumn="0"/>
            <w:tcW w:w="0" w:type="pct"/>
          </w:tcPr>
          <w:p w14:paraId="6B39D4D3" w14:textId="5957CA4B" w:rsidR="00D905EA" w:rsidRPr="00D905EA" w:rsidRDefault="00D905EA" w:rsidP="00D905EA">
            <w:pPr>
              <w:pStyle w:val="Tabletext"/>
              <w:rPr>
                <w:szCs w:val="17"/>
              </w:rPr>
            </w:pPr>
            <w:r w:rsidRPr="00D905EA">
              <w:t>Suitably qualified professional</w:t>
            </w:r>
          </w:p>
        </w:tc>
        <w:tc>
          <w:tcPr>
            <w:cnfStyle w:val="000001000000" w:firstRow="0" w:lastRow="0" w:firstColumn="0" w:lastColumn="0" w:oddVBand="0" w:evenVBand="1" w:oddHBand="0" w:evenHBand="0" w:firstRowFirstColumn="0" w:firstRowLastColumn="0" w:lastRowFirstColumn="0" w:lastRowLastColumn="0"/>
            <w:tcW w:w="0" w:type="pct"/>
            <w:vAlign w:val="center"/>
          </w:tcPr>
          <w:p w14:paraId="17F88BF8" w14:textId="0B2AEAAB" w:rsidR="00D905EA" w:rsidRPr="00D905EA" w:rsidRDefault="00D905EA" w:rsidP="00D905EA">
            <w:pPr>
              <w:pStyle w:val="Tabletext"/>
              <w:rPr>
                <w:szCs w:val="17"/>
              </w:rPr>
            </w:pPr>
            <w:r w:rsidRPr="00D905EA">
              <w:rPr>
                <w:rStyle w:val="ui-provider"/>
              </w:rPr>
              <w:t xml:space="preserve">A suitably qualified professional may be defined as a person with relevant tertiary qualification and a minimum of five years’ experience in the appropriate field of work for the asset type, </w:t>
            </w:r>
            <w:r w:rsidR="00765149" w:rsidRPr="00D905EA">
              <w:rPr>
                <w:rStyle w:val="ui-provider"/>
              </w:rPr>
              <w:t>or</w:t>
            </w:r>
            <w:r w:rsidRPr="00D905EA">
              <w:rPr>
                <w:rStyle w:val="ui-provider"/>
              </w:rPr>
              <w:t xml:space="preserve"> a person with the appropriate level of expertise and experience within the Delivery Agency at the Director level, for example, Director Infrastructure or its equivalent.</w:t>
            </w:r>
          </w:p>
          <w:p w14:paraId="24A6802A" w14:textId="351E7213" w:rsidR="00D905EA" w:rsidRPr="00D905EA" w:rsidRDefault="00D905EA" w:rsidP="00D905EA">
            <w:pPr>
              <w:pStyle w:val="Tabletext"/>
              <w:rPr>
                <w:szCs w:val="17"/>
              </w:rPr>
            </w:pPr>
            <w:r w:rsidRPr="00D905EA">
              <w:rPr>
                <w:szCs w:val="17"/>
              </w:rPr>
              <w:t xml:space="preserve">A suitably qualified professional may be defined as a person within the Assessing Authority as having the appropriate level of expertise and experience to assess and verify the supporting documentation provided by the Delivery Agency.  </w:t>
            </w:r>
          </w:p>
        </w:tc>
      </w:tr>
      <w:tr w:rsidR="00D905EA" w:rsidRPr="00357D85" w14:paraId="4CC8AC06"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7F4B97F6" w14:textId="77777777" w:rsidR="00D905EA" w:rsidRPr="00674C26" w:rsidRDefault="00D905EA" w:rsidP="00D905EA">
            <w:pPr>
              <w:pStyle w:val="Tabletext"/>
              <w:rPr>
                <w:szCs w:val="17"/>
              </w:rPr>
            </w:pPr>
            <w:r w:rsidRPr="008C04A8">
              <w:rPr>
                <w:szCs w:val="17"/>
              </w:rPr>
              <w:t>The System (Disaster Recovery Fun</w:t>
            </w:r>
            <w:r w:rsidRPr="00FE3256">
              <w:rPr>
                <w:szCs w:val="17"/>
              </w:rPr>
              <w:t>ding Arrangements Management System)</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1211B7E6" w14:textId="77777777" w:rsidR="00D905EA" w:rsidRPr="008C04A8" w:rsidRDefault="00D905EA" w:rsidP="00D905EA">
            <w:pPr>
              <w:pStyle w:val="Tabletext"/>
              <w:rPr>
                <w:szCs w:val="17"/>
              </w:rPr>
            </w:pPr>
            <w:r w:rsidRPr="00252270">
              <w:rPr>
                <w:szCs w:val="17"/>
              </w:rPr>
              <w:t xml:space="preserve">The processes and controls implemented by a </w:t>
            </w:r>
            <w:r w:rsidRPr="00252270">
              <w:rPr>
                <w:i/>
                <w:szCs w:val="17"/>
              </w:rPr>
              <w:t>state agency</w:t>
            </w:r>
            <w:r w:rsidRPr="00252270">
              <w:rPr>
                <w:szCs w:val="17"/>
              </w:rPr>
              <w:t xml:space="preserve"> and third-party organisations (i.e. delivery agencies where applicable) in relation to an estimated reconstruction cost, as defined by the DRFA.</w:t>
            </w:r>
          </w:p>
        </w:tc>
      </w:tr>
      <w:tr w:rsidR="00D905EA" w:rsidRPr="00357D85" w14:paraId="52884DE9"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97C483B" w14:textId="77777777" w:rsidR="00D905EA" w:rsidRPr="008C04A8" w:rsidRDefault="00D905EA" w:rsidP="00D905EA">
            <w:pPr>
              <w:pStyle w:val="Tabletext"/>
              <w:rPr>
                <w:szCs w:val="17"/>
              </w:rPr>
            </w:pPr>
            <w:r w:rsidRPr="008C04A8">
              <w:rPr>
                <w:szCs w:val="17"/>
              </w:rPr>
              <w:t>Terrorist act</w:t>
            </w:r>
          </w:p>
        </w:tc>
        <w:tc>
          <w:tcPr>
            <w:cnfStyle w:val="000001000000" w:firstRow="0" w:lastRow="0" w:firstColumn="0" w:lastColumn="0" w:oddVBand="0" w:evenVBand="1" w:oddHBand="0" w:evenHBand="0" w:firstRowFirstColumn="0" w:firstRowLastColumn="0" w:lastRowFirstColumn="0" w:lastRowLastColumn="0"/>
            <w:tcW w:w="3613" w:type="pct"/>
          </w:tcPr>
          <w:p w14:paraId="3FEBE869" w14:textId="77777777" w:rsidR="00D905EA" w:rsidRPr="008C04A8" w:rsidRDefault="00D905EA" w:rsidP="00D905EA">
            <w:pPr>
              <w:pStyle w:val="Tabletext"/>
              <w:rPr>
                <w:szCs w:val="17"/>
              </w:rPr>
            </w:pPr>
            <w:r w:rsidRPr="008C04A8">
              <w:rPr>
                <w:szCs w:val="17"/>
              </w:rPr>
              <w:t>An action or a series of actions committed in Australia which the Minister has determined is a terrorist act for the purposes of an eligible disaster under these arrangements.</w:t>
            </w:r>
          </w:p>
          <w:p w14:paraId="583FC9FA" w14:textId="77777777" w:rsidR="00D905EA" w:rsidRPr="008C04A8" w:rsidRDefault="00D905EA" w:rsidP="00D905EA">
            <w:pPr>
              <w:pStyle w:val="Tabletext"/>
              <w:rPr>
                <w:szCs w:val="17"/>
              </w:rPr>
            </w:pPr>
            <w:r w:rsidRPr="008C04A8">
              <w:rPr>
                <w:szCs w:val="17"/>
              </w:rPr>
              <w:t>Without limiting the matters to which the Minister may have regard in determining whether the action or series of actions is a terrorist act, the Minister may have regard to:</w:t>
            </w:r>
          </w:p>
          <w:p w14:paraId="223460C0" w14:textId="77777777" w:rsidR="00D905EA" w:rsidRPr="008C04A8" w:rsidRDefault="00D905EA" w:rsidP="00D905EA">
            <w:pPr>
              <w:pStyle w:val="Tablebullet"/>
              <w:rPr>
                <w:szCs w:val="17"/>
              </w:rPr>
            </w:pPr>
            <w:r w:rsidRPr="008C04A8">
              <w:rPr>
                <w:szCs w:val="17"/>
              </w:rPr>
              <w:t>the definition of a terrorist act under section 100.1 of the Criminal Code Act 1995, and</w:t>
            </w:r>
          </w:p>
          <w:p w14:paraId="4E7072ED" w14:textId="77777777" w:rsidR="00D905EA" w:rsidRPr="008C04A8" w:rsidRDefault="00D905EA" w:rsidP="00D905EA">
            <w:pPr>
              <w:pStyle w:val="Tablebullet"/>
              <w:rPr>
                <w:szCs w:val="17"/>
              </w:rPr>
            </w:pPr>
            <w:r w:rsidRPr="008C04A8">
              <w:rPr>
                <w:szCs w:val="17"/>
              </w:rPr>
              <w:t>if available, the advice of other Commonwealth agencies.</w:t>
            </w:r>
          </w:p>
          <w:p w14:paraId="4AF5CB62" w14:textId="77777777" w:rsidR="00D905EA" w:rsidRPr="008C04A8" w:rsidRDefault="00D905EA" w:rsidP="00D905EA">
            <w:pPr>
              <w:pStyle w:val="Tabletext"/>
              <w:rPr>
                <w:szCs w:val="17"/>
              </w:rPr>
            </w:pPr>
            <w:r w:rsidRPr="008C04A8">
              <w:rPr>
                <w:szCs w:val="17"/>
              </w:rPr>
              <w:t>In the event of one or more acts, the Minister may determine two or more related acts to be a single terrorist act.</w:t>
            </w:r>
          </w:p>
        </w:tc>
      </w:tr>
    </w:tbl>
    <w:p w14:paraId="5221BF48" w14:textId="77777777" w:rsidR="008840D3" w:rsidRDefault="008840D3" w:rsidP="008840D3">
      <w:pPr>
        <w:pStyle w:val="Heading1"/>
        <w:ind w:left="720"/>
      </w:pPr>
    </w:p>
    <w:p w14:paraId="73B40C9D" w14:textId="77777777" w:rsidR="008840D3" w:rsidRDefault="008840D3">
      <w:pPr>
        <w:spacing w:before="0" w:after="0" w:line="240" w:lineRule="auto"/>
        <w:rPr>
          <w:rFonts w:asciiTheme="majorHAnsi" w:eastAsiaTheme="majorEastAsia" w:hAnsiTheme="majorHAnsi" w:cstheme="majorBidi"/>
          <w:b/>
          <w:bCs/>
          <w:color w:val="201547"/>
          <w:spacing w:val="-1"/>
          <w:sz w:val="36"/>
          <w:szCs w:val="28"/>
        </w:rPr>
      </w:pPr>
      <w:r>
        <w:br w:type="page"/>
      </w:r>
    </w:p>
    <w:p w14:paraId="5D54CC9C" w14:textId="77777777" w:rsidR="005B0A56" w:rsidRPr="00C43D19" w:rsidRDefault="005B0A56" w:rsidP="00AF7BDB">
      <w:pPr>
        <w:pStyle w:val="Heading1"/>
        <w:numPr>
          <w:ilvl w:val="0"/>
          <w:numId w:val="26"/>
        </w:numPr>
        <w:ind w:hanging="720"/>
      </w:pPr>
      <w:bookmarkStart w:id="9" w:name="_Toc170127149"/>
      <w:r w:rsidRPr="00C43D19">
        <w:lastRenderedPageBreak/>
        <w:t>Introduction</w:t>
      </w:r>
      <w:bookmarkEnd w:id="4"/>
      <w:bookmarkEnd w:id="5"/>
      <w:bookmarkEnd w:id="6"/>
      <w:bookmarkEnd w:id="9"/>
    </w:p>
    <w:p w14:paraId="193A53F7" w14:textId="77777777" w:rsidR="002F3E48" w:rsidRDefault="002F3E48" w:rsidP="000A288F">
      <w:pPr>
        <w:pStyle w:val="NormalIndent"/>
      </w:pPr>
      <w:bookmarkStart w:id="10" w:name="_Toc58149987"/>
      <w:r w:rsidRPr="00627B7C">
        <w:t xml:space="preserve">Victoria's Natural Disaster Financial Assistance (NDFA) scheme is available to </w:t>
      </w:r>
      <w:r w:rsidR="00A93992">
        <w:t xml:space="preserve">Delivery Agencies including </w:t>
      </w:r>
      <w:r w:rsidRPr="00627B7C">
        <w:t>local councils</w:t>
      </w:r>
      <w:r w:rsidR="00C21727">
        <w:t xml:space="preserve"> and</w:t>
      </w:r>
      <w:r w:rsidRPr="00627B7C">
        <w:t xml:space="preserve"> Catchment Management Authorities (CMAs), to relieve some o</w:t>
      </w:r>
      <w:r>
        <w:t xml:space="preserve">f the financial burden that may </w:t>
      </w:r>
      <w:r w:rsidRPr="00627B7C">
        <w:t xml:space="preserve">be experienced following a natural disaster, in accordance with the </w:t>
      </w:r>
      <w:r>
        <w:t xml:space="preserve">Australian Government’s </w:t>
      </w:r>
      <w:r w:rsidRPr="00627B7C">
        <w:t>Disaster Recov</w:t>
      </w:r>
      <w:r w:rsidRPr="00D40191">
        <w:t>ery Funding Arrangements (DRFA).</w:t>
      </w:r>
      <w:r w:rsidR="00A93992">
        <w:t xml:space="preserve"> </w:t>
      </w:r>
    </w:p>
    <w:p w14:paraId="6DB3F5A8" w14:textId="77777777" w:rsidR="002F3E48" w:rsidRPr="00B5763E" w:rsidRDefault="002F3E48" w:rsidP="000A288F">
      <w:pPr>
        <w:pStyle w:val="NormalIndent"/>
      </w:pPr>
      <w:r w:rsidRPr="001C32B9">
        <w:t xml:space="preserve">The </w:t>
      </w:r>
      <w:r>
        <w:t xml:space="preserve">DRFA is intended </w:t>
      </w:r>
      <w:r w:rsidRPr="001C32B9">
        <w:t xml:space="preserve">to support relief and recovery measures delivered by </w:t>
      </w:r>
      <w:r>
        <w:t xml:space="preserve">the states. In Victoria and </w:t>
      </w:r>
      <w:r w:rsidRPr="001C32B9">
        <w:t xml:space="preserve">under the DRFA, eligible reconstruction works are </w:t>
      </w:r>
      <w:r>
        <w:t xml:space="preserve">to be jointly </w:t>
      </w:r>
      <w:r w:rsidRPr="001C32B9">
        <w:t xml:space="preserve">funded by the </w:t>
      </w:r>
      <w:r>
        <w:t xml:space="preserve">Australian </w:t>
      </w:r>
      <w:r w:rsidRPr="001C32B9">
        <w:t xml:space="preserve">and Victorian </w:t>
      </w:r>
      <w:r w:rsidR="00780EFB">
        <w:t>g</w:t>
      </w:r>
      <w:r w:rsidRPr="001C32B9">
        <w:t xml:space="preserve">overnments. </w:t>
      </w:r>
    </w:p>
    <w:p w14:paraId="2BE42073" w14:textId="77777777" w:rsidR="006C1ED9" w:rsidRDefault="006C1ED9" w:rsidP="000A288F">
      <w:pPr>
        <w:pStyle w:val="NormalIndent"/>
      </w:pPr>
      <w:r>
        <w:t xml:space="preserve">Under the DRFA, the </w:t>
      </w:r>
      <w:r w:rsidR="00A20AD4">
        <w:t xml:space="preserve">Australian Government </w:t>
      </w:r>
      <w:r>
        <w:t>will reimburse the states under a</w:t>
      </w:r>
      <w:r w:rsidR="00C21727">
        <w:t xml:space="preserve"> certified</w:t>
      </w:r>
      <w:r>
        <w:t xml:space="preserve"> estimate-based model for</w:t>
      </w:r>
      <w:r w:rsidR="00337CFF">
        <w:t xml:space="preserve"> the</w:t>
      </w:r>
      <w:r>
        <w:t xml:space="preserve"> Reconstruction of Essential Public Assets (REPA) following </w:t>
      </w:r>
      <w:r w:rsidR="00C806C7">
        <w:t>an eligible disaster</w:t>
      </w:r>
      <w:r>
        <w:t xml:space="preserve">. </w:t>
      </w:r>
      <w:r w:rsidR="00AC215D">
        <w:t>The DRFA specifies that</w:t>
      </w:r>
      <w:r>
        <w:t>:</w:t>
      </w:r>
    </w:p>
    <w:p w14:paraId="69BD9D56" w14:textId="77777777" w:rsidR="006C1ED9" w:rsidRPr="006C1ED9" w:rsidRDefault="000D07DB" w:rsidP="00247466">
      <w:pPr>
        <w:pStyle w:val="Quote"/>
      </w:pPr>
      <w:r>
        <w:t>“</w:t>
      </w:r>
      <w:r w:rsidR="006C1ED9" w:rsidRPr="006C1ED9">
        <w:t xml:space="preserve">States must </w:t>
      </w:r>
      <w:r w:rsidR="006C1ED9" w:rsidRPr="00247466">
        <w:t>establish</w:t>
      </w:r>
      <w:r w:rsidR="006C1ED9" w:rsidRPr="006C1ED9">
        <w:t xml:space="preserve"> the estimated reconstruction cost for the reconstruction of an essential public asset through:</w:t>
      </w:r>
    </w:p>
    <w:p w14:paraId="2A49E9F9" w14:textId="77777777" w:rsidR="006C1ED9" w:rsidRPr="00247466" w:rsidRDefault="006C1ED9" w:rsidP="00247466">
      <w:pPr>
        <w:pStyle w:val="Listnumindent"/>
        <w:tabs>
          <w:tab w:val="clear" w:pos="1296"/>
          <w:tab w:val="num" w:pos="1764"/>
        </w:tabs>
        <w:ind w:left="1764"/>
        <w:rPr>
          <w:i/>
        </w:rPr>
      </w:pPr>
      <w:r w:rsidRPr="00247466">
        <w:rPr>
          <w:i/>
        </w:rPr>
        <w:t>market response, or</w:t>
      </w:r>
    </w:p>
    <w:p w14:paraId="70A1C75A" w14:textId="77777777" w:rsidR="006C1ED9" w:rsidRPr="00247466" w:rsidRDefault="006C1ED9" w:rsidP="00247466">
      <w:pPr>
        <w:pStyle w:val="Listnumindent"/>
        <w:tabs>
          <w:tab w:val="clear" w:pos="1296"/>
          <w:tab w:val="num" w:pos="1764"/>
        </w:tabs>
        <w:ind w:left="1764"/>
        <w:rPr>
          <w:i/>
        </w:rPr>
      </w:pPr>
      <w:r w:rsidRPr="00247466">
        <w:rPr>
          <w:i/>
        </w:rPr>
        <w:t>cost estimation.</w:t>
      </w:r>
    </w:p>
    <w:p w14:paraId="0969B5FE" w14:textId="77777777" w:rsidR="006C1ED9" w:rsidRDefault="006C1ED9" w:rsidP="00247466">
      <w:pPr>
        <w:pStyle w:val="Quote"/>
        <w:ind w:right="476"/>
      </w:pPr>
      <w:r w:rsidRPr="006C1ED9">
        <w:t>A critical step in this process is the estimate of the reconstruction cost of the essential public asset and identification of a total project cost. States must develop the estimated reconstruction cost for the reconstruction of an essential public asset comprising eligible state expenditure for construction, design and project management, contingency and cost escalation</w:t>
      </w:r>
      <w:r w:rsidR="00D24DA1">
        <w:t>.</w:t>
      </w:r>
      <w:r w:rsidR="00263881">
        <w:t>”</w:t>
      </w:r>
      <w:r w:rsidR="00247466">
        <w:t xml:space="preserve"> (DRFA 2018, Section </w:t>
      </w:r>
      <w:r w:rsidR="002944E4">
        <w:t>6.4.2–6.4.3)</w:t>
      </w:r>
      <w:r w:rsidR="00780EFB">
        <w:t>.</w:t>
      </w:r>
    </w:p>
    <w:p w14:paraId="37779323" w14:textId="77777777" w:rsidR="006C1ED9" w:rsidRDefault="006C1ED9" w:rsidP="000A288F">
      <w:pPr>
        <w:pStyle w:val="NormalIndent"/>
      </w:pPr>
      <w:r w:rsidRPr="00BD0A05">
        <w:t>Consistency in the application of overhead</w:t>
      </w:r>
      <w:r w:rsidR="003A4041">
        <w:t xml:space="preserve">, </w:t>
      </w:r>
      <w:r w:rsidRPr="00BD0A05">
        <w:t>indirect allowances</w:t>
      </w:r>
      <w:r w:rsidR="003A4041">
        <w:t xml:space="preserve"> and contingency</w:t>
      </w:r>
      <w:r w:rsidRPr="00BD0A05">
        <w:t xml:space="preserve"> is crucial across the program of works</w:t>
      </w:r>
      <w:r>
        <w:t xml:space="preserve"> from both a controls perspective and to ensure auditability.</w:t>
      </w:r>
    </w:p>
    <w:p w14:paraId="01547298" w14:textId="77777777" w:rsidR="005B0A56" w:rsidRPr="00EE796F" w:rsidRDefault="003037F1" w:rsidP="00A91244">
      <w:pPr>
        <w:pStyle w:val="Heading2numbered"/>
      </w:pPr>
      <w:bookmarkStart w:id="11" w:name="_Ref170023236"/>
      <w:bookmarkStart w:id="12" w:name="_Ref171752613"/>
      <w:bookmarkStart w:id="13" w:name="_Toc373914670"/>
      <w:bookmarkStart w:id="14" w:name="_Toc170127150"/>
      <w:bookmarkEnd w:id="7"/>
      <w:r w:rsidRPr="00EE796F">
        <w:t>P</w:t>
      </w:r>
      <w:r w:rsidR="005B0A56" w:rsidRPr="00EE796F">
        <w:t>urpose</w:t>
      </w:r>
      <w:bookmarkEnd w:id="10"/>
      <w:bookmarkEnd w:id="11"/>
      <w:bookmarkEnd w:id="12"/>
      <w:bookmarkEnd w:id="13"/>
      <w:bookmarkEnd w:id="14"/>
    </w:p>
    <w:p w14:paraId="1FBCF2A2" w14:textId="0DECE566" w:rsidR="009448BD" w:rsidRDefault="00AC215D" w:rsidP="000A288F">
      <w:pPr>
        <w:pStyle w:val="NormalIndent"/>
      </w:pPr>
      <w:bookmarkStart w:id="15" w:name="_Toc58149988"/>
      <w:bookmarkStart w:id="16" w:name="_Ref169929528"/>
      <w:bookmarkStart w:id="17" w:name="_Toc373914671"/>
      <w:r>
        <w:t>T</w:t>
      </w:r>
      <w:r w:rsidR="009448BD">
        <w:t xml:space="preserve">his guideline </w:t>
      </w:r>
      <w:r>
        <w:t>documents</w:t>
      </w:r>
      <w:r w:rsidR="009448BD">
        <w:t xml:space="preserve"> the process adopted by the State of Victoria </w:t>
      </w:r>
      <w:r>
        <w:t xml:space="preserve">for </w:t>
      </w:r>
      <w:r w:rsidR="009448BD">
        <w:t>developing a</w:t>
      </w:r>
      <w:r w:rsidR="00C21727">
        <w:t xml:space="preserve"> certified</w:t>
      </w:r>
      <w:r w:rsidR="009448BD">
        <w:t xml:space="preserve"> </w:t>
      </w:r>
      <w:r w:rsidR="009448BD" w:rsidRPr="006C1ED9">
        <w:t>estimated reconstruction cost</w:t>
      </w:r>
      <w:r w:rsidR="009448BD">
        <w:t xml:space="preserve"> following an </w:t>
      </w:r>
      <w:r>
        <w:t xml:space="preserve">eligible </w:t>
      </w:r>
      <w:r w:rsidR="009448BD">
        <w:t>disaster</w:t>
      </w:r>
      <w:r>
        <w:t xml:space="preserve"> and is consistent</w:t>
      </w:r>
      <w:r w:rsidR="009448BD">
        <w:t xml:space="preserve"> with the </w:t>
      </w:r>
      <w:r w:rsidR="009448BD" w:rsidRPr="00BE65A9">
        <w:t xml:space="preserve">requirements </w:t>
      </w:r>
      <w:r w:rsidR="00BE65A9">
        <w:t xml:space="preserve">under Category B </w:t>
      </w:r>
      <w:r w:rsidR="009448BD" w:rsidRPr="00BE65A9">
        <w:t>of the DRFA</w:t>
      </w:r>
      <w:r w:rsidR="007F0D5F" w:rsidRPr="00BE65A9">
        <w:t xml:space="preserve"> published by the Australian Government</w:t>
      </w:r>
      <w:r w:rsidR="009448BD" w:rsidRPr="00BE65A9">
        <w:t>.</w:t>
      </w:r>
      <w:r w:rsidR="00685F3D" w:rsidRPr="00BE65A9">
        <w:t xml:space="preserve"> The guideline also documents the twenty-</w:t>
      </w:r>
      <w:r w:rsidR="00E042F9">
        <w:t>five</w:t>
      </w:r>
      <w:r w:rsidR="00685F3D" w:rsidRPr="00BE65A9">
        <w:t xml:space="preserve"> (2</w:t>
      </w:r>
      <w:r w:rsidR="00E042F9">
        <w:t>5</w:t>
      </w:r>
      <w:r w:rsidR="00685F3D" w:rsidRPr="00BE65A9">
        <w:t>) standard treatments associated with reconstruction works and the five (5) standard treatments associated</w:t>
      </w:r>
      <w:r w:rsidR="00685F3D">
        <w:t xml:space="preserve"> with emergency works, and </w:t>
      </w:r>
      <w:r w:rsidR="00685F3D" w:rsidRPr="009B365A">
        <w:t xml:space="preserve">the work activities and scope of works included in each of these treatments, under </w:t>
      </w:r>
      <w:hyperlink r:id="rId17" w:history="1">
        <w:r w:rsidR="00685F3D" w:rsidRPr="009B365A">
          <w:rPr>
            <w:rStyle w:val="Hyperlink"/>
            <w:color w:val="auto"/>
          </w:rPr>
          <w:t>Guideline 2 Appendix B Standard Treatments</w:t>
        </w:r>
      </w:hyperlink>
      <w:r w:rsidR="00302A33">
        <w:t>.</w:t>
      </w:r>
    </w:p>
    <w:p w14:paraId="2EB4FA49" w14:textId="77777777" w:rsidR="002338F3" w:rsidRDefault="002338F3" w:rsidP="000A288F">
      <w:pPr>
        <w:pStyle w:val="NormalIndent"/>
      </w:pPr>
      <w:r>
        <w:t xml:space="preserve">This Guideline should be read in conjunction with </w:t>
      </w:r>
      <w:r w:rsidRPr="00AF7BDB">
        <w:rPr>
          <w:b/>
          <w:bCs/>
        </w:rPr>
        <w:t>Guideline 1: Claims and eligibility for essential public assets</w:t>
      </w:r>
      <w:r>
        <w:t>.</w:t>
      </w:r>
    </w:p>
    <w:p w14:paraId="6FF281CB" w14:textId="77777777" w:rsidR="00BE65A9" w:rsidRDefault="00BE65A9" w:rsidP="00BE65A9">
      <w:pPr>
        <w:pStyle w:val="BodyText"/>
        <w:spacing w:before="161" w:line="252" w:lineRule="auto"/>
        <w:ind w:left="792" w:right="333"/>
      </w:pPr>
      <w:r>
        <w:t xml:space="preserve">The five (5) standard treatments associated with emergency works are not included in the estimating tool but can be used in the </w:t>
      </w:r>
      <w:hyperlink r:id="rId18" w:history="1">
        <w:r w:rsidRPr="009B365A">
          <w:rPr>
            <w:rStyle w:val="Hyperlink"/>
            <w:color w:val="auto"/>
          </w:rPr>
          <w:t>V Form B-EW form</w:t>
        </w:r>
      </w:hyperlink>
      <w:r w:rsidRPr="009B365A">
        <w:t>.</w:t>
      </w:r>
    </w:p>
    <w:p w14:paraId="456A44F1" w14:textId="77777777" w:rsidR="00BE65A9" w:rsidRDefault="00BE65A9" w:rsidP="00BE65A9">
      <w:pPr>
        <w:pStyle w:val="BodyText"/>
        <w:spacing w:before="161" w:line="252" w:lineRule="auto"/>
        <w:ind w:left="792" w:right="333"/>
      </w:pPr>
      <w:r>
        <w:t>The Category B works on essential public assets is as per the hierarchy below:</w:t>
      </w:r>
    </w:p>
    <w:p w14:paraId="18E39AE9" w14:textId="77777777" w:rsidR="00BE65A9" w:rsidRDefault="00BE65A9" w:rsidP="00BE65A9">
      <w:pPr>
        <w:pStyle w:val="BodyText"/>
        <w:spacing w:before="6"/>
        <w:rPr>
          <w:sz w:val="23"/>
        </w:rPr>
      </w:pPr>
    </w:p>
    <w:p w14:paraId="6EBA8973" w14:textId="77777777" w:rsidR="00BE65A9" w:rsidRDefault="00BE65A9" w:rsidP="00BE65A9">
      <w:pPr>
        <w:pStyle w:val="BodyText"/>
        <w:spacing w:before="161" w:line="252" w:lineRule="auto"/>
        <w:ind w:left="792" w:right="333"/>
        <w:rPr>
          <w:b/>
          <w:bCs/>
          <w:color w:val="1F1446"/>
          <w:spacing w:val="-2"/>
          <w:sz w:val="36"/>
          <w:szCs w:val="36"/>
        </w:rPr>
      </w:pPr>
      <w:r>
        <w:rPr>
          <w:noProof/>
          <w:szCs w:val="20"/>
        </w:rPr>
        <w:lastRenderedPageBreak/>
        <w:drawing>
          <wp:inline distT="0" distB="0" distL="0" distR="0" wp14:anchorId="5F42E325" wp14:editId="2410ECD7">
            <wp:extent cx="4391025" cy="2533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025" cy="2533650"/>
                    </a:xfrm>
                    <a:prstGeom prst="rect">
                      <a:avLst/>
                    </a:prstGeom>
                    <a:noFill/>
                    <a:ln>
                      <a:noFill/>
                    </a:ln>
                  </pic:spPr>
                </pic:pic>
              </a:graphicData>
            </a:graphic>
          </wp:inline>
        </w:drawing>
      </w:r>
    </w:p>
    <w:p w14:paraId="0537F273" w14:textId="77777777" w:rsidR="005B0A56" w:rsidRPr="00EE796F" w:rsidRDefault="005B0A56" w:rsidP="00A91244">
      <w:pPr>
        <w:pStyle w:val="Heading2numbered"/>
      </w:pPr>
      <w:bookmarkStart w:id="18" w:name="_Toc170127151"/>
      <w:r w:rsidRPr="00EE796F">
        <w:t>Scope</w:t>
      </w:r>
      <w:bookmarkEnd w:id="15"/>
      <w:bookmarkEnd w:id="16"/>
      <w:bookmarkEnd w:id="17"/>
      <w:bookmarkEnd w:id="18"/>
    </w:p>
    <w:p w14:paraId="4E5CC805" w14:textId="77777777" w:rsidR="009448BD" w:rsidRPr="001C32B9" w:rsidRDefault="009448BD" w:rsidP="000A288F">
      <w:pPr>
        <w:pStyle w:val="NormalIndent"/>
      </w:pPr>
      <w:bookmarkStart w:id="19" w:name="_Toc58149989"/>
      <w:bookmarkStart w:id="20" w:name="_Toc41659994"/>
      <w:r w:rsidRPr="001C32B9">
        <w:t>Th</w:t>
      </w:r>
      <w:r>
        <w:t>is guideline applies</w:t>
      </w:r>
      <w:r w:rsidRPr="001C32B9">
        <w:t xml:space="preserve"> to</w:t>
      </w:r>
      <w:r w:rsidR="00C21727">
        <w:t xml:space="preserve"> all emergency and reconstruction </w:t>
      </w:r>
      <w:r w:rsidRPr="001C32B9">
        <w:t xml:space="preserve">works undertaken following damage from </w:t>
      </w:r>
      <w:r w:rsidR="00D24DA1">
        <w:t>eligible</w:t>
      </w:r>
      <w:r w:rsidRPr="001C32B9">
        <w:t xml:space="preserve"> disaster</w:t>
      </w:r>
      <w:r w:rsidR="00D24DA1">
        <w:t>s</w:t>
      </w:r>
      <w:r w:rsidRPr="001C32B9">
        <w:t xml:space="preserve"> activated under </w:t>
      </w:r>
      <w:bookmarkStart w:id="21" w:name="_Hlk113017029"/>
      <w:r w:rsidRPr="00E20B07">
        <w:rPr>
          <w:i/>
        </w:rPr>
        <w:t>Category B</w:t>
      </w:r>
      <w:r w:rsidR="009A5738" w:rsidRPr="00E20B07">
        <w:rPr>
          <w:i/>
        </w:rPr>
        <w:t>, 4.3.2</w:t>
      </w:r>
      <w:r w:rsidR="00C21727">
        <w:rPr>
          <w:i/>
        </w:rPr>
        <w:t xml:space="preserve">(b), (c) and </w:t>
      </w:r>
      <w:r w:rsidR="009A5738" w:rsidRPr="00E20B07">
        <w:rPr>
          <w:i/>
        </w:rPr>
        <w:t>(d)</w:t>
      </w:r>
      <w:r w:rsidRPr="001C32B9">
        <w:t xml:space="preserve"> of the DRFA. </w:t>
      </w:r>
      <w:r w:rsidR="00530EE3">
        <w:t xml:space="preserve">Counter disaster operations </w:t>
      </w:r>
      <w:proofErr w:type="gramStart"/>
      <w:r w:rsidR="00530EE3">
        <w:t>is</w:t>
      </w:r>
      <w:proofErr w:type="gramEnd"/>
      <w:r w:rsidR="00530EE3">
        <w:t xml:space="preserve"> out of scope for the purpose of this Guideline.</w:t>
      </w:r>
    </w:p>
    <w:p w14:paraId="58724207" w14:textId="77777777" w:rsidR="004E6620" w:rsidRPr="00EE796F" w:rsidRDefault="004E6620" w:rsidP="00A91244">
      <w:pPr>
        <w:pStyle w:val="Heading2numbered"/>
      </w:pPr>
      <w:bookmarkStart w:id="22" w:name="_Toc170127152"/>
      <w:bookmarkEnd w:id="21"/>
      <w:r w:rsidRPr="00EE796F">
        <w:t>Timeframes</w:t>
      </w:r>
      <w:bookmarkEnd w:id="22"/>
    </w:p>
    <w:p w14:paraId="325BFB0F" w14:textId="77777777" w:rsidR="004E6620" w:rsidRDefault="004E6620" w:rsidP="00247466">
      <w:pPr>
        <w:pStyle w:val="NormalIndent"/>
        <w:keepNext/>
      </w:pPr>
      <w:r w:rsidRPr="00E076D7">
        <w:t>Identification of damage, scoping of works, investigations and design and estimation of project costs should occur as soon a</w:t>
      </w:r>
      <w:r>
        <w:t>s reasonably practical</w:t>
      </w:r>
      <w:r w:rsidRPr="00E076D7">
        <w:t xml:space="preserve"> following an event. </w:t>
      </w:r>
    </w:p>
    <w:p w14:paraId="0DBB333D" w14:textId="093A0D30" w:rsidR="00486234" w:rsidRDefault="004E6620" w:rsidP="000A288F">
      <w:pPr>
        <w:pStyle w:val="NormalIndent"/>
      </w:pPr>
      <w:r>
        <w:t>Endeavours should be made to sufficiently design, quantify and mitigate project specific risks</w:t>
      </w:r>
      <w:r w:rsidR="009448BD">
        <w:t xml:space="preserve"> to provide</w:t>
      </w:r>
      <w:r>
        <w:t xml:space="preserve"> greater confidence in the estimated project costs</w:t>
      </w:r>
      <w:r w:rsidR="00171A01">
        <w:t xml:space="preserve"> through a </w:t>
      </w:r>
      <w:r w:rsidR="00BE65A9">
        <w:t xml:space="preserve">Certified Estimate </w:t>
      </w:r>
      <w:r w:rsidR="00171A01">
        <w:t>Works Package</w:t>
      </w:r>
      <w:r>
        <w:t xml:space="preserve">. </w:t>
      </w:r>
      <w:r w:rsidR="00171A01">
        <w:t xml:space="preserve">All </w:t>
      </w:r>
      <w:r w:rsidR="00BE65A9">
        <w:t xml:space="preserve">Certified Estimate </w:t>
      </w:r>
      <w:r w:rsidR="00171A01">
        <w:t>Works Packages</w:t>
      </w:r>
      <w:r w:rsidRPr="00E076D7">
        <w:t xml:space="preserve"> must be submitted to the </w:t>
      </w:r>
      <w:r w:rsidR="00334A59">
        <w:t>Assessing Authority</w:t>
      </w:r>
      <w:r w:rsidRPr="00E076D7">
        <w:t xml:space="preserve"> no later than </w:t>
      </w:r>
      <w:r w:rsidR="00430204">
        <w:t>31 March in the financial year after the</w:t>
      </w:r>
      <w:r w:rsidRPr="00E076D7">
        <w:t xml:space="preserve"> </w:t>
      </w:r>
      <w:r w:rsidRPr="000A288F">
        <w:t>eligible</w:t>
      </w:r>
      <w:r w:rsidRPr="00E076D7">
        <w:t xml:space="preserve"> disaster occurred</w:t>
      </w:r>
      <w:r w:rsidR="00A62DBE">
        <w:t>, and prior to undertaking the reconstruction works</w:t>
      </w:r>
      <w:r w:rsidRPr="00E076D7">
        <w:t>.</w:t>
      </w:r>
      <w:r w:rsidR="002C28A0">
        <w:t xml:space="preserve"> </w:t>
      </w:r>
      <w:r w:rsidR="00701EBF">
        <w:t xml:space="preserve">For market response estimate packages, this includes the preferred tender, which details the scope and applicable rates. </w:t>
      </w:r>
      <w:r w:rsidR="002C28A0">
        <w:t>REPA works must be completed within</w:t>
      </w:r>
      <w:r w:rsidR="0063425D">
        <w:t xml:space="preserve"> </w:t>
      </w:r>
      <w:r w:rsidR="005C2F8D">
        <w:t>two</w:t>
      </w:r>
      <w:r w:rsidR="002C28A0">
        <w:t xml:space="preserve"> years from the end of the financial year in which the eligible disaster occurred. </w:t>
      </w:r>
    </w:p>
    <w:p w14:paraId="61A954E5" w14:textId="77777777" w:rsidR="004E6620" w:rsidRPr="00EE796F" w:rsidRDefault="004E6620" w:rsidP="00A91244">
      <w:pPr>
        <w:pStyle w:val="Heading2numbered"/>
      </w:pPr>
      <w:bookmarkStart w:id="23" w:name="_Toc170127153"/>
      <w:r w:rsidRPr="00EE796F">
        <w:t xml:space="preserve">Estimate by </w:t>
      </w:r>
      <w:r w:rsidR="00E4115D">
        <w:t>p</w:t>
      </w:r>
      <w:r w:rsidR="00E4115D" w:rsidRPr="00EE796F">
        <w:t>rojects</w:t>
      </w:r>
      <w:bookmarkEnd w:id="23"/>
    </w:p>
    <w:p w14:paraId="382AB5B3" w14:textId="77777777" w:rsidR="004E6620" w:rsidRPr="00641782" w:rsidRDefault="004E6620" w:rsidP="000A288F">
      <w:pPr>
        <w:pStyle w:val="NormalIndent"/>
      </w:pPr>
      <w:proofErr w:type="gramStart"/>
      <w:r w:rsidRPr="00641782">
        <w:t>For the purpose of</w:t>
      </w:r>
      <w:proofErr w:type="gramEnd"/>
      <w:r w:rsidRPr="00641782">
        <w:t xml:space="preserve"> defining a project, a project shall be considered one of the following:</w:t>
      </w:r>
    </w:p>
    <w:p w14:paraId="59896C11" w14:textId="77777777" w:rsidR="004E6620" w:rsidRPr="00641782" w:rsidRDefault="00C5189F" w:rsidP="00247466">
      <w:pPr>
        <w:pStyle w:val="Bulletindent"/>
      </w:pPr>
      <w:r>
        <w:t>a</w:t>
      </w:r>
      <w:r w:rsidR="004E6620" w:rsidRPr="00641782">
        <w:t xml:space="preserve"> single </w:t>
      </w:r>
      <w:r w:rsidR="00B71B35">
        <w:t xml:space="preserve">essential public </w:t>
      </w:r>
      <w:r w:rsidR="004E6620" w:rsidRPr="00641782">
        <w:t>asset</w:t>
      </w:r>
      <w:r w:rsidR="00B71B35">
        <w:t>, or</w:t>
      </w:r>
    </w:p>
    <w:p w14:paraId="0803B26E" w14:textId="77777777" w:rsidR="004E6620" w:rsidRPr="00641782" w:rsidRDefault="00B71B35" w:rsidP="00247466">
      <w:pPr>
        <w:pStyle w:val="Bulletindent"/>
      </w:pPr>
      <w:r>
        <w:t>a group of related essential public assets which could be contracted jointly</w:t>
      </w:r>
      <w:r w:rsidR="00C5189F">
        <w:t>.</w:t>
      </w:r>
    </w:p>
    <w:p w14:paraId="10E0C8CE" w14:textId="77777777" w:rsidR="004E6620" w:rsidRDefault="004E6620" w:rsidP="000A288F">
      <w:pPr>
        <w:pStyle w:val="NormalIndent"/>
      </w:pPr>
      <w:r w:rsidRPr="00641782">
        <w:t>For the purposes of ongoing document control and audit, efforts should be made to align submissions with the intended packaging of works for delivery</w:t>
      </w:r>
      <w:r w:rsidR="00070206">
        <w:t xml:space="preserve"> or </w:t>
      </w:r>
      <w:r w:rsidRPr="00641782">
        <w:t>contract.</w:t>
      </w:r>
    </w:p>
    <w:p w14:paraId="1A844C13" w14:textId="77777777" w:rsidR="004E6620" w:rsidRPr="00641782" w:rsidRDefault="004E6620" w:rsidP="000A288F">
      <w:pPr>
        <w:pStyle w:val="NormalIndent"/>
      </w:pPr>
      <w:r>
        <w:t xml:space="preserve">All reconstruction projects within a given financial year should be included in a single claim to the </w:t>
      </w:r>
      <w:r w:rsidR="00334A59">
        <w:t>Assessing Authority</w:t>
      </w:r>
      <w:r>
        <w:t>.</w:t>
      </w:r>
    </w:p>
    <w:p w14:paraId="60672215" w14:textId="77777777" w:rsidR="00881F0C" w:rsidRPr="00EE796F" w:rsidRDefault="002725AB" w:rsidP="00A91244">
      <w:pPr>
        <w:pStyle w:val="Heading2numbered"/>
      </w:pPr>
      <w:bookmarkStart w:id="24" w:name="_Toc170127154"/>
      <w:bookmarkEnd w:id="19"/>
      <w:r w:rsidRPr="00EE796F">
        <w:lastRenderedPageBreak/>
        <w:t>A</w:t>
      </w:r>
      <w:r w:rsidR="00881F0C" w:rsidRPr="00EE796F">
        <w:t>pproach</w:t>
      </w:r>
      <w:bookmarkEnd w:id="24"/>
    </w:p>
    <w:p w14:paraId="6F936DC5" w14:textId="77777777" w:rsidR="00881F0C" w:rsidRDefault="002725AB" w:rsidP="000A288F">
      <w:pPr>
        <w:pStyle w:val="NormalIndent"/>
      </w:pPr>
      <w:r>
        <w:t xml:space="preserve">The estimated reconstruction cost should be </w:t>
      </w:r>
      <w:r w:rsidR="00A20AD4">
        <w:t>established</w:t>
      </w:r>
      <w:r>
        <w:t xml:space="preserve"> by determining the base estimate on which contingency and escalation is applied as a percentage. The base estimate should include:</w:t>
      </w:r>
    </w:p>
    <w:p w14:paraId="05E71F39" w14:textId="77777777" w:rsidR="002725AB" w:rsidRDefault="00070206" w:rsidP="00247466">
      <w:pPr>
        <w:pStyle w:val="Bulletindent"/>
      </w:pPr>
      <w:r>
        <w:t>d</w:t>
      </w:r>
      <w:r w:rsidR="002725AB">
        <w:t>irect costs</w:t>
      </w:r>
      <w:r w:rsidR="00005F02">
        <w:t>; and</w:t>
      </w:r>
    </w:p>
    <w:p w14:paraId="0EA57C8A" w14:textId="77777777" w:rsidR="002725AB" w:rsidRDefault="00070206" w:rsidP="00247466">
      <w:pPr>
        <w:pStyle w:val="Bulletindent"/>
      </w:pPr>
      <w:r>
        <w:t>i</w:t>
      </w:r>
      <w:r w:rsidR="002725AB">
        <w:t>ndirect costs (</w:t>
      </w:r>
      <w:r w:rsidR="00DA06EC">
        <w:t xml:space="preserve">design and </w:t>
      </w:r>
      <w:r w:rsidR="002725AB">
        <w:t>project management costs).</w:t>
      </w:r>
    </w:p>
    <w:p w14:paraId="7DA781C3" w14:textId="3CADFA91" w:rsidR="00881F0C" w:rsidRDefault="00881F0C" w:rsidP="00247466">
      <w:pPr>
        <w:pStyle w:val="Tablechartdiagramheading"/>
        <w:ind w:left="792"/>
      </w:pPr>
      <w:r>
        <w:t xml:space="preserve">Figure </w:t>
      </w:r>
      <w:r>
        <w:rPr>
          <w:noProof/>
        </w:rPr>
        <w:fldChar w:fldCharType="begin"/>
      </w:r>
      <w:r>
        <w:rPr>
          <w:noProof/>
        </w:rPr>
        <w:instrText xml:space="preserve"> SEQ Figure \* ARABIC </w:instrText>
      </w:r>
      <w:r>
        <w:rPr>
          <w:noProof/>
        </w:rPr>
        <w:fldChar w:fldCharType="separate"/>
      </w:r>
      <w:r w:rsidR="00972940">
        <w:rPr>
          <w:noProof/>
        </w:rPr>
        <w:t>1</w:t>
      </w:r>
      <w:r>
        <w:rPr>
          <w:noProof/>
        </w:rPr>
        <w:fldChar w:fldCharType="end"/>
      </w:r>
      <w:r>
        <w:t>:</w:t>
      </w:r>
      <w:r w:rsidR="005C2F8D">
        <w:t xml:space="preserve"> </w:t>
      </w:r>
      <w:r w:rsidR="00E05B5D">
        <w:t>B</w:t>
      </w:r>
      <w:r>
        <w:t>reakdown</w:t>
      </w:r>
      <w:r w:rsidR="00E05B5D">
        <w:t xml:space="preserve"> of estimated reconstruction cost</w:t>
      </w:r>
    </w:p>
    <w:p w14:paraId="1E2A088F" w14:textId="77777777" w:rsidR="00486234" w:rsidRPr="00486234" w:rsidRDefault="00486234" w:rsidP="00247466">
      <w:pPr>
        <w:pStyle w:val="NormalIndent"/>
      </w:pPr>
      <w:r>
        <w:rPr>
          <w:noProof/>
        </w:rPr>
        <w:drawing>
          <wp:inline distT="0" distB="0" distL="0" distR="0" wp14:anchorId="385ACB3F" wp14:editId="0E34133F">
            <wp:extent cx="5147875" cy="1044379"/>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8142" cy="1048491"/>
                    </a:xfrm>
                    <a:prstGeom prst="rect">
                      <a:avLst/>
                    </a:prstGeom>
                    <a:noFill/>
                  </pic:spPr>
                </pic:pic>
              </a:graphicData>
            </a:graphic>
          </wp:inline>
        </w:drawing>
      </w:r>
    </w:p>
    <w:p w14:paraId="4D970D05" w14:textId="77777777" w:rsidR="00E05B5D" w:rsidRDefault="00E05B5D" w:rsidP="000A288F">
      <w:pPr>
        <w:pStyle w:val="NormalIndent"/>
      </w:pPr>
      <w:r>
        <w:t>Refer to the following sections for detailed guidance on each component of the estimated reconstruction cost:</w:t>
      </w:r>
    </w:p>
    <w:p w14:paraId="36DB6610" w14:textId="77777777" w:rsidR="00E05B5D" w:rsidRDefault="005468FF" w:rsidP="00247466">
      <w:pPr>
        <w:pStyle w:val="Bulletindent"/>
      </w:pPr>
      <w:r>
        <w:t>d</w:t>
      </w:r>
      <w:r w:rsidR="00E05B5D">
        <w:t xml:space="preserve">irect costs, Section </w:t>
      </w:r>
      <w:proofErr w:type="gramStart"/>
      <w:r w:rsidR="00E05B5D">
        <w:t>2</w:t>
      </w:r>
      <w:r w:rsidR="00005F02">
        <w:t>;</w:t>
      </w:r>
      <w:proofErr w:type="gramEnd"/>
    </w:p>
    <w:p w14:paraId="19E74736" w14:textId="77777777" w:rsidR="00E05B5D" w:rsidRDefault="005468FF" w:rsidP="00247466">
      <w:pPr>
        <w:pStyle w:val="Bulletindent"/>
      </w:pPr>
      <w:r>
        <w:t>i</w:t>
      </w:r>
      <w:r w:rsidR="00E05B5D">
        <w:t xml:space="preserve">ndirect costs, Section </w:t>
      </w:r>
      <w:proofErr w:type="gramStart"/>
      <w:r w:rsidR="00E05B5D">
        <w:t>3</w:t>
      </w:r>
      <w:r w:rsidR="00005F02">
        <w:t>;</w:t>
      </w:r>
      <w:proofErr w:type="gramEnd"/>
    </w:p>
    <w:p w14:paraId="58A39C76" w14:textId="77777777" w:rsidR="00E05B5D" w:rsidRDefault="005468FF" w:rsidP="00247466">
      <w:pPr>
        <w:pStyle w:val="Bulletindent"/>
      </w:pPr>
      <w:r>
        <w:t>c</w:t>
      </w:r>
      <w:r w:rsidR="00E05B5D">
        <w:t>ontingency, Section 4</w:t>
      </w:r>
      <w:r w:rsidR="00005F02">
        <w:t>; and</w:t>
      </w:r>
    </w:p>
    <w:p w14:paraId="17B63D67" w14:textId="77777777" w:rsidR="00E05B5D" w:rsidRDefault="005468FF" w:rsidP="00247466">
      <w:pPr>
        <w:pStyle w:val="Bulletindent"/>
      </w:pPr>
      <w:r>
        <w:t>e</w:t>
      </w:r>
      <w:r w:rsidR="00E05B5D">
        <w:t>scalation, Section 5.</w:t>
      </w:r>
    </w:p>
    <w:p w14:paraId="455E466D" w14:textId="77777777" w:rsidR="00A20AD4" w:rsidRPr="00EE796F" w:rsidRDefault="004E6620" w:rsidP="00AF7BDB">
      <w:pPr>
        <w:pStyle w:val="Heading1numbered"/>
        <w:numPr>
          <w:ilvl w:val="2"/>
          <w:numId w:val="27"/>
        </w:numPr>
      </w:pPr>
      <w:bookmarkStart w:id="25" w:name="_Toc170127155"/>
      <w:r w:rsidRPr="00EE796F">
        <w:t xml:space="preserve">Direct </w:t>
      </w:r>
      <w:r w:rsidR="00005F02">
        <w:t>c</w:t>
      </w:r>
      <w:r w:rsidRPr="00EE796F">
        <w:t>osts</w:t>
      </w:r>
      <w:bookmarkEnd w:id="25"/>
    </w:p>
    <w:p w14:paraId="4CC08B4E" w14:textId="77777777" w:rsidR="00A20AD4" w:rsidRPr="00A20AD4" w:rsidRDefault="00A20AD4" w:rsidP="000A288F">
      <w:pPr>
        <w:pStyle w:val="NormalIndent"/>
      </w:pPr>
      <w:r w:rsidRPr="00A20AD4">
        <w:t>The</w:t>
      </w:r>
      <w:r>
        <w:t xml:space="preserve"> first component of the</w:t>
      </w:r>
      <w:r w:rsidRPr="00A20AD4">
        <w:t xml:space="preserve"> estimated reconstruction </w:t>
      </w:r>
      <w:r>
        <w:t xml:space="preserve">is direct costs. Direct </w:t>
      </w:r>
      <w:r w:rsidRPr="00A20AD4">
        <w:t>cost</w:t>
      </w:r>
      <w:r>
        <w:t>s</w:t>
      </w:r>
      <w:r w:rsidRPr="00A20AD4">
        <w:t xml:space="preserve"> may be established </w:t>
      </w:r>
      <w:r>
        <w:t>through cost estimation or market response. The following sections provide guidance for the application of these approaches.</w:t>
      </w:r>
      <w:r w:rsidR="005C2F8D">
        <w:t xml:space="preserve"> </w:t>
      </w:r>
    </w:p>
    <w:p w14:paraId="11AD02A9" w14:textId="77777777" w:rsidR="00FA0326" w:rsidRPr="00EE796F" w:rsidRDefault="00560EE9" w:rsidP="00A91244">
      <w:pPr>
        <w:pStyle w:val="Heading2numbered"/>
      </w:pPr>
      <w:bookmarkStart w:id="26" w:name="_Toc170127156"/>
      <w:r>
        <w:t xml:space="preserve">Cost </w:t>
      </w:r>
      <w:r w:rsidR="00005F02">
        <w:t>e</w:t>
      </w:r>
      <w:r w:rsidR="004E6620" w:rsidRPr="00EE796F">
        <w:t>stimation</w:t>
      </w:r>
      <w:bookmarkEnd w:id="26"/>
    </w:p>
    <w:p w14:paraId="354BC046" w14:textId="77777777" w:rsidR="004E6620" w:rsidRPr="00C1511C" w:rsidRDefault="004E6620" w:rsidP="00A91244">
      <w:pPr>
        <w:pStyle w:val="Heading3numbered"/>
      </w:pPr>
      <w:bookmarkStart w:id="27" w:name="_Toc170127157"/>
      <w:r w:rsidRPr="00C1511C">
        <w:t>Process</w:t>
      </w:r>
      <w:bookmarkEnd w:id="27"/>
    </w:p>
    <w:p w14:paraId="361BFDB8" w14:textId="77777777" w:rsidR="004E6620" w:rsidRDefault="004E6620" w:rsidP="000A288F">
      <w:pPr>
        <w:pStyle w:val="NormalIndent"/>
      </w:pPr>
      <w:r>
        <w:t xml:space="preserve">Cost estimates, utilising the ‘cost estimation’ mechanism </w:t>
      </w:r>
      <w:r w:rsidR="00005F02">
        <w:t xml:space="preserve">is </w:t>
      </w:r>
      <w:r>
        <w:t xml:space="preserve">to be undertaken </w:t>
      </w:r>
      <w:r w:rsidR="00056B1E">
        <w:t>using</w:t>
      </w:r>
      <w:r>
        <w:t xml:space="preserve"> </w:t>
      </w:r>
      <w:r w:rsidR="00F672DA">
        <w:t>f</w:t>
      </w:r>
      <w:r>
        <w:t xml:space="preserve">irst </w:t>
      </w:r>
      <w:r w:rsidR="00F672DA">
        <w:t>p</w:t>
      </w:r>
      <w:r>
        <w:t xml:space="preserve">rinciples </w:t>
      </w:r>
      <w:r w:rsidR="00F672DA">
        <w:t>e</w:t>
      </w:r>
      <w:r>
        <w:t>stimation.</w:t>
      </w:r>
    </w:p>
    <w:p w14:paraId="6AE14FD6" w14:textId="3AC782FA" w:rsidR="004E6620" w:rsidRPr="007D533D" w:rsidRDefault="004E6620" w:rsidP="000A288F">
      <w:pPr>
        <w:pStyle w:val="NormalIndent"/>
      </w:pPr>
      <w:r>
        <w:t xml:space="preserve">To facilitate consistency </w:t>
      </w:r>
      <w:r w:rsidRPr="007D533D">
        <w:t xml:space="preserve">and ease of estimation, an estimating </w:t>
      </w:r>
      <w:r w:rsidR="00430204" w:rsidRPr="007D533D">
        <w:t>tool</w:t>
      </w:r>
      <w:r w:rsidRPr="007D533D">
        <w:t xml:space="preserve"> </w:t>
      </w:r>
      <w:r w:rsidR="00A20AD4" w:rsidRPr="007D533D">
        <w:t xml:space="preserve">for </w:t>
      </w:r>
      <w:r w:rsidRPr="007D533D">
        <w:t>standard treatments ha</w:t>
      </w:r>
      <w:r w:rsidR="00056B1E" w:rsidRPr="007D533D">
        <w:t>s</w:t>
      </w:r>
      <w:r w:rsidRPr="007D533D">
        <w:t xml:space="preserve"> been developed for typical and common type</w:t>
      </w:r>
      <w:r w:rsidR="00056B1E" w:rsidRPr="007D533D">
        <w:t>s</w:t>
      </w:r>
      <w:r w:rsidRPr="007D533D">
        <w:t xml:space="preserve"> of works undertaken in response to damage sustained from</w:t>
      </w:r>
      <w:r w:rsidR="00D24DA1" w:rsidRPr="007D533D">
        <w:t xml:space="preserve"> d</w:t>
      </w:r>
      <w:r w:rsidRPr="007D533D">
        <w:t xml:space="preserve">isasters. The estimating </w:t>
      </w:r>
      <w:r w:rsidR="00430204" w:rsidRPr="007D533D">
        <w:t>tool</w:t>
      </w:r>
      <w:r w:rsidRPr="007D533D">
        <w:t xml:space="preserve"> for standard treatments </w:t>
      </w:r>
      <w:r w:rsidR="00A20AD4" w:rsidRPr="007D533D">
        <w:t>can</w:t>
      </w:r>
      <w:r w:rsidR="006C4F92" w:rsidRPr="007D533D">
        <w:t xml:space="preserve"> be customised to the applicant</w:t>
      </w:r>
      <w:r w:rsidRPr="007D533D">
        <w:t>s</w:t>
      </w:r>
      <w:r w:rsidR="00334A59" w:rsidRPr="007D533D">
        <w:t>’</w:t>
      </w:r>
      <w:r w:rsidRPr="007D533D">
        <w:t xml:space="preserve"> local construction rates and specific arrangements.</w:t>
      </w:r>
      <w:r w:rsidR="002C28A0" w:rsidRPr="007D533D">
        <w:t xml:space="preserve"> All estimates are exclusive of Goods and Services Tax (GST).</w:t>
      </w:r>
      <w:r w:rsidR="00CA1D59" w:rsidRPr="007D533D">
        <w:t xml:space="preserve"> </w:t>
      </w:r>
      <w:r w:rsidR="006C358A" w:rsidRPr="007D533D">
        <w:t>From June 2024, w</w:t>
      </w:r>
      <w:r w:rsidR="00CA1D59" w:rsidRPr="007D533D">
        <w:t xml:space="preserve">here estimates are developed </w:t>
      </w:r>
      <w:r w:rsidR="00A200BD" w:rsidRPr="007D533D">
        <w:t xml:space="preserve">without the use of the </w:t>
      </w:r>
      <w:hyperlink r:id="rId21" w:history="1">
        <w:r w:rsidR="00A200BD" w:rsidRPr="007D533D">
          <w:rPr>
            <w:rStyle w:val="Hyperlink"/>
            <w:i/>
            <w:iCs/>
          </w:rPr>
          <w:t>Cost Estimation Tool (VT-CE),</w:t>
        </w:r>
      </w:hyperlink>
      <w:r w:rsidR="00A200BD" w:rsidRPr="007D533D">
        <w:rPr>
          <w:i/>
          <w:iCs/>
        </w:rPr>
        <w:t xml:space="preserve"> </w:t>
      </w:r>
      <w:r w:rsidR="00A200BD" w:rsidRPr="007D533D">
        <w:t xml:space="preserve">an estimate build-up using an alternative template may be used. Any alternative must provide an equivalent level of detail to the </w:t>
      </w:r>
      <w:hyperlink r:id="rId22" w:history="1">
        <w:r w:rsidR="00A200BD" w:rsidRPr="007D533D">
          <w:rPr>
            <w:rStyle w:val="Hyperlink"/>
            <w:i/>
            <w:iCs/>
          </w:rPr>
          <w:t>Cost Estimation Tool</w:t>
        </w:r>
      </w:hyperlink>
      <w:r w:rsidR="00A200BD" w:rsidRPr="007D533D">
        <w:t xml:space="preserve"> and align with </w:t>
      </w:r>
      <w:r w:rsidR="00A200BD" w:rsidRPr="007D533D">
        <w:rPr>
          <w:i/>
          <w:iCs/>
        </w:rPr>
        <w:t xml:space="preserve">the </w:t>
      </w:r>
      <w:hyperlink r:id="rId23" w:history="1">
        <w:r w:rsidR="00A200BD" w:rsidRPr="007D533D">
          <w:rPr>
            <w:rStyle w:val="Hyperlink"/>
            <w:i/>
            <w:iCs/>
          </w:rPr>
          <w:t>DRFA Standard Treatment Guidelines</w:t>
        </w:r>
      </w:hyperlink>
      <w:r w:rsidR="00A200BD" w:rsidRPr="007D533D">
        <w:t>.</w:t>
      </w:r>
    </w:p>
    <w:p w14:paraId="1CBE65D8" w14:textId="48F5F423" w:rsidR="00C26CBA" w:rsidRPr="007D533D" w:rsidRDefault="00C26CBA" w:rsidP="000A288F">
      <w:pPr>
        <w:pStyle w:val="NormalIndent"/>
      </w:pPr>
      <w:r w:rsidRPr="007D533D">
        <w:t>Where cost estimation is the selected method, Delivery Agencies must verify the estimated reconstruction cost by:</w:t>
      </w:r>
    </w:p>
    <w:p w14:paraId="07CC54DD" w14:textId="33F875E6" w:rsidR="00C26CBA" w:rsidRPr="007D533D" w:rsidRDefault="00C26CBA" w:rsidP="00765149">
      <w:pPr>
        <w:pStyle w:val="NormalIndent"/>
        <w:numPr>
          <w:ilvl w:val="0"/>
          <w:numId w:val="28"/>
        </w:numPr>
      </w:pPr>
      <w:r w:rsidRPr="007D533D">
        <w:lastRenderedPageBreak/>
        <w:t>Using a</w:t>
      </w:r>
      <w:r w:rsidR="00ED50A6" w:rsidRPr="007D533D">
        <w:t xml:space="preserve"> suitably qualified professional (such as a</w:t>
      </w:r>
      <w:r w:rsidRPr="007D533D">
        <w:t>n internal</w:t>
      </w:r>
      <w:r w:rsidR="00ED50A6" w:rsidRPr="007D533D">
        <w:t xml:space="preserve"> Delivery Agency</w:t>
      </w:r>
      <w:r w:rsidRPr="007D533D">
        <w:t xml:space="preserve"> engineer or quantity surveyor with the appropriate level of expertise and experience (from within the Delivery Agency)</w:t>
      </w:r>
      <w:r w:rsidR="00FF334D" w:rsidRPr="007D533D">
        <w:t xml:space="preserve"> </w:t>
      </w:r>
      <w:r w:rsidR="00FF334D" w:rsidRPr="007D533D">
        <w:rPr>
          <w:szCs w:val="17"/>
        </w:rPr>
        <w:t>as defined in the Glossary as a suitably qualified professional</w:t>
      </w:r>
      <w:r w:rsidRPr="007D533D">
        <w:t>; or</w:t>
      </w:r>
    </w:p>
    <w:p w14:paraId="343FE694" w14:textId="396AE6E2" w:rsidR="00C26CBA" w:rsidRPr="007D533D" w:rsidRDefault="00C26CBA" w:rsidP="00765149">
      <w:pPr>
        <w:pStyle w:val="NormalIndent"/>
        <w:numPr>
          <w:ilvl w:val="0"/>
          <w:numId w:val="28"/>
        </w:numPr>
      </w:pPr>
      <w:r w:rsidRPr="007D533D">
        <w:t>Engaging an independent engineer or quantity surveyor with the appropriate level of expertise and experience.</w:t>
      </w:r>
    </w:p>
    <w:p w14:paraId="678AE30F" w14:textId="77777777" w:rsidR="00C26CBA" w:rsidRPr="007D533D" w:rsidRDefault="00C26CBA" w:rsidP="000A288F">
      <w:pPr>
        <w:pStyle w:val="NormalIndent"/>
      </w:pPr>
    </w:p>
    <w:p w14:paraId="77EACD90" w14:textId="693DEE27" w:rsidR="00C26CBA" w:rsidRPr="007D533D" w:rsidRDefault="00C26CBA" w:rsidP="00C26CBA">
      <w:pPr>
        <w:pStyle w:val="NormalIndent"/>
      </w:pPr>
      <w:r w:rsidRPr="007D533D">
        <w:t xml:space="preserve">A suitably qualified professional may be defined as a person with relevant tertiary qualification and a minimum of five years’ experience in the appropriate field of work for the asset type, </w:t>
      </w:r>
      <w:r w:rsidR="00FF334D" w:rsidRPr="007D533D">
        <w:t>or</w:t>
      </w:r>
      <w:r w:rsidRPr="007D533D">
        <w:t xml:space="preserve"> a person with the appropriate level of expertise and experience within the Delivery Agency at the Director level, for example, Director Infrastructure or its equivalent.</w:t>
      </w:r>
    </w:p>
    <w:p w14:paraId="5C1FC2CE" w14:textId="77777777" w:rsidR="004E6620" w:rsidRPr="007D533D" w:rsidRDefault="00560EE9" w:rsidP="00A91244">
      <w:pPr>
        <w:pStyle w:val="Heading3numbered"/>
      </w:pPr>
      <w:bookmarkStart w:id="28" w:name="_Toc170127158"/>
      <w:r w:rsidRPr="007D533D">
        <w:rPr>
          <w:color w:val="0063A6"/>
        </w:rPr>
        <w:t xml:space="preserve">Standard </w:t>
      </w:r>
      <w:r w:rsidR="00005F02" w:rsidRPr="007D533D">
        <w:rPr>
          <w:color w:val="0063A6"/>
        </w:rPr>
        <w:t>t</w:t>
      </w:r>
      <w:r w:rsidR="004E6620" w:rsidRPr="007D533D">
        <w:rPr>
          <w:color w:val="0063A6"/>
        </w:rPr>
        <w:t>reatments</w:t>
      </w:r>
      <w:bookmarkEnd w:id="28"/>
    </w:p>
    <w:p w14:paraId="49813034" w14:textId="77777777" w:rsidR="00056B1E" w:rsidRPr="007D533D" w:rsidRDefault="004E6620" w:rsidP="000A288F">
      <w:pPr>
        <w:pStyle w:val="NormalIndent"/>
      </w:pPr>
      <w:r w:rsidRPr="007D533D">
        <w:t xml:space="preserve">Standard treatments </w:t>
      </w:r>
      <w:proofErr w:type="gramStart"/>
      <w:r w:rsidRPr="007D533D">
        <w:t>most commonly used</w:t>
      </w:r>
      <w:proofErr w:type="gramEnd"/>
      <w:r w:rsidRPr="007D533D">
        <w:t xml:space="preserve"> in </w:t>
      </w:r>
      <w:r w:rsidR="007F0D5F" w:rsidRPr="007D533D">
        <w:t>Victoria</w:t>
      </w:r>
      <w:r w:rsidRPr="007D533D">
        <w:t>’s reconstruction activities have been collated</w:t>
      </w:r>
      <w:r w:rsidR="00A20AD4" w:rsidRPr="007D533D">
        <w:t>.</w:t>
      </w:r>
      <w:r w:rsidRPr="007D533D">
        <w:t xml:space="preserve"> The use of common terminology and unit of measure aims to provide consistency across </w:t>
      </w:r>
      <w:r w:rsidR="00A20AD4" w:rsidRPr="007D533D">
        <w:t>REPA</w:t>
      </w:r>
      <w:r w:rsidRPr="007D533D">
        <w:t xml:space="preserve"> works to</w:t>
      </w:r>
      <w:r w:rsidR="007F0D5F" w:rsidRPr="007D533D">
        <w:t>:</w:t>
      </w:r>
      <w:r w:rsidRPr="007D533D">
        <w:t xml:space="preserve"> </w:t>
      </w:r>
    </w:p>
    <w:p w14:paraId="7C230CC9" w14:textId="77777777" w:rsidR="00056B1E" w:rsidRPr="007D533D" w:rsidRDefault="007F0D5F" w:rsidP="00247466">
      <w:pPr>
        <w:pStyle w:val="Bulletindent"/>
      </w:pPr>
      <w:r w:rsidRPr="007D533D">
        <w:t>a</w:t>
      </w:r>
      <w:r w:rsidR="00A20AD4" w:rsidRPr="007D533D">
        <w:t xml:space="preserve">ssist </w:t>
      </w:r>
      <w:r w:rsidR="004E6620" w:rsidRPr="007D533D">
        <w:t xml:space="preserve">applicants during </w:t>
      </w:r>
      <w:proofErr w:type="gramStart"/>
      <w:r w:rsidR="004E6620" w:rsidRPr="007D533D">
        <w:t>scoping</w:t>
      </w:r>
      <w:r w:rsidR="00005F02" w:rsidRPr="007D533D">
        <w:t>;</w:t>
      </w:r>
      <w:proofErr w:type="gramEnd"/>
    </w:p>
    <w:p w14:paraId="67AE6950" w14:textId="77777777" w:rsidR="00056B1E" w:rsidRPr="007D533D" w:rsidRDefault="007F0D5F" w:rsidP="00247466">
      <w:pPr>
        <w:pStyle w:val="Bulletindent"/>
      </w:pPr>
      <w:r w:rsidRPr="007D533D">
        <w:t>a</w:t>
      </w:r>
      <w:r w:rsidR="00A20AD4" w:rsidRPr="007D533D">
        <w:t xml:space="preserve">ssist </w:t>
      </w:r>
      <w:r w:rsidR="00056B1E" w:rsidRPr="007D533D">
        <w:t>the</w:t>
      </w:r>
      <w:r w:rsidR="004E6620" w:rsidRPr="007D533D">
        <w:t xml:space="preserve"> review</w:t>
      </w:r>
      <w:r w:rsidR="00056B1E" w:rsidRPr="007D533D">
        <w:t xml:space="preserve"> process</w:t>
      </w:r>
      <w:r w:rsidR="00005F02" w:rsidRPr="007D533D">
        <w:t>; and</w:t>
      </w:r>
    </w:p>
    <w:p w14:paraId="290B0A4A" w14:textId="77777777" w:rsidR="004E6620" w:rsidRPr="007D533D" w:rsidRDefault="007F0D5F" w:rsidP="00247466">
      <w:pPr>
        <w:pStyle w:val="Bulletindent"/>
      </w:pPr>
      <w:r w:rsidRPr="007D533D">
        <w:t>a</w:t>
      </w:r>
      <w:r w:rsidR="00A20AD4" w:rsidRPr="007D533D">
        <w:t xml:space="preserve">udit </w:t>
      </w:r>
      <w:r w:rsidR="004E6620" w:rsidRPr="007D533D">
        <w:t>of claims.</w:t>
      </w:r>
    </w:p>
    <w:p w14:paraId="279685C3" w14:textId="77777777" w:rsidR="00A92D6E" w:rsidRPr="007D533D" w:rsidRDefault="004E6620" w:rsidP="000A288F">
      <w:pPr>
        <w:pStyle w:val="NormalIndent"/>
      </w:pPr>
      <w:r w:rsidRPr="007D533D">
        <w:t>Twenty-f</w:t>
      </w:r>
      <w:r w:rsidR="00E042F9" w:rsidRPr="007D533D">
        <w:t>ive</w:t>
      </w:r>
      <w:r w:rsidRPr="007D533D">
        <w:t xml:space="preserve"> standard treatments have been identified, </w:t>
      </w:r>
      <w:r w:rsidR="00E042F9" w:rsidRPr="007D533D">
        <w:t xml:space="preserve">including </w:t>
      </w:r>
      <w:proofErr w:type="gramStart"/>
      <w:r w:rsidR="007F0D5F" w:rsidRPr="007D533D">
        <w:t>a</w:t>
      </w:r>
      <w:r w:rsidR="00F672DA" w:rsidRPr="007D533D">
        <w:t>n</w:t>
      </w:r>
      <w:r w:rsidRPr="007D533D">
        <w:t xml:space="preserve"> ‘other’</w:t>
      </w:r>
      <w:proofErr w:type="gramEnd"/>
      <w:r w:rsidR="007F0D5F" w:rsidRPr="007D533D">
        <w:t xml:space="preserve"> category</w:t>
      </w:r>
      <w:r w:rsidRPr="007D533D">
        <w:t xml:space="preserve"> provided for non</w:t>
      </w:r>
      <w:r w:rsidR="007F0D5F" w:rsidRPr="007D533D">
        <w:noBreakHyphen/>
      </w:r>
      <w:r w:rsidRPr="007D533D">
        <w:t>standard treatments that are unique in nature. The standar</w:t>
      </w:r>
      <w:r w:rsidR="00E56D36" w:rsidRPr="007D533D">
        <w:t xml:space="preserve">d treatments are </w:t>
      </w:r>
      <w:r w:rsidR="007F0D5F" w:rsidRPr="007D533D">
        <w:t xml:space="preserve">listed </w:t>
      </w:r>
      <w:r w:rsidR="00E56D36" w:rsidRPr="007D533D">
        <w:t>below</w:t>
      </w:r>
      <w:r w:rsidR="00056B1E" w:rsidRPr="007D533D">
        <w:t>.</w:t>
      </w:r>
    </w:p>
    <w:p w14:paraId="54964B40" w14:textId="68C1E6F1" w:rsidR="003865D6" w:rsidRPr="007D533D" w:rsidRDefault="003865D6" w:rsidP="00247466">
      <w:pPr>
        <w:pStyle w:val="Tablechartdiagramheading"/>
        <w:ind w:left="792"/>
      </w:pPr>
      <w:r w:rsidRPr="007D533D">
        <w:t xml:space="preserve">Table </w:t>
      </w:r>
      <w:r w:rsidR="00D17730" w:rsidRPr="007D533D">
        <w:rPr>
          <w:noProof/>
        </w:rPr>
        <w:fldChar w:fldCharType="begin"/>
      </w:r>
      <w:r w:rsidR="00D17730" w:rsidRPr="007D533D">
        <w:rPr>
          <w:noProof/>
        </w:rPr>
        <w:instrText xml:space="preserve"> SEQ Table \* ARABIC </w:instrText>
      </w:r>
      <w:r w:rsidR="00D17730" w:rsidRPr="007D533D">
        <w:rPr>
          <w:noProof/>
        </w:rPr>
        <w:fldChar w:fldCharType="separate"/>
      </w:r>
      <w:r w:rsidR="00972940" w:rsidRPr="007D533D">
        <w:rPr>
          <w:noProof/>
        </w:rPr>
        <w:t>1</w:t>
      </w:r>
      <w:r w:rsidR="00D17730" w:rsidRPr="007D533D">
        <w:rPr>
          <w:noProof/>
        </w:rPr>
        <w:fldChar w:fldCharType="end"/>
      </w:r>
      <w:r w:rsidRPr="007D533D">
        <w:t>:</w:t>
      </w:r>
      <w:r w:rsidR="005C2F8D" w:rsidRPr="007D533D">
        <w:t xml:space="preserve"> </w:t>
      </w:r>
      <w:r w:rsidR="002C2240" w:rsidRPr="007D533D">
        <w:t>Standard treatments</w:t>
      </w:r>
    </w:p>
    <w:tbl>
      <w:tblPr>
        <w:tblStyle w:val="DTFtexttableindent"/>
        <w:tblW w:w="8295" w:type="dxa"/>
        <w:tblLook w:val="06A0" w:firstRow="1" w:lastRow="0" w:firstColumn="1" w:lastColumn="0" w:noHBand="1" w:noVBand="1"/>
      </w:tblPr>
      <w:tblGrid>
        <w:gridCol w:w="1664"/>
        <w:gridCol w:w="743"/>
        <w:gridCol w:w="5312"/>
        <w:gridCol w:w="576"/>
      </w:tblGrid>
      <w:tr w:rsidR="003865D6" w:rsidRPr="007D533D" w14:paraId="59D4D197" w14:textId="77777777" w:rsidTr="00B93D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4" w:type="dxa"/>
          </w:tcPr>
          <w:p w14:paraId="24D1C60C" w14:textId="77777777" w:rsidR="003865D6" w:rsidRPr="007D533D" w:rsidRDefault="003865D6" w:rsidP="00247466">
            <w:pPr>
              <w:pStyle w:val="Tableheader"/>
            </w:pPr>
            <w:r w:rsidRPr="007D533D">
              <w:t>Category</w:t>
            </w:r>
          </w:p>
        </w:tc>
        <w:tc>
          <w:tcPr>
            <w:tcW w:w="743" w:type="dxa"/>
          </w:tcPr>
          <w:p w14:paraId="1EA76E23" w14:textId="77777777" w:rsidR="003865D6" w:rsidRPr="007D533D" w:rsidRDefault="005C0868" w:rsidP="00247466">
            <w:pPr>
              <w:pStyle w:val="Tableheader"/>
              <w:cnfStyle w:val="100000000000" w:firstRow="1" w:lastRow="0" w:firstColumn="0" w:lastColumn="0" w:oddVBand="0" w:evenVBand="0" w:oddHBand="0" w:evenHBand="0" w:firstRowFirstColumn="0" w:firstRowLastColumn="0" w:lastRowFirstColumn="0" w:lastRowLastColumn="0"/>
            </w:pPr>
            <w:r w:rsidRPr="007D533D">
              <w:t>No.</w:t>
            </w:r>
          </w:p>
        </w:tc>
        <w:tc>
          <w:tcPr>
            <w:tcW w:w="5312" w:type="dxa"/>
          </w:tcPr>
          <w:p w14:paraId="1838FBE6" w14:textId="77777777" w:rsidR="003865D6" w:rsidRPr="007D533D" w:rsidRDefault="003865D6" w:rsidP="00247466">
            <w:pPr>
              <w:pStyle w:val="Tableheader"/>
              <w:cnfStyle w:val="100000000000" w:firstRow="1" w:lastRow="0" w:firstColumn="0" w:lastColumn="0" w:oddVBand="0" w:evenVBand="0" w:oddHBand="0" w:evenHBand="0" w:firstRowFirstColumn="0" w:firstRowLastColumn="0" w:lastRowFirstColumn="0" w:lastRowLastColumn="0"/>
            </w:pPr>
            <w:r w:rsidRPr="007D533D">
              <w:t>Treatment</w:t>
            </w:r>
          </w:p>
        </w:tc>
        <w:tc>
          <w:tcPr>
            <w:tcW w:w="576" w:type="dxa"/>
          </w:tcPr>
          <w:p w14:paraId="5D246F75" w14:textId="77777777" w:rsidR="003865D6" w:rsidRPr="007D533D" w:rsidRDefault="003865D6" w:rsidP="00247466">
            <w:pPr>
              <w:pStyle w:val="Tableheader"/>
              <w:jc w:val="center"/>
              <w:cnfStyle w:val="100000000000" w:firstRow="1" w:lastRow="0" w:firstColumn="0" w:lastColumn="0" w:oddVBand="0" w:evenVBand="0" w:oddHBand="0" w:evenHBand="0" w:firstRowFirstColumn="0" w:firstRowLastColumn="0" w:lastRowFirstColumn="0" w:lastRowLastColumn="0"/>
            </w:pPr>
            <w:r w:rsidRPr="007D533D">
              <w:t>Unit</w:t>
            </w:r>
          </w:p>
        </w:tc>
      </w:tr>
      <w:tr w:rsidR="00B93D53" w:rsidRPr="007D533D" w14:paraId="74DCFF33"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547971E2" w14:textId="77777777" w:rsidR="00B93D53" w:rsidRPr="007D533D" w:rsidRDefault="00B93D53" w:rsidP="00B93D53">
            <w:pPr>
              <w:pStyle w:val="Tabletext"/>
            </w:pPr>
            <w:r w:rsidRPr="007D533D">
              <w:t>Unsealed pavements</w:t>
            </w:r>
          </w:p>
        </w:tc>
        <w:tc>
          <w:tcPr>
            <w:tcW w:w="743" w:type="dxa"/>
          </w:tcPr>
          <w:p w14:paraId="5212D7BF"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ST1.1</w:t>
            </w:r>
          </w:p>
        </w:tc>
        <w:tc>
          <w:tcPr>
            <w:tcW w:w="5312" w:type="dxa"/>
          </w:tcPr>
          <w:p w14:paraId="37EBA2C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Light</w:t>
            </w:r>
            <w:r w:rsidRPr="007D533D">
              <w:rPr>
                <w:spacing w:val="11"/>
              </w:rPr>
              <w:t xml:space="preserve"> </w:t>
            </w:r>
            <w:r w:rsidRPr="007D533D">
              <w:t>formation</w:t>
            </w:r>
            <w:r w:rsidRPr="007D533D">
              <w:rPr>
                <w:spacing w:val="15"/>
              </w:rPr>
              <w:t xml:space="preserve"> </w:t>
            </w:r>
            <w:r w:rsidRPr="007D533D">
              <w:rPr>
                <w:spacing w:val="-2"/>
              </w:rPr>
              <w:t>grading</w:t>
            </w:r>
          </w:p>
        </w:tc>
        <w:tc>
          <w:tcPr>
            <w:tcW w:w="576" w:type="dxa"/>
          </w:tcPr>
          <w:p w14:paraId="65CFEDA7"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727AE7B9"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5D373811" w14:textId="77777777" w:rsidR="00B93D53" w:rsidRPr="007D533D" w:rsidRDefault="00B93D53" w:rsidP="00B93D53">
            <w:pPr>
              <w:pStyle w:val="Tabletext"/>
            </w:pPr>
          </w:p>
        </w:tc>
        <w:tc>
          <w:tcPr>
            <w:tcW w:w="743" w:type="dxa"/>
          </w:tcPr>
          <w:p w14:paraId="2A6EDDC9"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ST1.2</w:t>
            </w:r>
          </w:p>
        </w:tc>
        <w:tc>
          <w:tcPr>
            <w:tcW w:w="5312" w:type="dxa"/>
          </w:tcPr>
          <w:p w14:paraId="7A3F3A4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Pothole repair (unsealed roads)</w:t>
            </w:r>
          </w:p>
        </w:tc>
        <w:tc>
          <w:tcPr>
            <w:tcW w:w="576" w:type="dxa"/>
          </w:tcPr>
          <w:p w14:paraId="66AC13A7"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tonne</w:t>
            </w:r>
          </w:p>
        </w:tc>
      </w:tr>
      <w:tr w:rsidR="00B93D53" w:rsidRPr="007D533D" w14:paraId="29F3CBE4"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7018A049" w14:textId="77777777" w:rsidR="00B93D53" w:rsidRPr="007D533D" w:rsidRDefault="00B93D53" w:rsidP="00B93D53">
            <w:pPr>
              <w:pStyle w:val="Tabletext"/>
            </w:pPr>
          </w:p>
        </w:tc>
        <w:tc>
          <w:tcPr>
            <w:tcW w:w="743" w:type="dxa"/>
          </w:tcPr>
          <w:p w14:paraId="7BCA08E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ST2</w:t>
            </w:r>
          </w:p>
        </w:tc>
        <w:tc>
          <w:tcPr>
            <w:tcW w:w="5312" w:type="dxa"/>
          </w:tcPr>
          <w:p w14:paraId="10C56868"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Medium</w:t>
            </w:r>
            <w:r w:rsidRPr="007D533D">
              <w:rPr>
                <w:spacing w:val="11"/>
              </w:rPr>
              <w:t xml:space="preserve"> </w:t>
            </w:r>
            <w:r w:rsidRPr="007D533D">
              <w:t>formation</w:t>
            </w:r>
            <w:r w:rsidRPr="007D533D">
              <w:rPr>
                <w:spacing w:val="16"/>
              </w:rPr>
              <w:t xml:space="preserve"> </w:t>
            </w:r>
            <w:r w:rsidRPr="007D533D">
              <w:rPr>
                <w:spacing w:val="-2"/>
              </w:rPr>
              <w:t>grading</w:t>
            </w:r>
          </w:p>
        </w:tc>
        <w:tc>
          <w:tcPr>
            <w:tcW w:w="576" w:type="dxa"/>
          </w:tcPr>
          <w:p w14:paraId="00431E73"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572F99CE"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08E1A075" w14:textId="77777777" w:rsidR="00B93D53" w:rsidRPr="007D533D" w:rsidRDefault="00B93D53" w:rsidP="00B93D53">
            <w:pPr>
              <w:pStyle w:val="Tabletext"/>
            </w:pPr>
          </w:p>
        </w:tc>
        <w:tc>
          <w:tcPr>
            <w:tcW w:w="743" w:type="dxa"/>
          </w:tcPr>
          <w:p w14:paraId="52D553F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ST3</w:t>
            </w:r>
          </w:p>
        </w:tc>
        <w:tc>
          <w:tcPr>
            <w:tcW w:w="5312" w:type="dxa"/>
          </w:tcPr>
          <w:p w14:paraId="5D02EBB1"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Heavy</w:t>
            </w:r>
            <w:r w:rsidRPr="007D533D">
              <w:rPr>
                <w:spacing w:val="11"/>
              </w:rPr>
              <w:t xml:space="preserve"> </w:t>
            </w:r>
            <w:r w:rsidRPr="007D533D">
              <w:t>formation</w:t>
            </w:r>
            <w:r w:rsidRPr="007D533D">
              <w:rPr>
                <w:spacing w:val="15"/>
              </w:rPr>
              <w:t xml:space="preserve"> </w:t>
            </w:r>
            <w:r w:rsidRPr="007D533D">
              <w:rPr>
                <w:spacing w:val="-2"/>
              </w:rPr>
              <w:t>grading</w:t>
            </w:r>
          </w:p>
        </w:tc>
        <w:tc>
          <w:tcPr>
            <w:tcW w:w="576" w:type="dxa"/>
          </w:tcPr>
          <w:p w14:paraId="5418D1A5"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3C4458FD"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582C5F22" w14:textId="77777777" w:rsidR="00B93D53" w:rsidRPr="007D533D" w:rsidRDefault="00B93D53" w:rsidP="00B93D53">
            <w:pPr>
              <w:pStyle w:val="Tabletext"/>
            </w:pPr>
          </w:p>
        </w:tc>
        <w:tc>
          <w:tcPr>
            <w:tcW w:w="743" w:type="dxa"/>
          </w:tcPr>
          <w:p w14:paraId="394A796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ST4</w:t>
            </w:r>
          </w:p>
        </w:tc>
        <w:tc>
          <w:tcPr>
            <w:tcW w:w="5312" w:type="dxa"/>
          </w:tcPr>
          <w:p w14:paraId="791FA33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Gravel</w:t>
            </w:r>
            <w:r w:rsidRPr="007D533D">
              <w:rPr>
                <w:spacing w:val="10"/>
              </w:rPr>
              <w:t xml:space="preserve"> </w:t>
            </w:r>
            <w:r w:rsidRPr="007D533D">
              <w:t>material</w:t>
            </w:r>
            <w:r w:rsidRPr="007D533D">
              <w:rPr>
                <w:spacing w:val="12"/>
              </w:rPr>
              <w:t xml:space="preserve"> </w:t>
            </w:r>
            <w:r w:rsidRPr="007D533D">
              <w:rPr>
                <w:spacing w:val="-2"/>
              </w:rPr>
              <w:t>supply</w:t>
            </w:r>
          </w:p>
        </w:tc>
        <w:tc>
          <w:tcPr>
            <w:tcW w:w="576" w:type="dxa"/>
          </w:tcPr>
          <w:p w14:paraId="4DC5E739"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rsidRPr="007D533D">
              <w:rPr>
                <w:spacing w:val="-5"/>
                <w:position w:val="-5"/>
              </w:rPr>
              <w:t>m</w:t>
            </w:r>
            <w:r w:rsidRPr="007D533D">
              <w:rPr>
                <w:spacing w:val="-5"/>
                <w:sz w:val="11"/>
              </w:rPr>
              <w:t>3</w:t>
            </w:r>
          </w:p>
        </w:tc>
      </w:tr>
      <w:tr w:rsidR="00B93D53" w:rsidRPr="007D533D" w14:paraId="12871792"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2516AF3D" w14:textId="77777777" w:rsidR="00B93D53" w:rsidRPr="007D533D" w:rsidRDefault="00B93D53" w:rsidP="00B93D53">
            <w:pPr>
              <w:pStyle w:val="Tabletext"/>
            </w:pPr>
          </w:p>
        </w:tc>
        <w:tc>
          <w:tcPr>
            <w:tcW w:w="743" w:type="dxa"/>
          </w:tcPr>
          <w:p w14:paraId="724D7C04"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ST5</w:t>
            </w:r>
          </w:p>
        </w:tc>
        <w:tc>
          <w:tcPr>
            <w:tcW w:w="5312" w:type="dxa"/>
          </w:tcPr>
          <w:p w14:paraId="219BA2E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Gravel</w:t>
            </w:r>
            <w:r w:rsidRPr="007D533D">
              <w:rPr>
                <w:spacing w:val="12"/>
              </w:rPr>
              <w:t xml:space="preserve"> </w:t>
            </w:r>
            <w:r w:rsidRPr="007D533D">
              <w:rPr>
                <w:spacing w:val="-2"/>
              </w:rPr>
              <w:t>resheeting</w:t>
            </w:r>
          </w:p>
        </w:tc>
        <w:tc>
          <w:tcPr>
            <w:tcW w:w="576" w:type="dxa"/>
          </w:tcPr>
          <w:p w14:paraId="6AC494A3"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rPr>
                <w:spacing w:val="-5"/>
                <w:position w:val="-5"/>
              </w:rPr>
              <w:t>m</w:t>
            </w:r>
            <w:r w:rsidRPr="007D533D">
              <w:rPr>
                <w:spacing w:val="-5"/>
                <w:sz w:val="11"/>
              </w:rPr>
              <w:t>3</w:t>
            </w:r>
          </w:p>
        </w:tc>
      </w:tr>
      <w:tr w:rsidR="00B93D53" w:rsidRPr="007D533D" w14:paraId="7CB91E56"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639FF429" w14:textId="77777777" w:rsidR="00B93D53" w:rsidRPr="007D533D" w:rsidRDefault="00B93D53" w:rsidP="00B93D53">
            <w:pPr>
              <w:pStyle w:val="Tabletext"/>
            </w:pPr>
            <w:r w:rsidRPr="007D533D">
              <w:t>Sealed pavement repairs</w:t>
            </w:r>
          </w:p>
        </w:tc>
        <w:tc>
          <w:tcPr>
            <w:tcW w:w="743" w:type="dxa"/>
          </w:tcPr>
          <w:p w14:paraId="0A66A49C"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ST6</w:t>
            </w:r>
          </w:p>
        </w:tc>
        <w:tc>
          <w:tcPr>
            <w:tcW w:w="5312" w:type="dxa"/>
          </w:tcPr>
          <w:p w14:paraId="1EC5B4B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In-situ stabilisation – including additional material as required</w:t>
            </w:r>
          </w:p>
        </w:tc>
        <w:tc>
          <w:tcPr>
            <w:tcW w:w="576" w:type="dxa"/>
          </w:tcPr>
          <w:p w14:paraId="21B375C1"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2</w:t>
            </w:r>
          </w:p>
        </w:tc>
      </w:tr>
      <w:tr w:rsidR="00B93D53" w:rsidRPr="007D533D" w14:paraId="4A542DAE"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64CDD668" w14:textId="77777777" w:rsidR="00B93D53" w:rsidRPr="007D533D" w:rsidRDefault="00B93D53" w:rsidP="00B93D53"/>
        </w:tc>
        <w:tc>
          <w:tcPr>
            <w:tcW w:w="743" w:type="dxa"/>
          </w:tcPr>
          <w:p w14:paraId="47A735B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ST7</w:t>
            </w:r>
          </w:p>
        </w:tc>
        <w:tc>
          <w:tcPr>
            <w:tcW w:w="5312" w:type="dxa"/>
          </w:tcPr>
          <w:p w14:paraId="74C47077"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Granular overlay – overlay with imported material (≤150mm)</w:t>
            </w:r>
          </w:p>
        </w:tc>
        <w:tc>
          <w:tcPr>
            <w:tcW w:w="576" w:type="dxa"/>
          </w:tcPr>
          <w:p w14:paraId="2F1B6DE8"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2</w:t>
            </w:r>
          </w:p>
        </w:tc>
      </w:tr>
      <w:tr w:rsidR="00B93D53" w:rsidRPr="007D533D" w14:paraId="398AD27E"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1A69423B" w14:textId="77777777" w:rsidR="00B93D53" w:rsidRPr="007D533D" w:rsidRDefault="00B93D53" w:rsidP="00B93D53"/>
        </w:tc>
        <w:tc>
          <w:tcPr>
            <w:tcW w:w="743" w:type="dxa"/>
          </w:tcPr>
          <w:p w14:paraId="531E98F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ST8</w:t>
            </w:r>
          </w:p>
        </w:tc>
        <w:tc>
          <w:tcPr>
            <w:tcW w:w="5312" w:type="dxa"/>
          </w:tcPr>
          <w:p w14:paraId="57E00DA8"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Reconstruct unbound granular pavement</w:t>
            </w:r>
          </w:p>
        </w:tc>
        <w:tc>
          <w:tcPr>
            <w:tcW w:w="576" w:type="dxa"/>
          </w:tcPr>
          <w:p w14:paraId="4978C783"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2</w:t>
            </w:r>
          </w:p>
        </w:tc>
      </w:tr>
      <w:tr w:rsidR="00B93D53" w:rsidRPr="007D533D" w14:paraId="61A284C7"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1DBA06D0" w14:textId="77777777" w:rsidR="00B93D53" w:rsidRPr="007D533D" w:rsidRDefault="00B93D53" w:rsidP="00B93D53"/>
        </w:tc>
        <w:tc>
          <w:tcPr>
            <w:tcW w:w="743" w:type="dxa"/>
          </w:tcPr>
          <w:p w14:paraId="04A427A4"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ST9</w:t>
            </w:r>
          </w:p>
        </w:tc>
        <w:tc>
          <w:tcPr>
            <w:tcW w:w="5312" w:type="dxa"/>
          </w:tcPr>
          <w:p w14:paraId="28917C65"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Patch repair – patch unbound pavement failure</w:t>
            </w:r>
          </w:p>
        </w:tc>
        <w:tc>
          <w:tcPr>
            <w:tcW w:w="576" w:type="dxa"/>
          </w:tcPr>
          <w:p w14:paraId="705E02E8"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rsidRPr="007D533D">
              <w:t>m</w:t>
            </w:r>
            <w:r w:rsidRPr="007D533D">
              <w:rPr>
                <w:vertAlign w:val="superscript"/>
              </w:rPr>
              <w:t>3</w:t>
            </w:r>
          </w:p>
        </w:tc>
      </w:tr>
      <w:tr w:rsidR="00B93D53" w:rsidRPr="007D533D" w14:paraId="5227C92E"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32CCA1EE" w14:textId="77777777" w:rsidR="00B93D53" w:rsidRPr="007D533D" w:rsidRDefault="00B93D53" w:rsidP="00B93D53"/>
        </w:tc>
        <w:tc>
          <w:tcPr>
            <w:tcW w:w="743" w:type="dxa"/>
          </w:tcPr>
          <w:p w14:paraId="6F6D06EB"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ST10</w:t>
            </w:r>
          </w:p>
        </w:tc>
        <w:tc>
          <w:tcPr>
            <w:tcW w:w="5312" w:type="dxa"/>
          </w:tcPr>
          <w:p w14:paraId="44AF4EF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Pothole repair</w:t>
            </w:r>
          </w:p>
        </w:tc>
        <w:tc>
          <w:tcPr>
            <w:tcW w:w="576" w:type="dxa"/>
          </w:tcPr>
          <w:p w14:paraId="14747135"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tonne</w:t>
            </w:r>
          </w:p>
        </w:tc>
      </w:tr>
      <w:tr w:rsidR="00B93D53" w:rsidRPr="007D533D" w14:paraId="5FC2A0D7"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5B5DDC20" w14:textId="77777777" w:rsidR="00B93D53" w:rsidRPr="007D533D" w:rsidRDefault="00B93D53" w:rsidP="00B93D53"/>
        </w:tc>
        <w:tc>
          <w:tcPr>
            <w:tcW w:w="743" w:type="dxa"/>
          </w:tcPr>
          <w:p w14:paraId="3AD29F7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ST11</w:t>
            </w:r>
          </w:p>
        </w:tc>
        <w:tc>
          <w:tcPr>
            <w:tcW w:w="5312" w:type="dxa"/>
          </w:tcPr>
          <w:p w14:paraId="3D3CDBB8"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Heavy shoulder grading</w:t>
            </w:r>
          </w:p>
        </w:tc>
        <w:tc>
          <w:tcPr>
            <w:tcW w:w="576" w:type="dxa"/>
          </w:tcPr>
          <w:p w14:paraId="62C5F7DC"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5E6F8475"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48A143DA" w14:textId="77777777" w:rsidR="00B93D53" w:rsidRPr="007D533D" w:rsidRDefault="00B93D53" w:rsidP="00B93D53"/>
        </w:tc>
        <w:tc>
          <w:tcPr>
            <w:tcW w:w="743" w:type="dxa"/>
          </w:tcPr>
          <w:p w14:paraId="6DB4E3A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ST12</w:t>
            </w:r>
          </w:p>
        </w:tc>
        <w:tc>
          <w:tcPr>
            <w:tcW w:w="5312" w:type="dxa"/>
          </w:tcPr>
          <w:p w14:paraId="4F8F49C0"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Shoulder reconstruction</w:t>
            </w:r>
          </w:p>
        </w:tc>
        <w:tc>
          <w:tcPr>
            <w:tcW w:w="576" w:type="dxa"/>
          </w:tcPr>
          <w:p w14:paraId="470D25CA"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51982D55"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773960AE" w14:textId="77777777" w:rsidR="00B93D53" w:rsidRPr="007D533D" w:rsidRDefault="00B93D53" w:rsidP="00B93D53"/>
        </w:tc>
        <w:tc>
          <w:tcPr>
            <w:tcW w:w="743" w:type="dxa"/>
          </w:tcPr>
          <w:p w14:paraId="6F3EEDCB"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ST13</w:t>
            </w:r>
          </w:p>
        </w:tc>
        <w:tc>
          <w:tcPr>
            <w:tcW w:w="5312" w:type="dxa"/>
          </w:tcPr>
          <w:p w14:paraId="5C3564E1"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Asphalt</w:t>
            </w:r>
          </w:p>
        </w:tc>
        <w:tc>
          <w:tcPr>
            <w:tcW w:w="576" w:type="dxa"/>
          </w:tcPr>
          <w:p w14:paraId="076BE761"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4FBAB768"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560FFF74" w14:textId="77777777" w:rsidR="00B93D53" w:rsidRPr="007D533D" w:rsidRDefault="00B93D53" w:rsidP="00B93D53">
            <w:pPr>
              <w:pStyle w:val="Tabletext"/>
            </w:pPr>
            <w:r w:rsidRPr="007D533D">
              <w:t>Clearing and earthworks</w:t>
            </w:r>
          </w:p>
        </w:tc>
        <w:tc>
          <w:tcPr>
            <w:tcW w:w="743" w:type="dxa"/>
          </w:tcPr>
          <w:p w14:paraId="3EC7DC5C"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ST14</w:t>
            </w:r>
          </w:p>
        </w:tc>
        <w:tc>
          <w:tcPr>
            <w:tcW w:w="5312" w:type="dxa"/>
          </w:tcPr>
          <w:p w14:paraId="145D796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 xml:space="preserve">Bulk </w:t>
            </w:r>
            <w:proofErr w:type="gramStart"/>
            <w:r w:rsidRPr="007D533D">
              <w:t>excavate</w:t>
            </w:r>
            <w:proofErr w:type="gramEnd"/>
            <w:r w:rsidRPr="007D533D">
              <w:t xml:space="preserve"> surplus material or debris and remove from site</w:t>
            </w:r>
          </w:p>
        </w:tc>
        <w:tc>
          <w:tcPr>
            <w:tcW w:w="576" w:type="dxa"/>
          </w:tcPr>
          <w:p w14:paraId="610674C6"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23715D5C"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491AE4B3" w14:textId="77777777" w:rsidR="00B93D53" w:rsidRPr="007D533D" w:rsidRDefault="00B93D53" w:rsidP="00B93D53">
            <w:pPr>
              <w:pStyle w:val="Tabletext"/>
            </w:pPr>
          </w:p>
        </w:tc>
        <w:tc>
          <w:tcPr>
            <w:tcW w:w="743" w:type="dxa"/>
          </w:tcPr>
          <w:p w14:paraId="27C491A7"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ST15</w:t>
            </w:r>
          </w:p>
        </w:tc>
        <w:tc>
          <w:tcPr>
            <w:tcW w:w="5312" w:type="dxa"/>
          </w:tcPr>
          <w:p w14:paraId="3B14795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Bulk fill</w:t>
            </w:r>
          </w:p>
        </w:tc>
        <w:tc>
          <w:tcPr>
            <w:tcW w:w="576" w:type="dxa"/>
          </w:tcPr>
          <w:p w14:paraId="1B8048B1"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3DD232C1"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4F174898" w14:textId="77777777" w:rsidR="00B93D53" w:rsidRPr="007D533D" w:rsidRDefault="00B93D53" w:rsidP="00B93D53">
            <w:pPr>
              <w:pStyle w:val="Tabletext"/>
            </w:pPr>
          </w:p>
        </w:tc>
        <w:tc>
          <w:tcPr>
            <w:tcW w:w="743" w:type="dxa"/>
          </w:tcPr>
          <w:p w14:paraId="4B48D59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ST16</w:t>
            </w:r>
          </w:p>
        </w:tc>
        <w:tc>
          <w:tcPr>
            <w:tcW w:w="5312" w:type="dxa"/>
          </w:tcPr>
          <w:p w14:paraId="4436208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Rock protection</w:t>
            </w:r>
          </w:p>
        </w:tc>
        <w:tc>
          <w:tcPr>
            <w:tcW w:w="576" w:type="dxa"/>
          </w:tcPr>
          <w:p w14:paraId="6B8A9064"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52E79E77"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43F1FBA4" w14:textId="77777777" w:rsidR="00B93D53" w:rsidRPr="007D533D" w:rsidRDefault="00B93D53" w:rsidP="00B93D53">
            <w:pPr>
              <w:pStyle w:val="Tabletext"/>
            </w:pPr>
          </w:p>
        </w:tc>
        <w:tc>
          <w:tcPr>
            <w:tcW w:w="743" w:type="dxa"/>
          </w:tcPr>
          <w:p w14:paraId="354FA12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ST17</w:t>
            </w:r>
          </w:p>
        </w:tc>
        <w:tc>
          <w:tcPr>
            <w:tcW w:w="5312" w:type="dxa"/>
          </w:tcPr>
          <w:p w14:paraId="4AE59E65"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Reshape table drain</w:t>
            </w:r>
          </w:p>
        </w:tc>
        <w:tc>
          <w:tcPr>
            <w:tcW w:w="576" w:type="dxa"/>
          </w:tcPr>
          <w:p w14:paraId="65FA6AFF"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7625F8FA"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1AB70F4D" w14:textId="77777777" w:rsidR="00B93D53" w:rsidRPr="007D533D" w:rsidRDefault="00B93D53" w:rsidP="00B93D53">
            <w:pPr>
              <w:pStyle w:val="Tabletext"/>
            </w:pPr>
            <w:r w:rsidRPr="007D533D">
              <w:t>Road furniture and delineation</w:t>
            </w:r>
          </w:p>
        </w:tc>
        <w:tc>
          <w:tcPr>
            <w:tcW w:w="743" w:type="dxa"/>
          </w:tcPr>
          <w:p w14:paraId="7BD2CF2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ST18</w:t>
            </w:r>
          </w:p>
        </w:tc>
        <w:tc>
          <w:tcPr>
            <w:tcW w:w="5312" w:type="dxa"/>
          </w:tcPr>
          <w:p w14:paraId="6162886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road signage</w:t>
            </w:r>
          </w:p>
        </w:tc>
        <w:tc>
          <w:tcPr>
            <w:tcW w:w="576" w:type="dxa"/>
          </w:tcPr>
          <w:p w14:paraId="1C189557"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each</w:t>
            </w:r>
          </w:p>
        </w:tc>
      </w:tr>
      <w:tr w:rsidR="00B93D53" w:rsidRPr="007D533D" w14:paraId="5F7C1E0F"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29CD8EE0" w14:textId="77777777" w:rsidR="00B93D53" w:rsidRPr="007D533D" w:rsidRDefault="00B93D53" w:rsidP="00B93D53">
            <w:pPr>
              <w:pStyle w:val="Tabletext"/>
            </w:pPr>
          </w:p>
        </w:tc>
        <w:tc>
          <w:tcPr>
            <w:tcW w:w="743" w:type="dxa"/>
          </w:tcPr>
          <w:p w14:paraId="4DEEEB2F"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ST19</w:t>
            </w:r>
          </w:p>
        </w:tc>
        <w:tc>
          <w:tcPr>
            <w:tcW w:w="5312" w:type="dxa"/>
          </w:tcPr>
          <w:p w14:paraId="61C152AC"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roadside barriers</w:t>
            </w:r>
          </w:p>
        </w:tc>
        <w:tc>
          <w:tcPr>
            <w:tcW w:w="576" w:type="dxa"/>
          </w:tcPr>
          <w:p w14:paraId="508D8034"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34D00774"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379A171E" w14:textId="77777777" w:rsidR="00B93D53" w:rsidRPr="007D533D" w:rsidRDefault="00B93D53" w:rsidP="00B93D53">
            <w:pPr>
              <w:pStyle w:val="Tabletext"/>
            </w:pPr>
          </w:p>
        </w:tc>
        <w:tc>
          <w:tcPr>
            <w:tcW w:w="743" w:type="dxa"/>
          </w:tcPr>
          <w:p w14:paraId="2D75A26E"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ST20</w:t>
            </w:r>
          </w:p>
        </w:tc>
        <w:tc>
          <w:tcPr>
            <w:tcW w:w="5312" w:type="dxa"/>
          </w:tcPr>
          <w:p w14:paraId="14E5293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 xml:space="preserve">Replace </w:t>
            </w:r>
            <w:proofErr w:type="gramStart"/>
            <w:r w:rsidRPr="007D533D">
              <w:t>guide posts</w:t>
            </w:r>
            <w:proofErr w:type="gramEnd"/>
            <w:r w:rsidRPr="007D533D">
              <w:t xml:space="preserve"> or markers</w:t>
            </w:r>
          </w:p>
        </w:tc>
        <w:tc>
          <w:tcPr>
            <w:tcW w:w="576" w:type="dxa"/>
          </w:tcPr>
          <w:p w14:paraId="366AA887"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each</w:t>
            </w:r>
          </w:p>
        </w:tc>
      </w:tr>
      <w:tr w:rsidR="00B93D53" w:rsidRPr="007D533D" w14:paraId="3899EAFD" w14:textId="77777777" w:rsidTr="00B93D53">
        <w:tc>
          <w:tcPr>
            <w:cnfStyle w:val="001000000000" w:firstRow="0" w:lastRow="0" w:firstColumn="1" w:lastColumn="0" w:oddVBand="0" w:evenVBand="0" w:oddHBand="0" w:evenHBand="0" w:firstRowFirstColumn="0" w:firstRowLastColumn="0" w:lastRowFirstColumn="0" w:lastRowLastColumn="0"/>
            <w:tcW w:w="1664" w:type="dxa"/>
          </w:tcPr>
          <w:p w14:paraId="2BBAC0C3" w14:textId="77777777" w:rsidR="00B93D53" w:rsidRPr="007D533D" w:rsidRDefault="00B93D53" w:rsidP="00B93D53">
            <w:pPr>
              <w:pStyle w:val="Tabletext"/>
            </w:pPr>
            <w:r w:rsidRPr="007D533D">
              <w:t>Concrete</w:t>
            </w:r>
          </w:p>
        </w:tc>
        <w:tc>
          <w:tcPr>
            <w:tcW w:w="743" w:type="dxa"/>
          </w:tcPr>
          <w:p w14:paraId="3681C797"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ST21</w:t>
            </w:r>
          </w:p>
        </w:tc>
        <w:tc>
          <w:tcPr>
            <w:tcW w:w="5312" w:type="dxa"/>
          </w:tcPr>
          <w:p w14:paraId="2BD2C20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Reconstruct reinforced concrete</w:t>
            </w:r>
          </w:p>
        </w:tc>
        <w:tc>
          <w:tcPr>
            <w:tcW w:w="576" w:type="dxa"/>
          </w:tcPr>
          <w:p w14:paraId="4F6A35AC"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7A3C39C6"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03D8CE25" w14:textId="77777777" w:rsidR="00B93D53" w:rsidRPr="007D533D" w:rsidRDefault="00B93D53" w:rsidP="00B93D53">
            <w:pPr>
              <w:pStyle w:val="Tabletext"/>
            </w:pPr>
            <w:r w:rsidRPr="007D533D">
              <w:t>Drainage structures</w:t>
            </w:r>
          </w:p>
        </w:tc>
        <w:tc>
          <w:tcPr>
            <w:tcW w:w="743" w:type="dxa"/>
          </w:tcPr>
          <w:p w14:paraId="2F6919F0"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ST22</w:t>
            </w:r>
          </w:p>
        </w:tc>
        <w:tc>
          <w:tcPr>
            <w:tcW w:w="5312" w:type="dxa"/>
          </w:tcPr>
          <w:p w14:paraId="6E14E460"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Repair drainage structure – excavate, repair and reinstate</w:t>
            </w:r>
          </w:p>
        </w:tc>
        <w:tc>
          <w:tcPr>
            <w:tcW w:w="576" w:type="dxa"/>
          </w:tcPr>
          <w:p w14:paraId="328A2F10"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78A962F7"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73814D46" w14:textId="77777777" w:rsidR="00B93D53" w:rsidRPr="007D533D" w:rsidRDefault="00B93D53" w:rsidP="00B93D53">
            <w:pPr>
              <w:pStyle w:val="Tabletext"/>
            </w:pPr>
          </w:p>
        </w:tc>
        <w:tc>
          <w:tcPr>
            <w:tcW w:w="743" w:type="dxa"/>
          </w:tcPr>
          <w:p w14:paraId="427E697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ST23</w:t>
            </w:r>
          </w:p>
        </w:tc>
        <w:tc>
          <w:tcPr>
            <w:tcW w:w="5312" w:type="dxa"/>
          </w:tcPr>
          <w:p w14:paraId="06A00D5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Reinforced Concrete Box Culvert (RCBC)</w:t>
            </w:r>
          </w:p>
        </w:tc>
        <w:tc>
          <w:tcPr>
            <w:tcW w:w="576" w:type="dxa"/>
          </w:tcPr>
          <w:p w14:paraId="452D5F2F"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5B2FC0D0"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15469638" w14:textId="77777777" w:rsidR="00B93D53" w:rsidRPr="007D533D" w:rsidRDefault="00B93D53" w:rsidP="00B93D53">
            <w:pPr>
              <w:pStyle w:val="Tabletext"/>
            </w:pPr>
          </w:p>
        </w:tc>
        <w:tc>
          <w:tcPr>
            <w:tcW w:w="743" w:type="dxa"/>
          </w:tcPr>
          <w:p w14:paraId="4FFD98D1"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ST24</w:t>
            </w:r>
          </w:p>
        </w:tc>
        <w:tc>
          <w:tcPr>
            <w:tcW w:w="5312" w:type="dxa"/>
          </w:tcPr>
          <w:p w14:paraId="4EDC65C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concrete pipe</w:t>
            </w:r>
          </w:p>
        </w:tc>
        <w:tc>
          <w:tcPr>
            <w:tcW w:w="576" w:type="dxa"/>
          </w:tcPr>
          <w:p w14:paraId="7839C461"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05751569" w14:textId="77777777" w:rsidTr="00B93D53">
        <w:tc>
          <w:tcPr>
            <w:cnfStyle w:val="001000000000" w:firstRow="0" w:lastRow="0" w:firstColumn="1" w:lastColumn="0" w:oddVBand="0" w:evenVBand="0" w:oddHBand="0" w:evenHBand="0" w:firstRowFirstColumn="0" w:firstRowLastColumn="0" w:lastRowFirstColumn="0" w:lastRowLastColumn="0"/>
            <w:tcW w:w="1664" w:type="dxa"/>
          </w:tcPr>
          <w:p w14:paraId="5204C3E7" w14:textId="77777777" w:rsidR="00B93D53" w:rsidRPr="007D533D" w:rsidRDefault="00B93D53" w:rsidP="00B93D53">
            <w:pPr>
              <w:pStyle w:val="Tabletext"/>
            </w:pPr>
            <w:r w:rsidRPr="007D533D">
              <w:t>Other</w:t>
            </w:r>
          </w:p>
        </w:tc>
        <w:tc>
          <w:tcPr>
            <w:tcW w:w="743" w:type="dxa"/>
          </w:tcPr>
          <w:p w14:paraId="1BDC54AE"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OT1</w:t>
            </w:r>
          </w:p>
        </w:tc>
        <w:tc>
          <w:tcPr>
            <w:tcW w:w="5312" w:type="dxa"/>
          </w:tcPr>
          <w:p w14:paraId="6EA94FEE"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‘Other’ – including structures, retaining items</w:t>
            </w:r>
          </w:p>
        </w:tc>
        <w:tc>
          <w:tcPr>
            <w:tcW w:w="576" w:type="dxa"/>
          </w:tcPr>
          <w:p w14:paraId="706C4A8E"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lump sum</w:t>
            </w:r>
          </w:p>
        </w:tc>
      </w:tr>
    </w:tbl>
    <w:p w14:paraId="77C31F4E" w14:textId="77777777" w:rsidR="003865D6" w:rsidRPr="007D533D" w:rsidRDefault="003865D6" w:rsidP="003865D6">
      <w:pPr>
        <w:pStyle w:val="Spacer"/>
      </w:pPr>
    </w:p>
    <w:p w14:paraId="19BE8115" w14:textId="77777777" w:rsidR="002F76FB" w:rsidRPr="007D533D" w:rsidRDefault="002F76FB" w:rsidP="000A288F">
      <w:pPr>
        <w:pStyle w:val="NormalIndent"/>
      </w:pPr>
      <w:r w:rsidRPr="007D533D">
        <w:t xml:space="preserve">The cost estimation tool (outlined in Section 2.1.4 below) includes the provision for the addition or removal of the nominated resources within the standard treatments, to establish the direct cost estimate. This allows the standard treatments to be tailored to the resources that are expected to be available and used during reconstruction. </w:t>
      </w:r>
    </w:p>
    <w:p w14:paraId="3C6ACDC8" w14:textId="6BDD83BB" w:rsidR="002F76FB" w:rsidRPr="007D533D" w:rsidRDefault="002F76FB" w:rsidP="000A288F">
      <w:pPr>
        <w:pStyle w:val="NormalIndent"/>
      </w:pPr>
      <w:r w:rsidRPr="007D533D">
        <w:t>The ‘OT1 – Other’ treatment has been included in the tool for any treatment that is unique in nature and is not</w:t>
      </w:r>
      <w:r w:rsidR="00A01947" w:rsidRPr="007D533D">
        <w:t xml:space="preserve"> appropriately</w:t>
      </w:r>
      <w:r w:rsidRPr="007D533D">
        <w:t xml:space="preserve"> reflected in any of the standard treatments.</w:t>
      </w:r>
      <w:r w:rsidR="00A01947" w:rsidRPr="007D533D">
        <w:t xml:space="preserve"> Where non-standard treatments are required, a first principles or itemised cost estimate must be developed.</w:t>
      </w:r>
      <w:r w:rsidRPr="007D533D">
        <w:t xml:space="preserve"> </w:t>
      </w:r>
      <w:r w:rsidR="0002252D" w:rsidRPr="007D533D">
        <w:t>I</w:t>
      </w:r>
      <w:r w:rsidRPr="007D533D">
        <w:t>t i</w:t>
      </w:r>
      <w:r w:rsidR="00A349BC" w:rsidRPr="007D533D">
        <w:t>s</w:t>
      </w:r>
      <w:r w:rsidRPr="007D533D">
        <w:t xml:space="preserve"> expected that the basis of the derivation of the direct cost rates will be </w:t>
      </w:r>
      <w:r w:rsidR="007F5B94" w:rsidRPr="007D533D">
        <w:t>reviewed</w:t>
      </w:r>
      <w:r w:rsidRPr="007D533D">
        <w:t xml:space="preserve"> as part of the claim assessment process.</w:t>
      </w:r>
    </w:p>
    <w:p w14:paraId="6865529C" w14:textId="77777777" w:rsidR="00B107E6" w:rsidRPr="007D533D" w:rsidRDefault="00B107E6" w:rsidP="000A288F">
      <w:pPr>
        <w:pStyle w:val="NormalIndent"/>
      </w:pPr>
      <w:r w:rsidRPr="007D533D">
        <w:t>To support each of the standard treatments, a ‘Standard Treatment Guideline’ is included in Appendix B to further detail the work activities and scope of works included in each of these treatments.</w:t>
      </w:r>
    </w:p>
    <w:p w14:paraId="121F2C87" w14:textId="77777777" w:rsidR="00777AF6" w:rsidRPr="007D533D" w:rsidRDefault="00777AF6" w:rsidP="00777AF6">
      <w:pPr>
        <w:pStyle w:val="NormalIndent"/>
      </w:pPr>
      <w:r w:rsidRPr="007D533D">
        <w:t>The cost estimation tool and the corresponding V Form C-RW claim form does not include standard treatments specifically associated with emergency works, including:</w:t>
      </w:r>
    </w:p>
    <w:p w14:paraId="50FBE233" w14:textId="77777777" w:rsidR="00777AF6" w:rsidRPr="007D533D" w:rsidRDefault="00777AF6" w:rsidP="00777AF6">
      <w:pPr>
        <w:pStyle w:val="NormalIndent"/>
      </w:pPr>
    </w:p>
    <w:tbl>
      <w:tblPr>
        <w:tblStyle w:val="DTFtexttableindent"/>
        <w:tblW w:w="8205" w:type="dxa"/>
        <w:tblLook w:val="06A0" w:firstRow="1" w:lastRow="0" w:firstColumn="1" w:lastColumn="0" w:noHBand="1" w:noVBand="1"/>
      </w:tblPr>
      <w:tblGrid>
        <w:gridCol w:w="1447"/>
        <w:gridCol w:w="709"/>
        <w:gridCol w:w="6049"/>
      </w:tblGrid>
      <w:tr w:rsidR="00B93D53" w:rsidRPr="007D533D" w14:paraId="44BCE652" w14:textId="77777777" w:rsidTr="00B93D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7" w:type="dxa"/>
          </w:tcPr>
          <w:p w14:paraId="6A21B057" w14:textId="77777777" w:rsidR="00B93D53" w:rsidRPr="007D533D" w:rsidRDefault="00B93D53" w:rsidP="001719EF">
            <w:pPr>
              <w:pStyle w:val="Tableheader"/>
            </w:pPr>
            <w:r w:rsidRPr="007D533D">
              <w:t>Category</w:t>
            </w:r>
          </w:p>
        </w:tc>
        <w:tc>
          <w:tcPr>
            <w:tcW w:w="709" w:type="dxa"/>
          </w:tcPr>
          <w:p w14:paraId="2976F670" w14:textId="77777777" w:rsidR="00B93D53" w:rsidRPr="007D533D" w:rsidRDefault="00B93D53" w:rsidP="001719EF">
            <w:pPr>
              <w:pStyle w:val="Tableheader"/>
              <w:cnfStyle w:val="100000000000" w:firstRow="1" w:lastRow="0" w:firstColumn="0" w:lastColumn="0" w:oddVBand="0" w:evenVBand="0" w:oddHBand="0" w:evenHBand="0" w:firstRowFirstColumn="0" w:firstRowLastColumn="0" w:lastRowFirstColumn="0" w:lastRowLastColumn="0"/>
            </w:pPr>
            <w:r w:rsidRPr="007D533D">
              <w:t>No.</w:t>
            </w:r>
          </w:p>
        </w:tc>
        <w:tc>
          <w:tcPr>
            <w:tcW w:w="6049" w:type="dxa"/>
          </w:tcPr>
          <w:p w14:paraId="53D8F1B1" w14:textId="77777777" w:rsidR="00B93D53" w:rsidRPr="007D533D" w:rsidRDefault="00B93D53" w:rsidP="001719EF">
            <w:pPr>
              <w:pStyle w:val="Tableheader"/>
              <w:cnfStyle w:val="100000000000" w:firstRow="1" w:lastRow="0" w:firstColumn="0" w:lastColumn="0" w:oddVBand="0" w:evenVBand="0" w:oddHBand="0" w:evenHBand="0" w:firstRowFirstColumn="0" w:firstRowLastColumn="0" w:lastRowFirstColumn="0" w:lastRowLastColumn="0"/>
            </w:pPr>
            <w:r w:rsidRPr="007D533D">
              <w:t>Treatment</w:t>
            </w:r>
          </w:p>
        </w:tc>
      </w:tr>
      <w:tr w:rsidR="00B93D53" w:rsidRPr="007D533D" w14:paraId="548826D9"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val="restart"/>
          </w:tcPr>
          <w:p w14:paraId="1DDCBB85" w14:textId="77777777" w:rsidR="00B93D53" w:rsidRPr="007D533D" w:rsidRDefault="00B93D53" w:rsidP="00B93D53">
            <w:pPr>
              <w:pStyle w:val="Tabletext"/>
            </w:pPr>
            <w:r w:rsidRPr="007D533D">
              <w:t>Emergency works</w:t>
            </w:r>
          </w:p>
        </w:tc>
        <w:tc>
          <w:tcPr>
            <w:tcW w:w="709" w:type="dxa"/>
          </w:tcPr>
          <w:p w14:paraId="3812AE17" w14:textId="77777777" w:rsidR="00B93D53" w:rsidRPr="007D533D" w:rsidRDefault="00B93D53" w:rsidP="00B93D53">
            <w:pPr>
              <w:pStyle w:val="TableParagraph"/>
              <w:ind w:left="55"/>
              <w:cnfStyle w:val="000000000000" w:firstRow="0" w:lastRow="0" w:firstColumn="0" w:lastColumn="0" w:oddVBand="0" w:evenVBand="0" w:oddHBand="0" w:evenHBand="0" w:firstRowFirstColumn="0" w:firstRowLastColumn="0" w:lastRowFirstColumn="0" w:lastRowLastColumn="0"/>
              <w:rPr>
                <w:spacing w:val="-4"/>
                <w:sz w:val="17"/>
              </w:rPr>
            </w:pPr>
            <w:r w:rsidRPr="007D533D">
              <w:rPr>
                <w:spacing w:val="-4"/>
                <w:sz w:val="17"/>
              </w:rPr>
              <w:t>ST25</w:t>
            </w:r>
          </w:p>
          <w:p w14:paraId="3FAD7AD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049" w:type="dxa"/>
          </w:tcPr>
          <w:p w14:paraId="7D4ED68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Clear disaster related silt &amp; debris (Public Infrastructure)</w:t>
            </w:r>
          </w:p>
        </w:tc>
      </w:tr>
      <w:tr w:rsidR="00B93D53" w:rsidRPr="007D533D" w14:paraId="03FCCE49"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tcPr>
          <w:p w14:paraId="064722C9" w14:textId="77777777" w:rsidR="00B93D53" w:rsidRPr="007D533D" w:rsidRDefault="00B93D53" w:rsidP="00B93D53">
            <w:pPr>
              <w:pStyle w:val="Tabletext"/>
            </w:pPr>
          </w:p>
        </w:tc>
        <w:tc>
          <w:tcPr>
            <w:tcW w:w="709" w:type="dxa"/>
          </w:tcPr>
          <w:p w14:paraId="720E2539" w14:textId="77777777" w:rsidR="00B93D53" w:rsidRPr="007D533D" w:rsidRDefault="00B93D53" w:rsidP="00B93D53">
            <w:pPr>
              <w:pStyle w:val="TableParagraph"/>
              <w:ind w:left="55"/>
              <w:cnfStyle w:val="000000000000" w:firstRow="0" w:lastRow="0" w:firstColumn="0" w:lastColumn="0" w:oddVBand="0" w:evenVBand="0" w:oddHBand="0" w:evenHBand="0" w:firstRowFirstColumn="0" w:firstRowLastColumn="0" w:lastRowFirstColumn="0" w:lastRowLastColumn="0"/>
              <w:rPr>
                <w:spacing w:val="-4"/>
                <w:sz w:val="17"/>
              </w:rPr>
            </w:pPr>
            <w:r w:rsidRPr="007D533D">
              <w:rPr>
                <w:spacing w:val="-4"/>
                <w:sz w:val="17"/>
              </w:rPr>
              <w:t>ST26</w:t>
            </w:r>
          </w:p>
          <w:p w14:paraId="23B7025B"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049" w:type="dxa"/>
          </w:tcPr>
          <w:p w14:paraId="3EE22045"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Clearing and removal of disaster related fallen or damaged trees &amp; vegetation</w:t>
            </w:r>
          </w:p>
        </w:tc>
      </w:tr>
      <w:tr w:rsidR="00B93D53" w:rsidRPr="007D533D" w14:paraId="02CAC245"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tcPr>
          <w:p w14:paraId="14828A7C" w14:textId="77777777" w:rsidR="00B93D53" w:rsidRPr="007D533D" w:rsidRDefault="00B93D53" w:rsidP="00B93D53">
            <w:pPr>
              <w:pStyle w:val="Tabletext"/>
            </w:pPr>
          </w:p>
        </w:tc>
        <w:tc>
          <w:tcPr>
            <w:tcW w:w="709" w:type="dxa"/>
          </w:tcPr>
          <w:p w14:paraId="6F0760DB"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rPr>
                <w:spacing w:val="-4"/>
              </w:rPr>
              <w:t>ST27</w:t>
            </w:r>
          </w:p>
        </w:tc>
        <w:tc>
          <w:tcPr>
            <w:tcW w:w="6049" w:type="dxa"/>
          </w:tcPr>
          <w:p w14:paraId="091B990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Processing of stockpiled disaster related fallen or damaged trees, vegetation &amp; green waste</w:t>
            </w:r>
          </w:p>
        </w:tc>
      </w:tr>
      <w:tr w:rsidR="00B93D53" w:rsidRPr="007D533D" w14:paraId="2E55CB26"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tcPr>
          <w:p w14:paraId="378B75EF" w14:textId="77777777" w:rsidR="00B93D53" w:rsidRPr="007D533D" w:rsidRDefault="00B93D53" w:rsidP="00B93D53">
            <w:pPr>
              <w:pStyle w:val="Tabletext"/>
            </w:pPr>
          </w:p>
        </w:tc>
        <w:tc>
          <w:tcPr>
            <w:tcW w:w="709" w:type="dxa"/>
          </w:tcPr>
          <w:p w14:paraId="7C38136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rPr>
                <w:spacing w:val="-4"/>
              </w:rPr>
              <w:t>ST28</w:t>
            </w:r>
          </w:p>
        </w:tc>
        <w:tc>
          <w:tcPr>
            <w:tcW w:w="6049" w:type="dxa"/>
          </w:tcPr>
          <w:p w14:paraId="0E4CAB5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Inspection costs associated with identifying Emergency Works</w:t>
            </w:r>
          </w:p>
        </w:tc>
      </w:tr>
      <w:tr w:rsidR="00B93D53" w:rsidRPr="007D533D" w14:paraId="2B1B4D73"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tcPr>
          <w:p w14:paraId="2C5F4088" w14:textId="77777777" w:rsidR="00B93D53" w:rsidRPr="007D533D" w:rsidRDefault="00B93D53" w:rsidP="00B93D53">
            <w:pPr>
              <w:pStyle w:val="Tabletext"/>
            </w:pPr>
          </w:p>
        </w:tc>
        <w:tc>
          <w:tcPr>
            <w:tcW w:w="709" w:type="dxa"/>
          </w:tcPr>
          <w:p w14:paraId="5D3B5F1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rPr>
                <w:spacing w:val="-4"/>
              </w:rPr>
              <w:t>ST29</w:t>
            </w:r>
          </w:p>
        </w:tc>
        <w:tc>
          <w:tcPr>
            <w:tcW w:w="6049" w:type="dxa"/>
          </w:tcPr>
          <w:p w14:paraId="49BB222F"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Traffic management including temporary lights, closures, fencing, signs</w:t>
            </w:r>
          </w:p>
        </w:tc>
      </w:tr>
    </w:tbl>
    <w:p w14:paraId="51770F97" w14:textId="77777777" w:rsidR="00777AF6" w:rsidRPr="007D533D" w:rsidRDefault="00777AF6" w:rsidP="000A288F">
      <w:pPr>
        <w:pStyle w:val="NormalIndent"/>
      </w:pPr>
    </w:p>
    <w:p w14:paraId="5F9DF363" w14:textId="77777777" w:rsidR="004E6620" w:rsidRPr="007D533D" w:rsidRDefault="004E6620" w:rsidP="00A91244">
      <w:pPr>
        <w:pStyle w:val="Heading3numbered"/>
      </w:pPr>
      <w:bookmarkStart w:id="29" w:name="_Toc170127159"/>
      <w:r w:rsidRPr="007D533D">
        <w:rPr>
          <w:color w:val="0063A6"/>
        </w:rPr>
        <w:t xml:space="preserve">First </w:t>
      </w:r>
      <w:r w:rsidR="00482143" w:rsidRPr="007D533D">
        <w:rPr>
          <w:color w:val="0063A6"/>
        </w:rPr>
        <w:t>p</w:t>
      </w:r>
      <w:r w:rsidRPr="007D533D">
        <w:rPr>
          <w:color w:val="0063A6"/>
        </w:rPr>
        <w:t xml:space="preserve">rinciples </w:t>
      </w:r>
      <w:r w:rsidR="00482143" w:rsidRPr="007D533D">
        <w:rPr>
          <w:color w:val="0063A6"/>
        </w:rPr>
        <w:t>e</w:t>
      </w:r>
      <w:r w:rsidRPr="007D533D">
        <w:rPr>
          <w:color w:val="0063A6"/>
        </w:rPr>
        <w:t>stimation</w:t>
      </w:r>
      <w:bookmarkEnd w:id="29"/>
    </w:p>
    <w:p w14:paraId="498F0D82" w14:textId="77777777" w:rsidR="00E56D36" w:rsidRPr="007D533D" w:rsidRDefault="00E56D36" w:rsidP="000A288F">
      <w:pPr>
        <w:pStyle w:val="NormalIndent"/>
      </w:pPr>
      <w:r w:rsidRPr="007D533D">
        <w:t xml:space="preserve">First </w:t>
      </w:r>
      <w:r w:rsidR="00F672DA" w:rsidRPr="007D533D">
        <w:t>p</w:t>
      </w:r>
      <w:r w:rsidRPr="007D533D">
        <w:t xml:space="preserve">rinciples </w:t>
      </w:r>
      <w:r w:rsidR="00F672DA" w:rsidRPr="007D533D">
        <w:t>e</w:t>
      </w:r>
      <w:r w:rsidRPr="007D533D">
        <w:t>stimation is the process of assigning plant, labour and material rates to a given work activity</w:t>
      </w:r>
      <w:r w:rsidR="00CA22A7" w:rsidRPr="007D533D">
        <w:t xml:space="preserve"> or </w:t>
      </w:r>
      <w:r w:rsidRPr="007D533D">
        <w:t>standard treatment. The process used to develop resource build-ups is outlined below:</w:t>
      </w:r>
    </w:p>
    <w:p w14:paraId="10060753" w14:textId="77777777" w:rsidR="00E56D36" w:rsidRPr="007D533D" w:rsidRDefault="005C1849" w:rsidP="00247466">
      <w:pPr>
        <w:pStyle w:val="Bulletindent"/>
      </w:pPr>
      <w:r w:rsidRPr="007D533D">
        <w:lastRenderedPageBreak/>
        <w:t>s</w:t>
      </w:r>
      <w:r w:rsidR="00E56D36" w:rsidRPr="007D533D">
        <w:t xml:space="preserve">tandard treatment build-up </w:t>
      </w:r>
    </w:p>
    <w:p w14:paraId="5253BF7C" w14:textId="77777777" w:rsidR="00E56D36" w:rsidRPr="007D533D" w:rsidRDefault="00CA22A7" w:rsidP="00247466">
      <w:pPr>
        <w:pStyle w:val="Bulletindent"/>
      </w:pPr>
      <w:r w:rsidRPr="007D533D">
        <w:t>a</w:t>
      </w:r>
      <w:r w:rsidR="00E56D36" w:rsidRPr="007D533D">
        <w:t>pplicant specific treatment build-up</w:t>
      </w:r>
      <w:r w:rsidRPr="007D533D">
        <w:t>.</w:t>
      </w:r>
    </w:p>
    <w:p w14:paraId="71E5EB0F" w14:textId="77777777" w:rsidR="00E56D36" w:rsidRPr="007D533D" w:rsidRDefault="00E56D36" w:rsidP="000A288F">
      <w:pPr>
        <w:pStyle w:val="NormalIndent"/>
      </w:pPr>
      <w:r w:rsidRPr="007D533D">
        <w:t>The standard treatment build-ups account for common inputs to develop a first principles estimate for a reconstruction treatment. These include:</w:t>
      </w:r>
    </w:p>
    <w:p w14:paraId="1C7797B0" w14:textId="77777777" w:rsidR="00E56D36" w:rsidRPr="007D533D" w:rsidRDefault="00CA22A7" w:rsidP="00247466">
      <w:pPr>
        <w:pStyle w:val="Bulletindent"/>
      </w:pPr>
      <w:r w:rsidRPr="007D533D">
        <w:t>c</w:t>
      </w:r>
      <w:r w:rsidR="00E56D36" w:rsidRPr="007D533D">
        <w:t>onstruction methodologies (type of plant, labour, materials</w:t>
      </w:r>
      <w:proofErr w:type="gramStart"/>
      <w:r w:rsidR="006E6802" w:rsidRPr="007D533D">
        <w:t>)</w:t>
      </w:r>
      <w:r w:rsidR="008023D6" w:rsidRPr="007D533D">
        <w:t>;</w:t>
      </w:r>
      <w:proofErr w:type="gramEnd"/>
    </w:p>
    <w:p w14:paraId="3302EA85" w14:textId="77777777" w:rsidR="00E56D36" w:rsidRPr="007D533D" w:rsidRDefault="00CA22A7" w:rsidP="00247466">
      <w:pPr>
        <w:pStyle w:val="Bulletindent"/>
      </w:pPr>
      <w:r w:rsidRPr="007D533D">
        <w:t>b</w:t>
      </w:r>
      <w:r w:rsidR="00E56D36" w:rsidRPr="007D533D">
        <w:t>asis for rates</w:t>
      </w:r>
      <w:r w:rsidR="004150EF" w:rsidRPr="007D533D">
        <w:t xml:space="preserve"> (resource rates to </w:t>
      </w:r>
      <w:proofErr w:type="gramStart"/>
      <w:r w:rsidR="004150EF" w:rsidRPr="007D533D">
        <w:t>take into account</w:t>
      </w:r>
      <w:proofErr w:type="gramEnd"/>
      <w:r w:rsidR="004150EF" w:rsidRPr="007D533D">
        <w:t xml:space="preserve"> current market conditions including supply and demand</w:t>
      </w:r>
      <w:proofErr w:type="gramStart"/>
      <w:r w:rsidR="004150EF" w:rsidRPr="007D533D">
        <w:t>)</w:t>
      </w:r>
      <w:r w:rsidR="008023D6" w:rsidRPr="007D533D">
        <w:t>;</w:t>
      </w:r>
      <w:proofErr w:type="gramEnd"/>
    </w:p>
    <w:p w14:paraId="11EBB0E8" w14:textId="77777777" w:rsidR="00E56D36" w:rsidRPr="007D533D" w:rsidRDefault="00CA22A7" w:rsidP="00247466">
      <w:pPr>
        <w:pStyle w:val="Bulletindent"/>
      </w:pPr>
      <w:r w:rsidRPr="007D533D">
        <w:t>s</w:t>
      </w:r>
      <w:r w:rsidR="00E56D36" w:rsidRPr="007D533D">
        <w:t xml:space="preserve">ize and number of </w:t>
      </w:r>
      <w:proofErr w:type="gramStart"/>
      <w:r w:rsidR="00E56D36" w:rsidRPr="007D533D">
        <w:t>sites</w:t>
      </w:r>
      <w:r w:rsidR="008023D6" w:rsidRPr="007D533D">
        <w:t>;</w:t>
      </w:r>
      <w:proofErr w:type="gramEnd"/>
    </w:p>
    <w:p w14:paraId="19EE7DCA" w14:textId="77777777" w:rsidR="00E56D36" w:rsidRPr="007D533D" w:rsidRDefault="00CA22A7" w:rsidP="00247466">
      <w:pPr>
        <w:pStyle w:val="Bulletindent"/>
      </w:pPr>
      <w:proofErr w:type="gramStart"/>
      <w:r w:rsidRPr="007D533D">
        <w:t>p</w:t>
      </w:r>
      <w:r w:rsidR="00E56D36" w:rsidRPr="007D533D">
        <w:t>roductivity</w:t>
      </w:r>
      <w:r w:rsidR="008023D6" w:rsidRPr="007D533D">
        <w:t>;</w:t>
      </w:r>
      <w:proofErr w:type="gramEnd"/>
    </w:p>
    <w:p w14:paraId="6D5C6920" w14:textId="77777777" w:rsidR="00E56D36" w:rsidRPr="007D533D" w:rsidRDefault="00CA22A7" w:rsidP="00247466">
      <w:pPr>
        <w:pStyle w:val="Bulletindent"/>
      </w:pPr>
      <w:r w:rsidRPr="007D533D">
        <w:t>r</w:t>
      </w:r>
      <w:r w:rsidR="00E56D36" w:rsidRPr="007D533D">
        <w:t>emote locations</w:t>
      </w:r>
      <w:r w:rsidRPr="007D533D">
        <w:t xml:space="preserve"> or </w:t>
      </w:r>
      <w:r w:rsidR="00E56D36" w:rsidRPr="007D533D">
        <w:t>distance of travel</w:t>
      </w:r>
      <w:r w:rsidR="008023D6" w:rsidRPr="007D533D">
        <w:t>; and</w:t>
      </w:r>
    </w:p>
    <w:p w14:paraId="0D39DA0D" w14:textId="77777777" w:rsidR="00E56D36" w:rsidRPr="007D533D" w:rsidRDefault="00CA22A7" w:rsidP="00247466">
      <w:pPr>
        <w:pStyle w:val="Bulletindent"/>
      </w:pPr>
      <w:r w:rsidRPr="007D533D">
        <w:t>m</w:t>
      </w:r>
      <w:r w:rsidR="00E56D36" w:rsidRPr="007D533D">
        <w:t>aterials availability</w:t>
      </w:r>
      <w:r w:rsidR="00B15B13" w:rsidRPr="007D533D">
        <w:t>.</w:t>
      </w:r>
    </w:p>
    <w:p w14:paraId="7F6EEE13" w14:textId="77777777" w:rsidR="004352DA" w:rsidRPr="007D533D" w:rsidRDefault="003F394A" w:rsidP="005C2F8D">
      <w:pPr>
        <w:pStyle w:val="Heading3numbered"/>
      </w:pPr>
      <w:bookmarkStart w:id="30" w:name="_Toc170127160"/>
      <w:r w:rsidRPr="007D533D">
        <w:t xml:space="preserve">Cost </w:t>
      </w:r>
      <w:r w:rsidR="008023D6" w:rsidRPr="007D533D">
        <w:t>e</w:t>
      </w:r>
      <w:r w:rsidR="004352DA" w:rsidRPr="007D533D">
        <w:t>stimati</w:t>
      </w:r>
      <w:r w:rsidR="00AA6A77" w:rsidRPr="007D533D">
        <w:t xml:space="preserve">on </w:t>
      </w:r>
      <w:r w:rsidR="008023D6" w:rsidRPr="007D533D">
        <w:t>t</w:t>
      </w:r>
      <w:r w:rsidR="00AA6A77" w:rsidRPr="007D533D">
        <w:t>ool</w:t>
      </w:r>
      <w:bookmarkEnd w:id="30"/>
    </w:p>
    <w:p w14:paraId="5DB0486F" w14:textId="77777777" w:rsidR="004352DA" w:rsidRPr="007D533D" w:rsidRDefault="004352DA" w:rsidP="000A288F">
      <w:pPr>
        <w:pStyle w:val="NormalIndent"/>
      </w:pPr>
      <w:r w:rsidRPr="007D533D">
        <w:t>A cost estimat</w:t>
      </w:r>
      <w:r w:rsidR="00AA6A77" w:rsidRPr="007D533D">
        <w:t>ion tool</w:t>
      </w:r>
      <w:r w:rsidRPr="007D533D">
        <w:t xml:space="preserve"> has been developed for each of the standard treatments listed in Section 2.1.2</w:t>
      </w:r>
      <w:r w:rsidR="006C7752" w:rsidRPr="007D533D">
        <w:t xml:space="preserve"> and can be found at the following link: https://www.emv.vic.gov.au/publications/victorian-drfa-cost-estimation-tool</w:t>
      </w:r>
      <w:r w:rsidRPr="007D533D">
        <w:t xml:space="preserve">. With the adoption of this </w:t>
      </w:r>
      <w:r w:rsidR="00430204" w:rsidRPr="007D533D">
        <w:t xml:space="preserve">tool </w:t>
      </w:r>
      <w:r w:rsidR="00EE0A4D" w:rsidRPr="007D533D">
        <w:t>for the standard treatments, D</w:t>
      </w:r>
      <w:r w:rsidRPr="007D533D">
        <w:t xml:space="preserve">elivery </w:t>
      </w:r>
      <w:r w:rsidR="00EE0A4D" w:rsidRPr="007D533D">
        <w:t>A</w:t>
      </w:r>
      <w:r w:rsidRPr="007D533D">
        <w:t xml:space="preserve">gencies </w:t>
      </w:r>
      <w:proofErr w:type="gramStart"/>
      <w:r w:rsidRPr="007D533D">
        <w:t>are able to</w:t>
      </w:r>
      <w:proofErr w:type="gramEnd"/>
      <w:r w:rsidRPr="007D533D">
        <w:t xml:space="preserve"> input the resource (plant, </w:t>
      </w:r>
      <w:r w:rsidR="008C04A8" w:rsidRPr="007D533D">
        <w:t>labour,</w:t>
      </w:r>
      <w:r w:rsidRPr="007D533D">
        <w:t xml:space="preserve"> and materials) and other input factors (productivities, travel times) to develop a first principles estimate.</w:t>
      </w:r>
    </w:p>
    <w:p w14:paraId="4ED7BC24" w14:textId="77777777" w:rsidR="00E56D36" w:rsidRPr="007D533D" w:rsidRDefault="00B15B13" w:rsidP="00A91244">
      <w:pPr>
        <w:pStyle w:val="Heading3numbered"/>
      </w:pPr>
      <w:bookmarkStart w:id="31" w:name="_Toc170127161"/>
      <w:r w:rsidRPr="007D533D">
        <w:rPr>
          <w:color w:val="0063A6"/>
        </w:rPr>
        <w:t>Standard</w:t>
      </w:r>
      <w:r w:rsidR="003F394A" w:rsidRPr="007D533D">
        <w:rPr>
          <w:color w:val="0063A6"/>
        </w:rPr>
        <w:t xml:space="preserve"> </w:t>
      </w:r>
      <w:r w:rsidR="008023D6" w:rsidRPr="007D533D">
        <w:rPr>
          <w:color w:val="0063A6"/>
        </w:rPr>
        <w:t>t</w:t>
      </w:r>
      <w:r w:rsidR="003F394A" w:rsidRPr="007D533D">
        <w:rPr>
          <w:color w:val="0063A6"/>
        </w:rPr>
        <w:t xml:space="preserve">reatment </w:t>
      </w:r>
      <w:r w:rsidR="008023D6" w:rsidRPr="007D533D">
        <w:rPr>
          <w:color w:val="0063A6"/>
        </w:rPr>
        <w:t>b</w:t>
      </w:r>
      <w:r w:rsidR="00E56D36" w:rsidRPr="007D533D">
        <w:rPr>
          <w:color w:val="0063A6"/>
        </w:rPr>
        <w:t>uild-up</w:t>
      </w:r>
      <w:bookmarkEnd w:id="31"/>
    </w:p>
    <w:p w14:paraId="4559878C" w14:textId="77777777" w:rsidR="00E56D36" w:rsidRPr="007D533D" w:rsidRDefault="00E56D36" w:rsidP="000A288F">
      <w:pPr>
        <w:pStyle w:val="NormalIndent"/>
      </w:pPr>
      <w:r w:rsidRPr="007D533D">
        <w:t xml:space="preserve">Resource based treatment build-ups have been developed for the standard treatments. The treatments have been allocated a </w:t>
      </w:r>
      <w:r w:rsidR="006E6802" w:rsidRPr="007D533D">
        <w:t>W</w:t>
      </w:r>
      <w:r w:rsidRPr="007D533D">
        <w:t>ork</w:t>
      </w:r>
      <w:r w:rsidR="006E6802" w:rsidRPr="007D533D">
        <w:t xml:space="preserve"> B</w:t>
      </w:r>
      <w:r w:rsidRPr="007D533D">
        <w:t xml:space="preserve">reakdown </w:t>
      </w:r>
      <w:r w:rsidR="006E6802" w:rsidRPr="007D533D">
        <w:t>S</w:t>
      </w:r>
      <w:r w:rsidRPr="007D533D">
        <w:t>tructure (WBS) and assigned a typical batch size</w:t>
      </w:r>
      <w:r w:rsidR="00CA22A7" w:rsidRPr="007D533D">
        <w:t xml:space="preserve"> and </w:t>
      </w:r>
      <w:r w:rsidRPr="007D533D">
        <w:t>length of site and corresponding quantities</w:t>
      </w:r>
      <w:r w:rsidR="00CA22A7" w:rsidRPr="007D533D">
        <w:t xml:space="preserve"> or </w:t>
      </w:r>
      <w:r w:rsidRPr="007D533D">
        <w:t>measure-ups. Resource rates for plant, labour and materials</w:t>
      </w:r>
      <w:r w:rsidR="00B67181" w:rsidRPr="007D533D">
        <w:t>,</w:t>
      </w:r>
      <w:r w:rsidRPr="007D533D">
        <w:t xml:space="preserve"> typical productivities</w:t>
      </w:r>
      <w:r w:rsidR="00B67181" w:rsidRPr="007D533D">
        <w:t xml:space="preserve"> and other inputs </w:t>
      </w:r>
      <w:r w:rsidR="0063425D" w:rsidRPr="007D533D">
        <w:t>can</w:t>
      </w:r>
      <w:r w:rsidR="00B67181" w:rsidRPr="007D533D">
        <w:t xml:space="preserve"> be</w:t>
      </w:r>
      <w:r w:rsidRPr="007D533D">
        <w:t xml:space="preserve"> applied</w:t>
      </w:r>
      <w:r w:rsidR="00B67181" w:rsidRPr="007D533D">
        <w:t xml:space="preserve"> to derive the </w:t>
      </w:r>
      <w:r w:rsidR="00593F81" w:rsidRPr="007D533D">
        <w:t>proposed direct cost estimate</w:t>
      </w:r>
      <w:r w:rsidRPr="007D533D">
        <w:t>.</w:t>
      </w:r>
    </w:p>
    <w:p w14:paraId="16B1D0DE" w14:textId="77777777" w:rsidR="00E56D36" w:rsidRPr="007D533D" w:rsidRDefault="003F394A" w:rsidP="00A91244">
      <w:pPr>
        <w:pStyle w:val="Heading3numbered"/>
      </w:pPr>
      <w:bookmarkStart w:id="32" w:name="_Toc170127162"/>
      <w:r w:rsidRPr="007D533D">
        <w:rPr>
          <w:color w:val="0063A6"/>
        </w:rPr>
        <w:t xml:space="preserve">Applicant </w:t>
      </w:r>
      <w:r w:rsidR="008023D6" w:rsidRPr="007D533D">
        <w:rPr>
          <w:color w:val="0063A6"/>
        </w:rPr>
        <w:t>s</w:t>
      </w:r>
      <w:r w:rsidRPr="007D533D">
        <w:rPr>
          <w:color w:val="0063A6"/>
        </w:rPr>
        <w:t xml:space="preserve">pecific </w:t>
      </w:r>
      <w:r w:rsidR="008023D6" w:rsidRPr="007D533D">
        <w:rPr>
          <w:color w:val="0063A6"/>
        </w:rPr>
        <w:t>t</w:t>
      </w:r>
      <w:r w:rsidR="00E56D36" w:rsidRPr="007D533D">
        <w:rPr>
          <w:color w:val="0063A6"/>
        </w:rPr>
        <w:t xml:space="preserve">reatment </w:t>
      </w:r>
      <w:r w:rsidR="008023D6" w:rsidRPr="007D533D">
        <w:rPr>
          <w:color w:val="0063A6"/>
        </w:rPr>
        <w:t>b</w:t>
      </w:r>
      <w:r w:rsidR="00E56D36" w:rsidRPr="007D533D">
        <w:rPr>
          <w:color w:val="0063A6"/>
        </w:rPr>
        <w:t>uild-up</w:t>
      </w:r>
      <w:bookmarkEnd w:id="32"/>
    </w:p>
    <w:p w14:paraId="3EA6814E" w14:textId="77777777" w:rsidR="00E56D36" w:rsidRPr="007D533D" w:rsidRDefault="003F394A" w:rsidP="00247466">
      <w:pPr>
        <w:pStyle w:val="Heading4numbered"/>
      </w:pPr>
      <w:r w:rsidRPr="007D533D">
        <w:t xml:space="preserve">Construction </w:t>
      </w:r>
      <w:r w:rsidR="008023D6" w:rsidRPr="007D533D">
        <w:t>m</w:t>
      </w:r>
      <w:r w:rsidR="00E56D36" w:rsidRPr="007D533D">
        <w:t>ethodologies</w:t>
      </w:r>
    </w:p>
    <w:p w14:paraId="14BB7112" w14:textId="77777777" w:rsidR="00E56D36" w:rsidRPr="007D533D" w:rsidRDefault="00E56D36" w:rsidP="000A288F">
      <w:pPr>
        <w:pStyle w:val="NormalIndent"/>
      </w:pPr>
      <w:r w:rsidRPr="007D533D">
        <w:t>Typical resources have been included in the standard treatments. Whilst these resources are commonly used as part of the respective standard treatments</w:t>
      </w:r>
      <w:r w:rsidR="00195D3E" w:rsidRPr="007D533D">
        <w:t>,</w:t>
      </w:r>
      <w:r w:rsidRPr="007D533D">
        <w:t xml:space="preserve"> there is capability within the estimating </w:t>
      </w:r>
      <w:r w:rsidR="00430204" w:rsidRPr="007D533D">
        <w:t>tool</w:t>
      </w:r>
      <w:r w:rsidRPr="007D533D">
        <w:t xml:space="preserve"> for the </w:t>
      </w:r>
      <w:r w:rsidR="00EE0A4D" w:rsidRPr="007D533D">
        <w:t>Delivery A</w:t>
      </w:r>
      <w:r w:rsidRPr="007D533D">
        <w:t xml:space="preserve">gencies to amend the resources </w:t>
      </w:r>
      <w:r w:rsidR="00D64CE3" w:rsidRPr="007D533D">
        <w:t xml:space="preserve">to be </w:t>
      </w:r>
      <w:r w:rsidRPr="007D533D">
        <w:t>in-line with likely construction methodologies. This includes consideration of locally available plant and skilled resources.</w:t>
      </w:r>
    </w:p>
    <w:p w14:paraId="75ED69F2" w14:textId="77777777" w:rsidR="00E56D36" w:rsidRPr="007D533D" w:rsidRDefault="003F394A" w:rsidP="00247466">
      <w:pPr>
        <w:pStyle w:val="Heading4numbered"/>
      </w:pPr>
      <w:r w:rsidRPr="007D533D">
        <w:t xml:space="preserve">Basis for </w:t>
      </w:r>
      <w:r w:rsidR="006A46C4" w:rsidRPr="007D533D">
        <w:t>r</w:t>
      </w:r>
      <w:r w:rsidR="00E56D36" w:rsidRPr="007D533D">
        <w:t>ates</w:t>
      </w:r>
    </w:p>
    <w:p w14:paraId="300661C6" w14:textId="77777777" w:rsidR="00E56D36" w:rsidRPr="007D533D" w:rsidRDefault="00E56D36" w:rsidP="000A288F">
      <w:pPr>
        <w:pStyle w:val="NormalIndent"/>
      </w:pPr>
      <w:r w:rsidRPr="007D533D">
        <w:t>Plant and labour rates should reflect the market rate relevant to the applicant. Materials rates sho</w:t>
      </w:r>
      <w:r w:rsidR="006C4F92" w:rsidRPr="007D533D">
        <w:t xml:space="preserve">uld be based upon the </w:t>
      </w:r>
      <w:r w:rsidR="005F62E2" w:rsidRPr="007D533D">
        <w:t>applicant’s</w:t>
      </w:r>
      <w:r w:rsidRPr="007D533D">
        <w:t xml:space="preserve"> typical supply arrangements. Where market rates are not available or internal material resources are predominantly used, internal supply rates should be provided. </w:t>
      </w:r>
    </w:p>
    <w:p w14:paraId="12E89204" w14:textId="77777777" w:rsidR="00E56D36" w:rsidRPr="007D533D" w:rsidRDefault="00E56D36" w:rsidP="000A288F">
      <w:pPr>
        <w:pStyle w:val="NormalIndent"/>
      </w:pPr>
      <w:r w:rsidRPr="007D533D">
        <w:t>Key inputs typically include:</w:t>
      </w:r>
    </w:p>
    <w:p w14:paraId="7F366F34" w14:textId="77777777" w:rsidR="00E56D36" w:rsidRPr="007D533D" w:rsidRDefault="00CA22A7" w:rsidP="00247466">
      <w:pPr>
        <w:pStyle w:val="Bulletindent"/>
      </w:pPr>
      <w:r w:rsidRPr="007D533D">
        <w:t>m</w:t>
      </w:r>
      <w:r w:rsidR="00E56D36" w:rsidRPr="007D533D">
        <w:t xml:space="preserve">aterials supply </w:t>
      </w:r>
      <w:proofErr w:type="gramStart"/>
      <w:r w:rsidR="00E56D36" w:rsidRPr="007D533D">
        <w:t>rates</w:t>
      </w:r>
      <w:r w:rsidR="008023D6" w:rsidRPr="007D533D">
        <w:t>;</w:t>
      </w:r>
      <w:proofErr w:type="gramEnd"/>
    </w:p>
    <w:p w14:paraId="6655103B" w14:textId="77777777" w:rsidR="00E56D36" w:rsidRPr="007D533D" w:rsidRDefault="00CA22A7" w:rsidP="00247466">
      <w:pPr>
        <w:pStyle w:val="Bulletindent"/>
      </w:pPr>
      <w:r w:rsidRPr="007D533D">
        <w:t>s</w:t>
      </w:r>
      <w:r w:rsidR="00E56D36" w:rsidRPr="007D533D">
        <w:t xml:space="preserve">tanding offer </w:t>
      </w:r>
      <w:proofErr w:type="gramStart"/>
      <w:r w:rsidR="00E56D36" w:rsidRPr="007D533D">
        <w:t>arrangements</w:t>
      </w:r>
      <w:r w:rsidR="008023D6" w:rsidRPr="007D533D">
        <w:t>;</w:t>
      </w:r>
      <w:proofErr w:type="gramEnd"/>
    </w:p>
    <w:p w14:paraId="685C8877" w14:textId="77777777" w:rsidR="00E56D36" w:rsidRPr="007D533D" w:rsidRDefault="00CA22A7" w:rsidP="00247466">
      <w:pPr>
        <w:pStyle w:val="Bulletindent"/>
      </w:pPr>
      <w:r w:rsidRPr="007D533D">
        <w:lastRenderedPageBreak/>
        <w:t>c</w:t>
      </w:r>
      <w:r w:rsidR="00E56D36" w:rsidRPr="007D533D">
        <w:t xml:space="preserve">ontractor </w:t>
      </w:r>
      <w:r w:rsidR="00F16C94" w:rsidRPr="007D533D">
        <w:t>p</w:t>
      </w:r>
      <w:r w:rsidR="00E56D36" w:rsidRPr="007D533D">
        <w:t xml:space="preserve">lant </w:t>
      </w:r>
      <w:proofErr w:type="gramStart"/>
      <w:r w:rsidR="00E56D36" w:rsidRPr="007D533D">
        <w:t>hire</w:t>
      </w:r>
      <w:proofErr w:type="gramEnd"/>
      <w:r w:rsidR="00E56D36" w:rsidRPr="007D533D">
        <w:t xml:space="preserve"> </w:t>
      </w:r>
      <w:proofErr w:type="gramStart"/>
      <w:r w:rsidR="00E56D36" w:rsidRPr="007D533D">
        <w:t>rates</w:t>
      </w:r>
      <w:r w:rsidR="008023D6" w:rsidRPr="007D533D">
        <w:t>;</w:t>
      </w:r>
      <w:proofErr w:type="gramEnd"/>
    </w:p>
    <w:p w14:paraId="40EC1FB0" w14:textId="77777777" w:rsidR="00E56D36" w:rsidRPr="007D533D" w:rsidRDefault="00CA22A7" w:rsidP="00247466">
      <w:pPr>
        <w:pStyle w:val="Bulletindent"/>
      </w:pPr>
      <w:r w:rsidRPr="007D533D">
        <w:t>c</w:t>
      </w:r>
      <w:r w:rsidR="00E56D36" w:rsidRPr="007D533D">
        <w:t>ouncil plant and equipment rates (if approved</w:t>
      </w:r>
      <w:proofErr w:type="gramStart"/>
      <w:r w:rsidR="00E56D36" w:rsidRPr="007D533D">
        <w:t>)</w:t>
      </w:r>
      <w:r w:rsidR="008023D6" w:rsidRPr="007D533D">
        <w:t>;</w:t>
      </w:r>
      <w:proofErr w:type="gramEnd"/>
    </w:p>
    <w:p w14:paraId="3D887057" w14:textId="77777777" w:rsidR="00E56D36" w:rsidRPr="007D533D" w:rsidRDefault="00CA22A7" w:rsidP="00247466">
      <w:pPr>
        <w:pStyle w:val="Bulletindent"/>
      </w:pPr>
      <w:r w:rsidRPr="007D533D">
        <w:t>d</w:t>
      </w:r>
      <w:r w:rsidR="00E56D36" w:rsidRPr="007D533D">
        <w:t>ay labour rates (if approved)</w:t>
      </w:r>
      <w:r w:rsidR="008023D6" w:rsidRPr="007D533D">
        <w:t>; and</w:t>
      </w:r>
    </w:p>
    <w:p w14:paraId="364A856F" w14:textId="77777777" w:rsidR="00E56D36" w:rsidRPr="007D533D" w:rsidRDefault="00CA22A7" w:rsidP="00247466">
      <w:pPr>
        <w:pStyle w:val="Bulletindent"/>
      </w:pPr>
      <w:r w:rsidRPr="007D533D">
        <w:t>s</w:t>
      </w:r>
      <w:r w:rsidR="00E56D36" w:rsidRPr="007D533D">
        <w:t>ite establishment</w:t>
      </w:r>
      <w:r w:rsidRPr="007D533D">
        <w:t xml:space="preserve"> and </w:t>
      </w:r>
      <w:r w:rsidR="00E56D36" w:rsidRPr="007D533D">
        <w:t>disestablishment costs</w:t>
      </w:r>
      <w:r w:rsidR="004352DA" w:rsidRPr="007D533D">
        <w:t>.</w:t>
      </w:r>
    </w:p>
    <w:p w14:paraId="63EDC645" w14:textId="77777777" w:rsidR="00E56D36" w:rsidRPr="007D533D" w:rsidRDefault="00E56D36" w:rsidP="00247466">
      <w:pPr>
        <w:pStyle w:val="Heading4numbered"/>
      </w:pPr>
      <w:r w:rsidRPr="007D533D">
        <w:t>Productivities</w:t>
      </w:r>
    </w:p>
    <w:p w14:paraId="33DC21D4" w14:textId="77777777" w:rsidR="00E56D36" w:rsidRPr="007D533D" w:rsidRDefault="00E56D36" w:rsidP="000A288F">
      <w:pPr>
        <w:pStyle w:val="NormalIndent"/>
      </w:pPr>
      <w:r w:rsidRPr="007D533D">
        <w:t xml:space="preserve">Productivities represent the rate of delivery </w:t>
      </w:r>
      <w:proofErr w:type="gramStart"/>
      <w:r w:rsidRPr="007D533D">
        <w:t>with regard to</w:t>
      </w:r>
      <w:proofErr w:type="gramEnd"/>
      <w:r w:rsidRPr="007D533D">
        <w:t xml:space="preserve"> time, typically expressed per day. Baseline productivity rates established for each standard treatment should be varied according to the applicants amended construction methodology and local conditions (including remoteness of works, delivery of materials, and workability of materials).</w:t>
      </w:r>
    </w:p>
    <w:p w14:paraId="7A9FC272" w14:textId="7AC3ECD9" w:rsidR="001D2778" w:rsidRPr="007D533D" w:rsidRDefault="001D2778" w:rsidP="00765149">
      <w:pPr>
        <w:pStyle w:val="Heading4numbered"/>
      </w:pPr>
      <w:r w:rsidRPr="007D533D">
        <w:t>Utilisation of Existing Rates</w:t>
      </w:r>
    </w:p>
    <w:p w14:paraId="34928D30" w14:textId="50335E30" w:rsidR="001D2778" w:rsidRDefault="006C358A" w:rsidP="000A288F">
      <w:pPr>
        <w:pStyle w:val="NormalIndent"/>
      </w:pPr>
      <w:r w:rsidRPr="007D533D">
        <w:t>From June 2024, w</w:t>
      </w:r>
      <w:r w:rsidR="001D2778" w:rsidRPr="007D533D">
        <w:t>here appropriate historical pricing data is held by Delivery Agencies it may be used to inform part or a whole of the development of a Cost Estimate. This may include existing quotes, tenders, supply panel contracts or the like for similarly scoped works</w:t>
      </w:r>
      <w:r w:rsidR="00BE6216">
        <w:t xml:space="preserve"> (i.e. gravel re-sheeting, formation grading, minor patching etc) provided to a Delivery Agency</w:t>
      </w:r>
      <w:r w:rsidR="001D2778" w:rsidRPr="007D533D">
        <w:t xml:space="preserve">. Where existing pricing data is to be utilised in the formation of a Cost Estimate, </w:t>
      </w:r>
      <w:r w:rsidR="00C338E4" w:rsidRPr="007D533D">
        <w:t>sufficient</w:t>
      </w:r>
      <w:r w:rsidR="001D2778" w:rsidRPr="007D533D">
        <w:t xml:space="preserve"> detail in data must be available to consider its application against Standard Treatments and identified scope of works. </w:t>
      </w:r>
      <w:r w:rsidR="00C338E4" w:rsidRPr="007D533D">
        <w:t xml:space="preserve">It is expected that where existing pricing data is to be relied upon it will be submitted as supporting documentation alongside </w:t>
      </w:r>
      <w:r w:rsidR="00882CAA" w:rsidRPr="007D533D">
        <w:t xml:space="preserve">the Reconstruction Works </w:t>
      </w:r>
      <w:r w:rsidR="00C338E4" w:rsidRPr="007D533D">
        <w:t xml:space="preserve">estimate package. </w:t>
      </w:r>
    </w:p>
    <w:p w14:paraId="1F0A96E9" w14:textId="77777777" w:rsidR="00E56D36" w:rsidRPr="007D533D" w:rsidRDefault="00E56D36" w:rsidP="00A91244">
      <w:pPr>
        <w:pStyle w:val="Heading3numbered"/>
      </w:pPr>
      <w:bookmarkStart w:id="33" w:name="_Toc170127163"/>
      <w:bookmarkStart w:id="34" w:name="_Toc170127164"/>
      <w:bookmarkStart w:id="35" w:name="_Toc170127165"/>
      <w:bookmarkEnd w:id="33"/>
      <w:bookmarkEnd w:id="34"/>
      <w:r w:rsidRPr="007D533D">
        <w:rPr>
          <w:color w:val="0063A6"/>
        </w:rPr>
        <w:t>Review</w:t>
      </w:r>
      <w:r w:rsidR="00336BEE" w:rsidRPr="007D533D">
        <w:rPr>
          <w:color w:val="0063A6"/>
        </w:rPr>
        <w:t>,</w:t>
      </w:r>
      <w:r w:rsidR="003F394A" w:rsidRPr="007D533D">
        <w:rPr>
          <w:color w:val="0063A6"/>
        </w:rPr>
        <w:t xml:space="preserve"> </w:t>
      </w:r>
      <w:r w:rsidR="006A46C4" w:rsidRPr="007D533D">
        <w:rPr>
          <w:color w:val="0063A6"/>
        </w:rPr>
        <w:t>v</w:t>
      </w:r>
      <w:r w:rsidRPr="007D533D">
        <w:rPr>
          <w:color w:val="0063A6"/>
        </w:rPr>
        <w:t>alidation</w:t>
      </w:r>
      <w:r w:rsidR="00336BEE" w:rsidRPr="007D533D">
        <w:rPr>
          <w:color w:val="0063A6"/>
        </w:rPr>
        <w:t xml:space="preserve"> and </w:t>
      </w:r>
      <w:r w:rsidR="006A46C4" w:rsidRPr="007D533D">
        <w:rPr>
          <w:color w:val="0063A6"/>
        </w:rPr>
        <w:t>a</w:t>
      </w:r>
      <w:r w:rsidRPr="007D533D">
        <w:rPr>
          <w:color w:val="0063A6"/>
        </w:rPr>
        <w:t>ssurance</w:t>
      </w:r>
      <w:bookmarkEnd w:id="35"/>
    </w:p>
    <w:p w14:paraId="744C3AC3" w14:textId="77777777" w:rsidR="00E56D36" w:rsidRDefault="00E56D36" w:rsidP="000A288F">
      <w:pPr>
        <w:pStyle w:val="NormalIndent"/>
      </w:pPr>
      <w:r w:rsidRPr="00B55CED">
        <w:t xml:space="preserve">The </w:t>
      </w:r>
      <w:r w:rsidR="00D64CE3">
        <w:t xml:space="preserve">first </w:t>
      </w:r>
      <w:r w:rsidRPr="00B55CED">
        <w:t>princip</w:t>
      </w:r>
      <w:r w:rsidR="00D64CE3">
        <w:t>le</w:t>
      </w:r>
      <w:r w:rsidRPr="00B55CED">
        <w:t xml:space="preserve">s cost estimates </w:t>
      </w:r>
      <w:r w:rsidR="0063425D" w:rsidRPr="00B55CED">
        <w:t>are</w:t>
      </w:r>
      <w:r w:rsidRPr="00B55CED">
        <w:t xml:space="preserve"> to be reviewed by the </w:t>
      </w:r>
      <w:r w:rsidR="00397EF5" w:rsidRPr="00B55CED">
        <w:t xml:space="preserve">Assessing Authority </w:t>
      </w:r>
      <w:r w:rsidRPr="00B55CED">
        <w:t>as part of the claim review process. This review shall consider the value of plant, labour an</w:t>
      </w:r>
      <w:r w:rsidRPr="005067C0">
        <w:t>d materials an</w:t>
      </w:r>
      <w:r w:rsidRPr="00B55CED">
        <w:t>d the expected duration to com</w:t>
      </w:r>
      <w:r>
        <w:t>plete the works.</w:t>
      </w:r>
    </w:p>
    <w:p w14:paraId="2B774E0A" w14:textId="77777777" w:rsidR="005C2F8D" w:rsidRDefault="00E56D36" w:rsidP="00AF7BDB">
      <w:pPr>
        <w:pStyle w:val="NormalIndent"/>
        <w:rPr>
          <w:rFonts w:asciiTheme="majorHAnsi" w:eastAsiaTheme="majorEastAsia" w:hAnsiTheme="majorHAnsi" w:cstheme="majorBidi"/>
          <w:b/>
          <w:bCs/>
          <w:color w:val="0063A6" w:themeColor="accent1"/>
          <w:sz w:val="28"/>
          <w:szCs w:val="26"/>
        </w:rPr>
      </w:pPr>
      <w:r w:rsidRPr="00E56D36">
        <w:t>The unit rates derived from the estimate may be compared against other similar type</w:t>
      </w:r>
      <w:r w:rsidR="00336BEE">
        <w:t>s</w:t>
      </w:r>
      <w:r w:rsidRPr="00E56D36">
        <w:t xml:space="preserve"> of works undertaken recently in the area. Over time</w:t>
      </w:r>
      <w:r w:rsidR="00D64CE3">
        <w:t>,</w:t>
      </w:r>
      <w:r w:rsidRPr="00E56D36">
        <w:t xml:space="preserve"> it is expected that a</w:t>
      </w:r>
      <w:r w:rsidRPr="00B55CED">
        <w:t xml:space="preserve"> </w:t>
      </w:r>
      <w:r w:rsidRPr="00E56D36">
        <w:t>library of unit rates will be compiled along with some historical information on actual costs and unit rates achieved.</w:t>
      </w:r>
      <w:r w:rsidR="005C2F8D">
        <w:br w:type="page"/>
      </w:r>
    </w:p>
    <w:p w14:paraId="1AF9B193" w14:textId="77777777" w:rsidR="00FA0326" w:rsidRPr="00EE796F" w:rsidRDefault="003F394A" w:rsidP="00A91244">
      <w:pPr>
        <w:pStyle w:val="Heading2numbered"/>
      </w:pPr>
      <w:bookmarkStart w:id="36" w:name="_Toc170127166"/>
      <w:r>
        <w:lastRenderedPageBreak/>
        <w:t xml:space="preserve">Market </w:t>
      </w:r>
      <w:r w:rsidR="006A46C4">
        <w:t>r</w:t>
      </w:r>
      <w:r w:rsidR="00E56D36" w:rsidRPr="00EE796F">
        <w:t>esponse</w:t>
      </w:r>
      <w:bookmarkEnd w:id="36"/>
    </w:p>
    <w:p w14:paraId="781E0301" w14:textId="77777777" w:rsidR="00E03E52" w:rsidRDefault="00E03E52" w:rsidP="00A91244">
      <w:pPr>
        <w:pStyle w:val="Heading3numbered"/>
      </w:pPr>
      <w:bookmarkStart w:id="37" w:name="_Toc170127167"/>
      <w:r>
        <w:rPr>
          <w:color w:val="0063A6"/>
        </w:rPr>
        <w:t>Process</w:t>
      </w:r>
      <w:bookmarkEnd w:id="37"/>
    </w:p>
    <w:p w14:paraId="32663CD1" w14:textId="77777777" w:rsidR="00E03E52" w:rsidRDefault="00E03E52" w:rsidP="000A288F">
      <w:pPr>
        <w:pStyle w:val="NormalIndent"/>
      </w:pPr>
      <w:r>
        <w:t xml:space="preserve">A market response methodology may be used in assigning direct costs to an estimated reconstruction cost. </w:t>
      </w:r>
    </w:p>
    <w:p w14:paraId="1737F6B8" w14:textId="77777777" w:rsidR="00E03E52" w:rsidRDefault="00E03E52" w:rsidP="000A288F">
      <w:pPr>
        <w:pStyle w:val="NormalIndent"/>
      </w:pPr>
      <w:r>
        <w:t>If market response is the selected method, applicable procurement processes must be followed when requesting pricing from the market.</w:t>
      </w:r>
    </w:p>
    <w:p w14:paraId="5900ADAF" w14:textId="77777777" w:rsidR="00E03E52" w:rsidRDefault="00E03E52" w:rsidP="000A288F">
      <w:pPr>
        <w:pStyle w:val="NormalIndent"/>
      </w:pPr>
      <w:r>
        <w:t>Various procurement options, depending on the size and complexity of works are available in sourcing market response</w:t>
      </w:r>
      <w:r w:rsidR="001719EF">
        <w:t>s</w:t>
      </w:r>
      <w:r>
        <w:t>. Works may be awarded based on standing offer arrangements, tender or other competitive process. In addition, works may be awarded as a design and construct contract where the scale of works is appropriate.</w:t>
      </w:r>
    </w:p>
    <w:p w14:paraId="0A13FF4C" w14:textId="3A4147FC" w:rsidR="00E03E52" w:rsidRPr="00E03E52" w:rsidRDefault="00E03E52" w:rsidP="000A288F">
      <w:pPr>
        <w:pStyle w:val="NormalIndent"/>
      </w:pPr>
      <w:r>
        <w:t>When using a market response, the</w:t>
      </w:r>
      <w:r w:rsidR="00701EBF">
        <w:t xml:space="preserve"> preferred tender</w:t>
      </w:r>
      <w:r>
        <w:t xml:space="preserve">, detailing the scope and applicable rates must be provided </w:t>
      </w:r>
      <w:r w:rsidRPr="001A134C">
        <w:t xml:space="preserve">to </w:t>
      </w:r>
      <w:r>
        <w:t>the Assessing Authority</w:t>
      </w:r>
      <w:r w:rsidRPr="00B55CED">
        <w:t xml:space="preserve"> by 31 March</w:t>
      </w:r>
      <w:r w:rsidRPr="001A134C">
        <w:t xml:space="preserve"> following</w:t>
      </w:r>
      <w:r>
        <w:t xml:space="preserve"> the financial year in which the disaster occurred.</w:t>
      </w:r>
    </w:p>
    <w:p w14:paraId="3C35CF97" w14:textId="77777777" w:rsidR="00E03E52" w:rsidRDefault="00E03E52" w:rsidP="00A91244">
      <w:pPr>
        <w:pStyle w:val="Heading3numbered"/>
      </w:pPr>
      <w:bookmarkStart w:id="38" w:name="_Toc170127168"/>
      <w:r>
        <w:rPr>
          <w:color w:val="0063A6"/>
        </w:rPr>
        <w:t>Considerations</w:t>
      </w:r>
      <w:bookmarkEnd w:id="38"/>
    </w:p>
    <w:p w14:paraId="7769AA8B" w14:textId="77777777" w:rsidR="00E03E52" w:rsidRPr="00B36974" w:rsidRDefault="00E03E52" w:rsidP="000A288F">
      <w:pPr>
        <w:pStyle w:val="NormalIndent"/>
      </w:pPr>
      <w:r w:rsidRPr="00B36974">
        <w:t>To minimise ongoing risk of cost overruns, contractual variations or delay claims, best practices should</w:t>
      </w:r>
      <w:r>
        <w:t xml:space="preserve"> </w:t>
      </w:r>
      <w:r w:rsidRPr="00B36974">
        <w:t xml:space="preserve">be implemented to ensure a successful tendering process. </w:t>
      </w:r>
      <w:r>
        <w:t>Best practices</w:t>
      </w:r>
      <w:r w:rsidRPr="00B36974">
        <w:t xml:space="preserve"> include:</w:t>
      </w:r>
    </w:p>
    <w:p w14:paraId="2BC09CC5" w14:textId="77777777" w:rsidR="00E03E52" w:rsidRPr="00B36974" w:rsidRDefault="00E03E52" w:rsidP="00247466">
      <w:pPr>
        <w:pStyle w:val="Bulletindent"/>
      </w:pPr>
      <w:r>
        <w:t>e</w:t>
      </w:r>
      <w:r w:rsidRPr="00B36974">
        <w:t>nsur</w:t>
      </w:r>
      <w:r>
        <w:t>ing</w:t>
      </w:r>
      <w:r w:rsidRPr="00B36974">
        <w:t xml:space="preserve"> </w:t>
      </w:r>
      <w:r>
        <w:t xml:space="preserve">works area is adequately scoped and </w:t>
      </w:r>
      <w:proofErr w:type="gramStart"/>
      <w:r>
        <w:t>designed</w:t>
      </w:r>
      <w:r w:rsidR="00FC0E6F">
        <w:t>;</w:t>
      </w:r>
      <w:proofErr w:type="gramEnd"/>
    </w:p>
    <w:p w14:paraId="174AF83A" w14:textId="77777777" w:rsidR="00E03E52" w:rsidRPr="00B36974" w:rsidRDefault="00E03E52" w:rsidP="00247466">
      <w:pPr>
        <w:pStyle w:val="Bulletindent"/>
      </w:pPr>
      <w:r>
        <w:t>e</w:t>
      </w:r>
      <w:r w:rsidRPr="00B36974">
        <w:t>nsur</w:t>
      </w:r>
      <w:r>
        <w:t>ing</w:t>
      </w:r>
      <w:r w:rsidRPr="00B36974">
        <w:t xml:space="preserve"> quantit</w:t>
      </w:r>
      <w:r>
        <w:t xml:space="preserve">ies and </w:t>
      </w:r>
      <w:r w:rsidRPr="00B36974">
        <w:t xml:space="preserve">price schedule </w:t>
      </w:r>
      <w:r>
        <w:t>are</w:t>
      </w:r>
      <w:r w:rsidRPr="00B36974">
        <w:t xml:space="preserve"> </w:t>
      </w:r>
      <w:proofErr w:type="gramStart"/>
      <w:r w:rsidRPr="00B36974">
        <w:t>accurate</w:t>
      </w:r>
      <w:r w:rsidR="00FC0E6F">
        <w:t>;</w:t>
      </w:r>
      <w:proofErr w:type="gramEnd"/>
    </w:p>
    <w:p w14:paraId="32218790" w14:textId="77777777" w:rsidR="00E03E52" w:rsidRDefault="00E03E52" w:rsidP="00247466">
      <w:pPr>
        <w:pStyle w:val="Bulletindent"/>
      </w:pPr>
      <w:r>
        <w:t>p</w:t>
      </w:r>
      <w:r w:rsidRPr="00B36974">
        <w:t>rovid</w:t>
      </w:r>
      <w:r>
        <w:t>ing</w:t>
      </w:r>
      <w:r w:rsidRPr="00B36974">
        <w:t xml:space="preserve"> sufficient time for contractors to </w:t>
      </w:r>
      <w:proofErr w:type="gramStart"/>
      <w:r w:rsidRPr="00B36974">
        <w:t>price</w:t>
      </w:r>
      <w:r w:rsidR="00FC0E6F">
        <w:t>;</w:t>
      </w:r>
      <w:proofErr w:type="gramEnd"/>
    </w:p>
    <w:p w14:paraId="4B5A6585" w14:textId="77777777" w:rsidR="00E03E52" w:rsidRDefault="00E03E52" w:rsidP="00247466">
      <w:pPr>
        <w:pStyle w:val="Bulletindent"/>
      </w:pPr>
      <w:r>
        <w:t xml:space="preserve">programming works to avoid known periods of weather-related </w:t>
      </w:r>
      <w:proofErr w:type="gramStart"/>
      <w:r>
        <w:t>disruptions</w:t>
      </w:r>
      <w:r w:rsidR="00FC0E6F">
        <w:t>;</w:t>
      </w:r>
      <w:proofErr w:type="gramEnd"/>
    </w:p>
    <w:p w14:paraId="65F580B9" w14:textId="77777777" w:rsidR="00E03E52" w:rsidRPr="00B36974" w:rsidRDefault="00E03E52" w:rsidP="00247466">
      <w:pPr>
        <w:pStyle w:val="Bulletindent"/>
      </w:pPr>
      <w:r>
        <w:t>using contractors for concurrent projects in the same region where value for money can be maintained</w:t>
      </w:r>
      <w:r w:rsidR="00FC0E6F">
        <w:t>; and</w:t>
      </w:r>
    </w:p>
    <w:p w14:paraId="16581825" w14:textId="77777777" w:rsidR="00E03E52" w:rsidRDefault="00E03E52" w:rsidP="00247466">
      <w:pPr>
        <w:pStyle w:val="Bulletindent"/>
      </w:pPr>
      <w:r>
        <w:t>e</w:t>
      </w:r>
      <w:r w:rsidRPr="00EA40D4">
        <w:t>nsu</w:t>
      </w:r>
      <w:r>
        <w:t>ring D</w:t>
      </w:r>
      <w:r w:rsidRPr="00EA40D4">
        <w:t xml:space="preserve">elivery </w:t>
      </w:r>
      <w:r>
        <w:t>A</w:t>
      </w:r>
      <w:r w:rsidRPr="00EA40D4">
        <w:t>genc</w:t>
      </w:r>
      <w:r>
        <w:t>y’s</w:t>
      </w:r>
      <w:r w:rsidRPr="00EA40D4">
        <w:t xml:space="preserve"> procurement guidelines are adhered to</w:t>
      </w:r>
      <w:r>
        <w:t>.</w:t>
      </w:r>
    </w:p>
    <w:p w14:paraId="4CA2FC3D" w14:textId="77777777" w:rsidR="00C6168C" w:rsidRDefault="004F2D79" w:rsidP="00C6168C">
      <w:pPr>
        <w:pStyle w:val="Heading3numbered"/>
      </w:pPr>
      <w:bookmarkStart w:id="39" w:name="_Toc170127169"/>
      <w:r>
        <w:t>Provisional / Additional Works Items</w:t>
      </w:r>
      <w:bookmarkEnd w:id="39"/>
    </w:p>
    <w:p w14:paraId="23B37DDD" w14:textId="77777777" w:rsidR="003E3574" w:rsidRDefault="00AA66AA" w:rsidP="003E3574">
      <w:pPr>
        <w:pStyle w:val="NormalIndent"/>
      </w:pPr>
      <w:r w:rsidRPr="00BC7E0C">
        <w:t xml:space="preserve">Provisional </w:t>
      </w:r>
      <w:r w:rsidR="00CB15A5">
        <w:t>and</w:t>
      </w:r>
      <w:r>
        <w:t xml:space="preserve"> Additional Works Items</w:t>
      </w:r>
      <w:r w:rsidRPr="00BC7E0C">
        <w:t xml:space="preserve"> are utilised in a road construction contract to </w:t>
      </w:r>
      <w:r w:rsidR="00BB7AD9">
        <w:t xml:space="preserve">establish </w:t>
      </w:r>
      <w:r w:rsidRPr="00BC7E0C">
        <w:t xml:space="preserve">a unit rate where there </w:t>
      </w:r>
      <w:r>
        <w:t xml:space="preserve">may be </w:t>
      </w:r>
      <w:r w:rsidR="00EC263F">
        <w:t xml:space="preserve">a change </w:t>
      </w:r>
      <w:r>
        <w:t>in</w:t>
      </w:r>
      <w:r w:rsidRPr="00BC7E0C">
        <w:t xml:space="preserve"> the quantity beyond the </w:t>
      </w:r>
      <w:r>
        <w:t>original scope in which a tender price has been received.</w:t>
      </w:r>
      <w:r w:rsidR="00FC77FE">
        <w:t xml:space="preserve"> </w:t>
      </w:r>
      <w:r w:rsidR="00FC77FE" w:rsidRPr="00FC77FE">
        <w:t>The inclusion of Provisional / Additional Work Items in tenders is a common practise to provide a degree of certainty to the client on the value of additional works if they are requested/required.</w:t>
      </w:r>
    </w:p>
    <w:p w14:paraId="37F048A0" w14:textId="77777777" w:rsidR="00F97148" w:rsidRDefault="00944033" w:rsidP="00F97148">
      <w:pPr>
        <w:pStyle w:val="NormalIndent"/>
      </w:pPr>
      <w:r>
        <w:t>Where provisional items have been included in a tender (</w:t>
      </w:r>
      <w:r w:rsidR="00AA6D54">
        <w:t>direct cost), and the quantities reflect the design</w:t>
      </w:r>
      <w:r w:rsidR="003E3574">
        <w:t xml:space="preserve"> and eligible scope </w:t>
      </w:r>
      <w:r w:rsidR="00AA6D54">
        <w:t>at the time of tender</w:t>
      </w:r>
      <w:r w:rsidR="00AA2EBC">
        <w:t xml:space="preserve">, these costs </w:t>
      </w:r>
      <w:r w:rsidR="00900D06">
        <w:t>will</w:t>
      </w:r>
      <w:r w:rsidR="00AA2EBC">
        <w:t xml:space="preserve"> be considered elig</w:t>
      </w:r>
      <w:r w:rsidR="00206701">
        <w:t>i</w:t>
      </w:r>
      <w:r w:rsidR="00AA2EBC">
        <w:t xml:space="preserve">ble. </w:t>
      </w:r>
    </w:p>
    <w:p w14:paraId="181EE497" w14:textId="2086F5C3" w:rsidR="00765149" w:rsidRDefault="00BA4277" w:rsidP="00605279">
      <w:pPr>
        <w:pStyle w:val="NormalIndent"/>
      </w:pPr>
      <w:r>
        <w:t>A</w:t>
      </w:r>
      <w:r w:rsidR="00206701">
        <w:t>dditional</w:t>
      </w:r>
      <w:r w:rsidR="00FC4786">
        <w:t xml:space="preserve"> </w:t>
      </w:r>
      <w:r w:rsidR="00206701">
        <w:t>w</w:t>
      </w:r>
      <w:r w:rsidR="00FC4786">
        <w:t xml:space="preserve">orks </w:t>
      </w:r>
      <w:r w:rsidR="00900D06">
        <w:t>i</w:t>
      </w:r>
      <w:r w:rsidR="00FC4786">
        <w:t>tems</w:t>
      </w:r>
      <w:r>
        <w:t xml:space="preserve"> are generally used at time of tender </w:t>
      </w:r>
      <w:r w:rsidR="00931F41">
        <w:t>where it is not certain</w:t>
      </w:r>
      <w:r w:rsidR="004D3EC2">
        <w:t xml:space="preserve"> that</w:t>
      </w:r>
      <w:r w:rsidR="00931F41">
        <w:t xml:space="preserve"> the scope is required. If these </w:t>
      </w:r>
      <w:r w:rsidR="00926A22">
        <w:t xml:space="preserve">items and </w:t>
      </w:r>
      <w:r w:rsidR="00CB15A5">
        <w:t>quantities</w:t>
      </w:r>
      <w:r w:rsidR="00926A22">
        <w:t xml:space="preserve"> are in addition to the quantities that reflect the design and </w:t>
      </w:r>
      <w:r w:rsidR="00CB15A5">
        <w:t>eligible</w:t>
      </w:r>
      <w:r w:rsidR="00926A22">
        <w:t xml:space="preserve"> scope at time of tender</w:t>
      </w:r>
      <w:r w:rsidR="00CB15A5">
        <w:t xml:space="preserve">, these items and costs should form part of the contingency allowance for the </w:t>
      </w:r>
      <w:r w:rsidR="00BE65A9">
        <w:t>Certified</w:t>
      </w:r>
      <w:r w:rsidR="00CE0FEE">
        <w:t xml:space="preserve"> Estimates </w:t>
      </w:r>
      <w:r w:rsidR="00BE65A9">
        <w:t xml:space="preserve">Works </w:t>
      </w:r>
      <w:r w:rsidR="00CE0FEE">
        <w:t>Package</w:t>
      </w:r>
      <w:r w:rsidR="00247437">
        <w:t>.</w:t>
      </w:r>
    </w:p>
    <w:p w14:paraId="748EFC73" w14:textId="77777777" w:rsidR="00765149" w:rsidRDefault="00765149">
      <w:pPr>
        <w:spacing w:before="0" w:after="0" w:line="240" w:lineRule="auto"/>
      </w:pPr>
      <w:r>
        <w:br w:type="page"/>
      </w:r>
    </w:p>
    <w:p w14:paraId="74342CC0" w14:textId="77777777" w:rsidR="00FC77FE" w:rsidRDefault="00FC77FE" w:rsidP="00FC77FE">
      <w:pPr>
        <w:pStyle w:val="Heading3numbered"/>
      </w:pPr>
      <w:bookmarkStart w:id="40" w:name="_Toc170127170"/>
      <w:r>
        <w:lastRenderedPageBreak/>
        <w:t>Examples of Provisional or Additional Works Items</w:t>
      </w:r>
      <w:bookmarkEnd w:id="40"/>
    </w:p>
    <w:p w14:paraId="10A5AEEC" w14:textId="77777777" w:rsidR="00FC77FE" w:rsidRDefault="00FC77FE" w:rsidP="00FC77FE">
      <w:pPr>
        <w:pStyle w:val="NormalIndent"/>
      </w:pPr>
      <w:r w:rsidRPr="00AF7BDB">
        <w:rPr>
          <w:u w:val="single"/>
        </w:rPr>
        <w:t>Provisional Work Item:</w:t>
      </w:r>
      <w:r>
        <w:t xml:space="preserve"> Remove Silt and Debris</w:t>
      </w:r>
    </w:p>
    <w:p w14:paraId="3F34603D" w14:textId="77777777" w:rsidR="00FC77FE" w:rsidRDefault="00FC77FE" w:rsidP="00FC77FE">
      <w:pPr>
        <w:pStyle w:val="NormalIndent"/>
      </w:pPr>
      <w:r w:rsidRPr="00AF7BDB">
        <w:rPr>
          <w:u w:val="single"/>
        </w:rPr>
        <w:t>Standard Unit of Measure:</w:t>
      </w:r>
      <w:r>
        <w:t xml:space="preserve"> m3</w:t>
      </w:r>
    </w:p>
    <w:p w14:paraId="575CC918" w14:textId="77777777" w:rsidR="00FC77FE" w:rsidRDefault="00FC77FE" w:rsidP="00FC77FE">
      <w:pPr>
        <w:pStyle w:val="NormalIndent"/>
      </w:pPr>
      <w:r w:rsidRPr="00AF7BDB">
        <w:rPr>
          <w:u w:val="single"/>
        </w:rPr>
        <w:t>Assessment:</w:t>
      </w:r>
      <w:r>
        <w:t xml:space="preserve"> The agreed eligible scope of this activity is 10m3 and would represent the eligible direct cost. Any quantity included in the tender over and above the 10m3 would be not considered a direct cost. Any variance to this quantity experienced during construction, and subsequent additional cost, would be considered as part of the contingency for the submission.</w:t>
      </w:r>
    </w:p>
    <w:p w14:paraId="1D9B7BC2" w14:textId="77777777" w:rsidR="00FC77FE" w:rsidRDefault="00FC77FE" w:rsidP="00FC77FE">
      <w:pPr>
        <w:pStyle w:val="NormalIndent"/>
      </w:pPr>
    </w:p>
    <w:p w14:paraId="70E77360" w14:textId="77777777" w:rsidR="00FC77FE" w:rsidRDefault="00FC77FE" w:rsidP="00FC77FE">
      <w:pPr>
        <w:pStyle w:val="NormalIndent"/>
      </w:pPr>
      <w:r w:rsidRPr="00AF7BDB">
        <w:rPr>
          <w:u w:val="single"/>
        </w:rPr>
        <w:t>Provisional Work Item:</w:t>
      </w:r>
      <w:r>
        <w:t xml:space="preserve"> Subgrade Treatment Type B – Rockfill.</w:t>
      </w:r>
    </w:p>
    <w:p w14:paraId="7A422906" w14:textId="77777777" w:rsidR="00FC77FE" w:rsidRDefault="00FC77FE" w:rsidP="00FC77FE">
      <w:pPr>
        <w:pStyle w:val="NormalIndent"/>
      </w:pPr>
      <w:r w:rsidRPr="00AF7BDB">
        <w:rPr>
          <w:u w:val="single"/>
        </w:rPr>
        <w:t>Standard Unit of Measure:</w:t>
      </w:r>
      <w:r>
        <w:t xml:space="preserve"> m3</w:t>
      </w:r>
    </w:p>
    <w:p w14:paraId="572CD4D2" w14:textId="77777777" w:rsidR="00FC77FE" w:rsidRDefault="00FC77FE" w:rsidP="00FC77FE">
      <w:pPr>
        <w:pStyle w:val="NormalIndent"/>
      </w:pPr>
      <w:r w:rsidRPr="00AF7BDB">
        <w:rPr>
          <w:u w:val="single"/>
        </w:rPr>
        <w:t>Assessment:</w:t>
      </w:r>
      <w:r>
        <w:t xml:space="preserve"> The site investigations and subsequent design for the eligible scope of works have determined that only Subgrade Treatment Type A – General Fill in only anticipated to be required. To obtain certainty in other subgrade treatment types (i.e. Type B – Rock) pricing at time of tender, this provisional item is proposed to be also included the tender.  As the Type A treatment is anticipated to be required, this can be considered part of the direct costs. Any provision for the Type B treatment would be considered as part of the contingency for the submission.</w:t>
      </w:r>
    </w:p>
    <w:p w14:paraId="6DED700D" w14:textId="77777777" w:rsidR="00FC77FE" w:rsidRDefault="00FC77FE" w:rsidP="00FC77FE">
      <w:pPr>
        <w:pStyle w:val="NormalIndent"/>
      </w:pPr>
    </w:p>
    <w:p w14:paraId="48F094EA" w14:textId="77777777" w:rsidR="00FC77FE" w:rsidRDefault="00FC77FE" w:rsidP="00FC77FE">
      <w:pPr>
        <w:pStyle w:val="NormalIndent"/>
      </w:pPr>
      <w:r w:rsidRPr="00AF7BDB">
        <w:rPr>
          <w:u w:val="single"/>
        </w:rPr>
        <w:t>Additional Work Item:</w:t>
      </w:r>
      <w:r>
        <w:t xml:space="preserve"> Additional supply and lay 100 mm PVC pipe.</w:t>
      </w:r>
    </w:p>
    <w:p w14:paraId="508DA7F4" w14:textId="77777777" w:rsidR="00FC77FE" w:rsidRDefault="00FC77FE" w:rsidP="00FC77FE">
      <w:pPr>
        <w:pStyle w:val="NormalIndent"/>
      </w:pPr>
      <w:r w:rsidRPr="00AF7BDB">
        <w:rPr>
          <w:u w:val="single"/>
        </w:rPr>
        <w:t>Standard Unit of Measure:</w:t>
      </w:r>
      <w:r>
        <w:t xml:space="preserve"> Lm</w:t>
      </w:r>
    </w:p>
    <w:p w14:paraId="65711866" w14:textId="77777777" w:rsidR="00FC77FE" w:rsidRDefault="00FC77FE" w:rsidP="00FC77FE">
      <w:pPr>
        <w:pStyle w:val="NormalIndent"/>
      </w:pPr>
      <w:r w:rsidRPr="00AF7BDB">
        <w:rPr>
          <w:u w:val="single"/>
        </w:rPr>
        <w:t>Assessment:</w:t>
      </w:r>
      <w:r>
        <w:t xml:space="preserve"> The eligible scope of works has determined that 120 Lm of 100m PVC Pipe is required to be constructed as part of the works. An item for 12 Lm of ‘Additional supply and lay of 100mm PVC pipe’ has been included in the tender schedule. As this quantity is over and above the approved eligible scope this should not be part of the direct costs but rather be considered part of the contingency allowance.</w:t>
      </w:r>
    </w:p>
    <w:p w14:paraId="3EC1FC50" w14:textId="77777777" w:rsidR="00FC77FE" w:rsidRDefault="00FC77FE" w:rsidP="00605279">
      <w:pPr>
        <w:pStyle w:val="NormalIndent"/>
      </w:pPr>
    </w:p>
    <w:p w14:paraId="32F95B2F" w14:textId="77777777" w:rsidR="00FC77FE" w:rsidRDefault="00FC77FE" w:rsidP="00FC77FE">
      <w:pPr>
        <w:pStyle w:val="Heading3numbered"/>
      </w:pPr>
      <w:bookmarkStart w:id="41" w:name="_Toc170127171"/>
      <w:r>
        <w:t>Procurement</w:t>
      </w:r>
      <w:bookmarkEnd w:id="41"/>
    </w:p>
    <w:p w14:paraId="232BF6EA" w14:textId="77777777" w:rsidR="006D5EC5" w:rsidRDefault="006D5EC5" w:rsidP="000A288F">
      <w:pPr>
        <w:pStyle w:val="NormalIndent"/>
      </w:pPr>
      <w:r>
        <w:t>In addition to meeting relevant procurement requirements, effective procurement may include:</w:t>
      </w:r>
    </w:p>
    <w:p w14:paraId="68AC2481" w14:textId="77777777" w:rsidR="006D5EC5" w:rsidRPr="00EA40D4" w:rsidRDefault="00C5189F" w:rsidP="00247466">
      <w:pPr>
        <w:pStyle w:val="Bulletindent"/>
      </w:pPr>
      <w:r>
        <w:t>u</w:t>
      </w:r>
      <w:r w:rsidR="006D5EC5" w:rsidRPr="00EA40D4">
        <w:t xml:space="preserve">sing appropriate means to invite </w:t>
      </w:r>
      <w:proofErr w:type="gramStart"/>
      <w:r w:rsidR="006D5EC5" w:rsidRPr="00EA40D4">
        <w:t>tenders</w:t>
      </w:r>
      <w:r w:rsidR="00FC0E6F">
        <w:t>;</w:t>
      </w:r>
      <w:proofErr w:type="gramEnd"/>
    </w:p>
    <w:p w14:paraId="2F015D3A" w14:textId="77777777" w:rsidR="006D5EC5" w:rsidRPr="00EA40D4" w:rsidRDefault="00C5189F" w:rsidP="00247466">
      <w:pPr>
        <w:pStyle w:val="Bulletindent"/>
      </w:pPr>
      <w:r>
        <w:t>r</w:t>
      </w:r>
      <w:r w:rsidR="006D5EC5" w:rsidRPr="00EA40D4">
        <w:t>unning a robust evaluation process, including documenting evaluation criteria and reasons for selecting</w:t>
      </w:r>
      <w:r w:rsidR="00FC0E6F">
        <w:t>; and</w:t>
      </w:r>
    </w:p>
    <w:p w14:paraId="62625748" w14:textId="77777777" w:rsidR="006D5EC5" w:rsidRPr="00EA40D4" w:rsidRDefault="00C5189F" w:rsidP="00247466">
      <w:pPr>
        <w:pStyle w:val="Bulletindent"/>
      </w:pPr>
      <w:r>
        <w:t>a</w:t>
      </w:r>
      <w:r w:rsidR="006D5EC5" w:rsidRPr="00EA40D4">
        <w:t>ppropriate consideration and weighting of price and non-price criteria</w:t>
      </w:r>
      <w:r w:rsidR="00301DF2">
        <w:t>.</w:t>
      </w:r>
    </w:p>
    <w:bookmarkEnd w:id="20"/>
    <w:p w14:paraId="71BB3D7E" w14:textId="77777777" w:rsidR="005C2F8D" w:rsidRDefault="005C2F8D">
      <w:pPr>
        <w:spacing w:before="0" w:after="0" w:line="240" w:lineRule="auto"/>
        <w:rPr>
          <w:rFonts w:asciiTheme="majorHAnsi" w:eastAsiaTheme="majorEastAsia" w:hAnsiTheme="majorHAnsi" w:cstheme="majorBidi"/>
          <w:b/>
          <w:bCs/>
          <w:color w:val="201547"/>
          <w:spacing w:val="-1"/>
          <w:sz w:val="36"/>
          <w:szCs w:val="28"/>
        </w:rPr>
      </w:pPr>
      <w:r>
        <w:br w:type="page"/>
      </w:r>
    </w:p>
    <w:p w14:paraId="373310E5" w14:textId="77777777" w:rsidR="001D3811" w:rsidRPr="00EE796F" w:rsidRDefault="003F394A" w:rsidP="00A91244">
      <w:pPr>
        <w:pStyle w:val="Heading1numbered"/>
      </w:pPr>
      <w:bookmarkStart w:id="42" w:name="_Toc170127172"/>
      <w:r>
        <w:lastRenderedPageBreak/>
        <w:t xml:space="preserve">Indirect </w:t>
      </w:r>
      <w:r w:rsidR="006A46C4">
        <w:t>c</w:t>
      </w:r>
      <w:r w:rsidR="00E56D36" w:rsidRPr="00EE796F">
        <w:t>osts</w:t>
      </w:r>
      <w:bookmarkEnd w:id="42"/>
    </w:p>
    <w:p w14:paraId="3D1C006D" w14:textId="77777777" w:rsidR="006339AF" w:rsidRDefault="006339AF" w:rsidP="00BA4FAD">
      <w:pPr>
        <w:pStyle w:val="Heading2numbered"/>
      </w:pPr>
      <w:bookmarkStart w:id="43" w:name="_Toc170127173"/>
      <w:r>
        <w:t>Introduction</w:t>
      </w:r>
      <w:bookmarkEnd w:id="43"/>
    </w:p>
    <w:p w14:paraId="76492A43" w14:textId="77777777" w:rsidR="00911F3E" w:rsidRDefault="00911F3E" w:rsidP="00911F3E">
      <w:pPr>
        <w:pStyle w:val="NormalIndent"/>
      </w:pPr>
      <w:r>
        <w:t xml:space="preserve">The </w:t>
      </w:r>
      <w:r w:rsidR="000A4171">
        <w:t>allocation</w:t>
      </w:r>
      <w:r>
        <w:t xml:space="preserve"> of indirect costs associated with road construction projects can be influenced by </w:t>
      </w:r>
      <w:proofErr w:type="gramStart"/>
      <w:r>
        <w:t>a number of</w:t>
      </w:r>
      <w:proofErr w:type="gramEnd"/>
      <w:r>
        <w:t xml:space="preserve"> factors. </w:t>
      </w:r>
      <w:r w:rsidR="00EF07FA">
        <w:t xml:space="preserve">The </w:t>
      </w:r>
      <w:r>
        <w:t>key factors include</w:t>
      </w:r>
      <w:r w:rsidR="00976073">
        <w:t xml:space="preserve"> the</w:t>
      </w:r>
      <w:r>
        <w:t>:</w:t>
      </w:r>
    </w:p>
    <w:p w14:paraId="6FE75648" w14:textId="77777777" w:rsidR="00911F3E" w:rsidRDefault="00911F3E" w:rsidP="00911F3E">
      <w:pPr>
        <w:pStyle w:val="Bulletindent"/>
      </w:pPr>
      <w:r>
        <w:t>Complexity of</w:t>
      </w:r>
      <w:r w:rsidR="00976073">
        <w:t xml:space="preserve"> the</w:t>
      </w:r>
      <w:r>
        <w:t xml:space="preserve"> </w:t>
      </w:r>
      <w:proofErr w:type="gramStart"/>
      <w:r>
        <w:t>works</w:t>
      </w:r>
      <w:r w:rsidR="00976073">
        <w:t>;</w:t>
      </w:r>
      <w:proofErr w:type="gramEnd"/>
    </w:p>
    <w:p w14:paraId="18E5F16F" w14:textId="77777777" w:rsidR="00911F3E" w:rsidRDefault="00911F3E" w:rsidP="00911F3E">
      <w:pPr>
        <w:pStyle w:val="Bulletindent"/>
      </w:pPr>
      <w:r>
        <w:t xml:space="preserve">Degree of investigations and </w:t>
      </w:r>
      <w:r w:rsidR="00976073">
        <w:t xml:space="preserve">the </w:t>
      </w:r>
      <w:r>
        <w:t xml:space="preserve">design </w:t>
      </w:r>
      <w:proofErr w:type="gramStart"/>
      <w:r>
        <w:t>required</w:t>
      </w:r>
      <w:r w:rsidR="00976073">
        <w:t>;</w:t>
      </w:r>
      <w:proofErr w:type="gramEnd"/>
    </w:p>
    <w:p w14:paraId="486BEABE" w14:textId="77777777" w:rsidR="00911F3E" w:rsidRDefault="00911F3E" w:rsidP="00911F3E">
      <w:pPr>
        <w:pStyle w:val="Bulletindent"/>
      </w:pPr>
      <w:r>
        <w:t xml:space="preserve">Degree of interface with </w:t>
      </w:r>
      <w:r w:rsidR="00976073">
        <w:t xml:space="preserve">the </w:t>
      </w:r>
      <w:r>
        <w:t xml:space="preserve">community and live </w:t>
      </w:r>
      <w:proofErr w:type="gramStart"/>
      <w:r>
        <w:t>traffic</w:t>
      </w:r>
      <w:r w:rsidR="00976073">
        <w:t>;</w:t>
      </w:r>
      <w:proofErr w:type="gramEnd"/>
    </w:p>
    <w:p w14:paraId="6F19566F" w14:textId="77777777" w:rsidR="00911F3E" w:rsidRDefault="00911F3E" w:rsidP="00911F3E">
      <w:pPr>
        <w:pStyle w:val="Bulletindent"/>
      </w:pPr>
      <w:r>
        <w:t>Duration of the works and</w:t>
      </w:r>
      <w:r w:rsidR="00976073">
        <w:t xml:space="preserve"> the</w:t>
      </w:r>
      <w:r>
        <w:t xml:space="preserve"> number of concurrent works </w:t>
      </w:r>
      <w:proofErr w:type="gramStart"/>
      <w:r>
        <w:t>fronts</w:t>
      </w:r>
      <w:r w:rsidR="00976073">
        <w:t>;</w:t>
      </w:r>
      <w:proofErr w:type="gramEnd"/>
    </w:p>
    <w:p w14:paraId="3A15D13E" w14:textId="77777777" w:rsidR="00911F3E" w:rsidRDefault="00911F3E" w:rsidP="00911F3E">
      <w:pPr>
        <w:pStyle w:val="Bulletindent"/>
      </w:pPr>
      <w:r>
        <w:t xml:space="preserve">Level of community consultation and engagement </w:t>
      </w:r>
      <w:proofErr w:type="gramStart"/>
      <w:r>
        <w:t>required</w:t>
      </w:r>
      <w:r w:rsidR="00976073">
        <w:t>;</w:t>
      </w:r>
      <w:proofErr w:type="gramEnd"/>
    </w:p>
    <w:p w14:paraId="7209072B" w14:textId="77777777" w:rsidR="00911F3E" w:rsidRDefault="00911F3E" w:rsidP="00911F3E">
      <w:pPr>
        <w:pStyle w:val="Bulletindent"/>
      </w:pPr>
      <w:r>
        <w:t>Degree of environmental factors that require oversight</w:t>
      </w:r>
      <w:r w:rsidR="00976073">
        <w:t>; and</w:t>
      </w:r>
    </w:p>
    <w:p w14:paraId="5F65000B" w14:textId="77777777" w:rsidR="00911F3E" w:rsidRDefault="00911F3E" w:rsidP="00911F3E">
      <w:pPr>
        <w:pStyle w:val="Bulletindent"/>
      </w:pPr>
      <w:r>
        <w:t>Location of works</w:t>
      </w:r>
      <w:r w:rsidR="00976073">
        <w:t>.</w:t>
      </w:r>
    </w:p>
    <w:p w14:paraId="40BF96EA" w14:textId="77777777" w:rsidR="00DA06EC" w:rsidRDefault="000A4171" w:rsidP="000A288F">
      <w:pPr>
        <w:pStyle w:val="NormalIndent"/>
      </w:pPr>
      <w:r>
        <w:t xml:space="preserve">In general, for a reconstruction project, allowances should be made for </w:t>
      </w:r>
      <w:r w:rsidR="00DA06EC">
        <w:t xml:space="preserve">the following indirect costs: </w:t>
      </w:r>
    </w:p>
    <w:p w14:paraId="110D5E96" w14:textId="77777777" w:rsidR="00DA06EC" w:rsidRDefault="00C5189F" w:rsidP="00247466">
      <w:pPr>
        <w:pStyle w:val="Bulletindent"/>
      </w:pPr>
      <w:r>
        <w:t>d</w:t>
      </w:r>
      <w:r w:rsidR="00DA06EC">
        <w:t>esign</w:t>
      </w:r>
    </w:p>
    <w:p w14:paraId="48F25039" w14:textId="77777777" w:rsidR="00CD514E" w:rsidRDefault="00C5189F" w:rsidP="00247466">
      <w:pPr>
        <w:pStyle w:val="Bulletindent"/>
      </w:pPr>
      <w:r>
        <w:t>p</w:t>
      </w:r>
      <w:r w:rsidR="00DA06EC">
        <w:t>roject management</w:t>
      </w:r>
    </w:p>
    <w:p w14:paraId="12FC693C" w14:textId="77777777" w:rsidR="00301DF2" w:rsidRDefault="00CD514E" w:rsidP="00247466">
      <w:pPr>
        <w:pStyle w:val="Bulletindent"/>
      </w:pPr>
      <w:r>
        <w:t>contract administration</w:t>
      </w:r>
      <w:r w:rsidR="00DA06EC">
        <w:t xml:space="preserve"> </w:t>
      </w:r>
    </w:p>
    <w:p w14:paraId="785DE40E" w14:textId="77777777" w:rsidR="00DA06EC" w:rsidRPr="00301DF2" w:rsidRDefault="000A4171" w:rsidP="000A288F">
      <w:pPr>
        <w:pStyle w:val="NormalIndent"/>
      </w:pPr>
      <w:r>
        <w:t xml:space="preserve">Guidance in the allowances for these indirect cost components when establishing an </w:t>
      </w:r>
      <w:r w:rsidR="00DA06EC">
        <w:t xml:space="preserve">estimated reconstruction cost are summarised below. </w:t>
      </w:r>
    </w:p>
    <w:p w14:paraId="4502F54E" w14:textId="77777777" w:rsidR="00FA0326" w:rsidRPr="00EE796F" w:rsidRDefault="006D5EC5" w:rsidP="00A91244">
      <w:pPr>
        <w:pStyle w:val="Heading2numbered"/>
      </w:pPr>
      <w:bookmarkStart w:id="44" w:name="_Toc170127174"/>
      <w:r w:rsidRPr="00EE796F">
        <w:t>Design</w:t>
      </w:r>
      <w:bookmarkEnd w:id="44"/>
    </w:p>
    <w:p w14:paraId="1D8993DE" w14:textId="77777777" w:rsidR="006D5EC5" w:rsidRDefault="006D5EC5" w:rsidP="00247466">
      <w:pPr>
        <w:pStyle w:val="NormalIndent"/>
        <w:keepNext/>
      </w:pPr>
      <w:r>
        <w:t xml:space="preserve">Design </w:t>
      </w:r>
      <w:r w:rsidR="00D358F2">
        <w:t>c</w:t>
      </w:r>
      <w:r>
        <w:t xml:space="preserve">osts can vary widely depending on the complexity of the works and location. Works may vary from simple maintenance style interventions through to complex geotechnical projects with difficult environmental interfaces. Accordingly, </w:t>
      </w:r>
      <w:r w:rsidR="00182BCF">
        <w:t xml:space="preserve">design </w:t>
      </w:r>
      <w:r w:rsidR="00D358F2">
        <w:t>c</w:t>
      </w:r>
      <w:r>
        <w:t>osts may vary from 0.5</w:t>
      </w:r>
      <w:r w:rsidR="00C5189F">
        <w:t xml:space="preserve"> </w:t>
      </w:r>
      <w:r w:rsidR="00D358F2">
        <w:t xml:space="preserve">to </w:t>
      </w:r>
      <w:r>
        <w:t>15</w:t>
      </w:r>
      <w:r w:rsidR="005C2F8D">
        <w:t> per cent</w:t>
      </w:r>
      <w:r>
        <w:t>.</w:t>
      </w:r>
    </w:p>
    <w:p w14:paraId="41FA8005" w14:textId="77777777" w:rsidR="006D5EC5" w:rsidRDefault="006D5EC5" w:rsidP="000A288F">
      <w:pPr>
        <w:pStyle w:val="NormalIndent"/>
      </w:pPr>
      <w:r>
        <w:t>Design includes, but is not limited to, the following activities:</w:t>
      </w:r>
    </w:p>
    <w:p w14:paraId="420E0786" w14:textId="77777777" w:rsidR="006D5EC5" w:rsidRDefault="00C5189F" w:rsidP="00247466">
      <w:pPr>
        <w:pStyle w:val="Bulletindent"/>
      </w:pPr>
      <w:r>
        <w:t>o</w:t>
      </w:r>
      <w:r w:rsidR="006D5EC5">
        <w:t xml:space="preserve">ptions identification and </w:t>
      </w:r>
      <w:proofErr w:type="gramStart"/>
      <w:r w:rsidR="006D5EC5">
        <w:t>analysis</w:t>
      </w:r>
      <w:r w:rsidR="006A46C4">
        <w:t>;</w:t>
      </w:r>
      <w:proofErr w:type="gramEnd"/>
    </w:p>
    <w:p w14:paraId="2F437300" w14:textId="77777777" w:rsidR="006D5EC5" w:rsidRDefault="00C5189F" w:rsidP="00247466">
      <w:pPr>
        <w:pStyle w:val="Bulletindent"/>
      </w:pPr>
      <w:r>
        <w:t>d</w:t>
      </w:r>
      <w:r w:rsidR="006D5EC5">
        <w:t xml:space="preserve">esign </w:t>
      </w:r>
      <w:proofErr w:type="gramStart"/>
      <w:r w:rsidR="006D5EC5">
        <w:t>development</w:t>
      </w:r>
      <w:r w:rsidR="006A46C4">
        <w:t>;</w:t>
      </w:r>
      <w:proofErr w:type="gramEnd"/>
    </w:p>
    <w:p w14:paraId="499FA03D" w14:textId="77777777" w:rsidR="006D5EC5" w:rsidRDefault="00C5189F" w:rsidP="00247466">
      <w:pPr>
        <w:pStyle w:val="Bulletindent"/>
      </w:pPr>
      <w:r>
        <w:t>d</w:t>
      </w:r>
      <w:r w:rsidR="006D5EC5">
        <w:t xml:space="preserve">etailed design </w:t>
      </w:r>
      <w:r w:rsidR="004E04BF">
        <w:t>and</w:t>
      </w:r>
      <w:r w:rsidR="006D5EC5">
        <w:t xml:space="preserve"> tender design </w:t>
      </w:r>
      <w:proofErr w:type="gramStart"/>
      <w:r w:rsidR="006D5EC5">
        <w:t>documentation</w:t>
      </w:r>
      <w:r w:rsidR="006A46C4">
        <w:t>;</w:t>
      </w:r>
      <w:proofErr w:type="gramEnd"/>
    </w:p>
    <w:p w14:paraId="0BD32AD1" w14:textId="77777777" w:rsidR="006D5EC5" w:rsidRDefault="00C5189F" w:rsidP="00247466">
      <w:pPr>
        <w:pStyle w:val="Bulletindent"/>
      </w:pPr>
      <w:r>
        <w:t>i</w:t>
      </w:r>
      <w:r w:rsidR="006D5EC5">
        <w:t xml:space="preserve">nvestigations covering requirements </w:t>
      </w:r>
      <w:r w:rsidR="004E04BF">
        <w:t>and</w:t>
      </w:r>
      <w:r w:rsidR="006D5EC5">
        <w:t xml:space="preserve"> supply for geotechnical, land, materials </w:t>
      </w:r>
      <w:r w:rsidR="004E04BF">
        <w:t>and</w:t>
      </w:r>
      <w:r w:rsidR="006D5EC5">
        <w:t xml:space="preserve"> </w:t>
      </w:r>
      <w:proofErr w:type="gramStart"/>
      <w:r w:rsidR="006D5EC5">
        <w:t>water</w:t>
      </w:r>
      <w:r w:rsidR="00FC0E6F">
        <w:t>;</w:t>
      </w:r>
      <w:proofErr w:type="gramEnd"/>
    </w:p>
    <w:p w14:paraId="3F1E418F" w14:textId="77777777" w:rsidR="006D5EC5" w:rsidRDefault="00C5189F" w:rsidP="00247466">
      <w:pPr>
        <w:pStyle w:val="Bulletindent"/>
      </w:pPr>
      <w:r>
        <w:t>s</w:t>
      </w:r>
      <w:r w:rsidR="006D5EC5">
        <w:t xml:space="preserve">urveys, including topographical and </w:t>
      </w:r>
      <w:proofErr w:type="gramStart"/>
      <w:r w:rsidR="006D5EC5">
        <w:t>property</w:t>
      </w:r>
      <w:r w:rsidR="00FC0E6F">
        <w:t>;</w:t>
      </w:r>
      <w:proofErr w:type="gramEnd"/>
    </w:p>
    <w:p w14:paraId="06C5D62E" w14:textId="77777777" w:rsidR="006D5EC5" w:rsidRDefault="00C5189F" w:rsidP="00247466">
      <w:pPr>
        <w:pStyle w:val="Bulletindent"/>
      </w:pPr>
      <w:r>
        <w:t>u</w:t>
      </w:r>
      <w:r w:rsidR="006D5EC5">
        <w:t xml:space="preserve">tilities surveys, searches and </w:t>
      </w:r>
      <w:proofErr w:type="gramStart"/>
      <w:r w:rsidR="006D5EC5">
        <w:t>reports</w:t>
      </w:r>
      <w:r w:rsidR="00FC0E6F">
        <w:t>;</w:t>
      </w:r>
      <w:proofErr w:type="gramEnd"/>
    </w:p>
    <w:p w14:paraId="6EB66445" w14:textId="77777777" w:rsidR="006D5EC5" w:rsidRDefault="00C5189F" w:rsidP="00247466">
      <w:pPr>
        <w:pStyle w:val="Bulletindent"/>
      </w:pPr>
      <w:r>
        <w:t>t</w:t>
      </w:r>
      <w:r w:rsidR="006D5EC5">
        <w:t>echnical studies, including (for example): noise, environment, flora, fauna, cultural, heritage, air quality, safety, hydrological</w:t>
      </w:r>
      <w:r w:rsidR="004E04BF">
        <w:t xml:space="preserve">, </w:t>
      </w:r>
      <w:proofErr w:type="gramStart"/>
      <w:r w:rsidR="004E04BF">
        <w:t>etc</w:t>
      </w:r>
      <w:r w:rsidR="006A46C4">
        <w:t>;</w:t>
      </w:r>
      <w:proofErr w:type="gramEnd"/>
    </w:p>
    <w:p w14:paraId="6631A8CB" w14:textId="77777777" w:rsidR="006D5EC5" w:rsidRDefault="00C5189F" w:rsidP="00247466">
      <w:pPr>
        <w:pStyle w:val="Bulletindent"/>
      </w:pPr>
      <w:r>
        <w:t>u</w:t>
      </w:r>
      <w:r w:rsidR="006D5EC5">
        <w:t>pdating design documentation</w:t>
      </w:r>
      <w:r w:rsidR="00EE2F3E">
        <w:t xml:space="preserve"> and</w:t>
      </w:r>
      <w:r w:rsidR="006D5EC5">
        <w:t xml:space="preserve"> </w:t>
      </w:r>
      <w:proofErr w:type="gramStart"/>
      <w:r w:rsidR="006D5EC5">
        <w:t>reports</w:t>
      </w:r>
      <w:r w:rsidR="006A46C4">
        <w:t>;</w:t>
      </w:r>
      <w:proofErr w:type="gramEnd"/>
    </w:p>
    <w:p w14:paraId="1A256C29" w14:textId="77777777" w:rsidR="006D5EC5" w:rsidRDefault="00C5189F" w:rsidP="00247466">
      <w:pPr>
        <w:pStyle w:val="Bulletindent"/>
      </w:pPr>
      <w:r>
        <w:t>i</w:t>
      </w:r>
      <w:r w:rsidR="006D5EC5">
        <w:t xml:space="preserve">ndependent </w:t>
      </w:r>
      <w:r w:rsidR="004E04BF">
        <w:t>v</w:t>
      </w:r>
      <w:r w:rsidR="006D5EC5">
        <w:t>erifier</w:t>
      </w:r>
      <w:r w:rsidR="00EE2F3E">
        <w:t xml:space="preserve"> or </w:t>
      </w:r>
      <w:r w:rsidR="004E04BF">
        <w:t>c</w:t>
      </w:r>
      <w:r w:rsidR="006D5EC5">
        <w:t>ertifier</w:t>
      </w:r>
      <w:r w:rsidR="006A46C4">
        <w:t>; and</w:t>
      </w:r>
    </w:p>
    <w:p w14:paraId="28B31067" w14:textId="77777777" w:rsidR="006D5EC5" w:rsidRDefault="00C5189F" w:rsidP="00247466">
      <w:pPr>
        <w:pStyle w:val="Bulletindent"/>
      </w:pPr>
      <w:r>
        <w:lastRenderedPageBreak/>
        <w:t>e</w:t>
      </w:r>
      <w:r w:rsidR="006D5EC5">
        <w:t xml:space="preserve">nvironmental </w:t>
      </w:r>
      <w:r w:rsidR="00C8342D">
        <w:t>i</w:t>
      </w:r>
      <w:r w:rsidR="006D5EC5">
        <w:t xml:space="preserve">mpact </w:t>
      </w:r>
      <w:r w:rsidR="00C8342D">
        <w:t>s</w:t>
      </w:r>
      <w:r w:rsidR="006D5EC5">
        <w:t>tudies</w:t>
      </w:r>
      <w:r w:rsidR="00EE2F3E">
        <w:t>.</w:t>
      </w:r>
    </w:p>
    <w:p w14:paraId="7888F909" w14:textId="77777777" w:rsidR="00FA0326" w:rsidRPr="00EE796F" w:rsidRDefault="003F394A" w:rsidP="00A91244">
      <w:pPr>
        <w:pStyle w:val="Heading2numbered"/>
      </w:pPr>
      <w:bookmarkStart w:id="45" w:name="_Toc170127175"/>
      <w:r>
        <w:t xml:space="preserve">Project </w:t>
      </w:r>
      <w:r w:rsidR="006A46C4">
        <w:t>m</w:t>
      </w:r>
      <w:r w:rsidR="006D5EC5" w:rsidRPr="00EE796F">
        <w:t>anagement</w:t>
      </w:r>
      <w:bookmarkEnd w:id="45"/>
      <w:r w:rsidR="00FA0326" w:rsidRPr="00EE796F">
        <w:t xml:space="preserve"> </w:t>
      </w:r>
    </w:p>
    <w:p w14:paraId="39C6C242" w14:textId="77777777" w:rsidR="006D5EC5" w:rsidRDefault="00C8342D" w:rsidP="000A288F">
      <w:pPr>
        <w:pStyle w:val="NormalIndent"/>
      </w:pPr>
      <w:r>
        <w:t xml:space="preserve">Similarly, </w:t>
      </w:r>
      <w:r w:rsidR="009F2AD7">
        <w:t>p</w:t>
      </w:r>
      <w:r>
        <w:t>roject m</w:t>
      </w:r>
      <w:r w:rsidR="006D5EC5">
        <w:t xml:space="preserve">anagement costs can vary subject to the </w:t>
      </w:r>
      <w:r w:rsidR="00EE2F3E">
        <w:t>ease of procurement</w:t>
      </w:r>
      <w:r w:rsidR="006D5EC5">
        <w:t>, delivery method and</w:t>
      </w:r>
      <w:r w:rsidR="00EE2F3E">
        <w:t xml:space="preserve"> complexity of works</w:t>
      </w:r>
      <w:r w:rsidR="00B7154A">
        <w:t xml:space="preserve"> and includes the overall management of the project from initiation to completion</w:t>
      </w:r>
      <w:r w:rsidR="006D5EC5">
        <w:t xml:space="preserve">. </w:t>
      </w:r>
      <w:r w:rsidR="00EE2F3E">
        <w:t>For example,</w:t>
      </w:r>
      <w:r w:rsidR="001424A8">
        <w:t xml:space="preserve"> wo</w:t>
      </w:r>
      <w:r w:rsidR="002D74FA">
        <w:t>r</w:t>
      </w:r>
      <w:r w:rsidR="001424A8">
        <w:t xml:space="preserve">ks </w:t>
      </w:r>
      <w:r w:rsidR="006D5EC5">
        <w:t>deliver</w:t>
      </w:r>
      <w:r w:rsidR="001424A8">
        <w:t>ed</w:t>
      </w:r>
      <w:r w:rsidR="006D5EC5">
        <w:t xml:space="preserve"> by a contractor</w:t>
      </w:r>
      <w:r w:rsidR="002D74FA">
        <w:t>,</w:t>
      </w:r>
      <w:r w:rsidR="006D5EC5">
        <w:t xml:space="preserve"> </w:t>
      </w:r>
      <w:r w:rsidR="00ED19E6">
        <w:t>adopting a</w:t>
      </w:r>
      <w:r w:rsidR="006D5EC5">
        <w:t xml:space="preserve"> </w:t>
      </w:r>
      <w:r w:rsidR="00182BCF">
        <w:t>standing o</w:t>
      </w:r>
      <w:r w:rsidR="006D5EC5">
        <w:t xml:space="preserve">ffer </w:t>
      </w:r>
      <w:r w:rsidR="00182BCF">
        <w:t>arrangement, using p</w:t>
      </w:r>
      <w:r w:rsidR="006D5EC5">
        <w:t>rincip</w:t>
      </w:r>
      <w:r w:rsidR="00A10348">
        <w:t>al</w:t>
      </w:r>
      <w:r w:rsidR="006D5EC5">
        <w:t xml:space="preserve"> </w:t>
      </w:r>
      <w:r w:rsidR="00182BCF">
        <w:t>supplied m</w:t>
      </w:r>
      <w:r w:rsidR="006D5EC5">
        <w:t xml:space="preserve">aterials </w:t>
      </w:r>
      <w:r w:rsidR="00FB6C29">
        <w:t xml:space="preserve">will have different project management costs </w:t>
      </w:r>
      <w:r w:rsidR="006D5EC5">
        <w:t xml:space="preserve">to </w:t>
      </w:r>
      <w:r w:rsidR="00FB6C29">
        <w:t xml:space="preserve">a </w:t>
      </w:r>
      <w:r w:rsidR="006D5EC5">
        <w:t xml:space="preserve">custom build </w:t>
      </w:r>
      <w:r w:rsidR="00FB6C29">
        <w:t xml:space="preserve">with </w:t>
      </w:r>
      <w:r w:rsidR="006D5EC5">
        <w:t xml:space="preserve">pre-fabrication of time crucial elements of a structure. Accordingly, </w:t>
      </w:r>
      <w:r w:rsidR="00182BCF">
        <w:t>p</w:t>
      </w:r>
      <w:r w:rsidR="006D5EC5">
        <w:t xml:space="preserve">roject </w:t>
      </w:r>
      <w:r w:rsidR="00182BCF">
        <w:t>m</w:t>
      </w:r>
      <w:r w:rsidR="006D5EC5">
        <w:t>anagement costs may vary from 3</w:t>
      </w:r>
      <w:r w:rsidR="00C5189F">
        <w:t xml:space="preserve"> </w:t>
      </w:r>
      <w:r w:rsidR="004E04BF">
        <w:t xml:space="preserve">to </w:t>
      </w:r>
      <w:r w:rsidR="006D5EC5">
        <w:t>5</w:t>
      </w:r>
      <w:r w:rsidR="005C2F8D">
        <w:t> per cent</w:t>
      </w:r>
      <w:r w:rsidR="006D5EC5">
        <w:t>.</w:t>
      </w:r>
    </w:p>
    <w:p w14:paraId="19173EB6" w14:textId="77777777" w:rsidR="006D5EC5" w:rsidRDefault="006D5EC5" w:rsidP="000A288F">
      <w:pPr>
        <w:pStyle w:val="NormalIndent"/>
      </w:pPr>
      <w:r>
        <w:t>Pr</w:t>
      </w:r>
      <w:r w:rsidR="00C8342D">
        <w:t>oject m</w:t>
      </w:r>
      <w:r>
        <w:t>anagement includes, but is not limited to, the following activities:</w:t>
      </w:r>
    </w:p>
    <w:p w14:paraId="2BCD92B4" w14:textId="77777777" w:rsidR="006D5EC5" w:rsidRDefault="00C5189F" w:rsidP="00247466">
      <w:pPr>
        <w:pStyle w:val="Bulletindent"/>
      </w:pPr>
      <w:r>
        <w:t>p</w:t>
      </w:r>
      <w:r w:rsidR="006D5EC5">
        <w:t xml:space="preserve">rogram </w:t>
      </w:r>
      <w:proofErr w:type="gramStart"/>
      <w:r w:rsidR="004E04BF">
        <w:t>a</w:t>
      </w:r>
      <w:r w:rsidR="006D5EC5">
        <w:t>dministration</w:t>
      </w:r>
      <w:r w:rsidR="00E70858">
        <w:t>;</w:t>
      </w:r>
      <w:proofErr w:type="gramEnd"/>
    </w:p>
    <w:p w14:paraId="0881BAEB" w14:textId="77777777" w:rsidR="006D5EC5" w:rsidRDefault="00C5189F" w:rsidP="00247466">
      <w:pPr>
        <w:pStyle w:val="Bulletindent"/>
      </w:pPr>
      <w:r>
        <w:t>s</w:t>
      </w:r>
      <w:r w:rsidR="006D5EC5">
        <w:t xml:space="preserve">takeholder consultation and </w:t>
      </w:r>
      <w:proofErr w:type="gramStart"/>
      <w:r w:rsidR="006D5EC5">
        <w:t>communication</w:t>
      </w:r>
      <w:r w:rsidR="00E70858">
        <w:t>;</w:t>
      </w:r>
      <w:proofErr w:type="gramEnd"/>
    </w:p>
    <w:p w14:paraId="73EC6D55" w14:textId="77777777" w:rsidR="006D5EC5" w:rsidRDefault="00C5189F" w:rsidP="00247466">
      <w:pPr>
        <w:pStyle w:val="Bulletindent"/>
      </w:pPr>
      <w:r>
        <w:t>l</w:t>
      </w:r>
      <w:r w:rsidR="006D5EC5">
        <w:t xml:space="preserve">egal and </w:t>
      </w:r>
      <w:proofErr w:type="gramStart"/>
      <w:r w:rsidR="004E04BF">
        <w:t>c</w:t>
      </w:r>
      <w:r w:rsidR="006D5EC5">
        <w:t>ommercial</w:t>
      </w:r>
      <w:r w:rsidR="00E70858">
        <w:t>;</w:t>
      </w:r>
      <w:proofErr w:type="gramEnd"/>
    </w:p>
    <w:p w14:paraId="502B5D46" w14:textId="77777777" w:rsidR="006D5EC5" w:rsidRDefault="00C5189F" w:rsidP="00247466">
      <w:pPr>
        <w:pStyle w:val="Bulletindent"/>
      </w:pPr>
      <w:r>
        <w:t>p</w:t>
      </w:r>
      <w:r w:rsidR="006D5EC5">
        <w:t xml:space="preserve">lanning and </w:t>
      </w:r>
      <w:proofErr w:type="gramStart"/>
      <w:r w:rsidR="004E04BF">
        <w:t>p</w:t>
      </w:r>
      <w:r w:rsidR="006D5EC5">
        <w:t>rogramming</w:t>
      </w:r>
      <w:r w:rsidR="00E70858">
        <w:t>;</w:t>
      </w:r>
      <w:proofErr w:type="gramEnd"/>
    </w:p>
    <w:p w14:paraId="2AA628F6" w14:textId="77777777" w:rsidR="006D5EC5" w:rsidRDefault="00C5189F" w:rsidP="00247466">
      <w:pPr>
        <w:pStyle w:val="Bulletindent"/>
      </w:pPr>
      <w:r>
        <w:t>r</w:t>
      </w:r>
      <w:r w:rsidR="006D5EC5">
        <w:t xml:space="preserve">isk </w:t>
      </w:r>
      <w:r w:rsidR="004E04BF">
        <w:t>a</w:t>
      </w:r>
      <w:r w:rsidR="006D5EC5">
        <w:t>ssessment</w:t>
      </w:r>
      <w:r w:rsidR="00E70858">
        <w:t>;</w:t>
      </w:r>
      <w:r w:rsidR="00353B1F">
        <w:t xml:space="preserve"> and</w:t>
      </w:r>
    </w:p>
    <w:p w14:paraId="437E39BD" w14:textId="77777777" w:rsidR="006D5EC5" w:rsidRDefault="002C1077" w:rsidP="00247466">
      <w:pPr>
        <w:pStyle w:val="Bulletindent"/>
      </w:pPr>
      <w:r>
        <w:t xml:space="preserve">obtaining </w:t>
      </w:r>
      <w:r w:rsidR="00C5189F">
        <w:t>c</w:t>
      </w:r>
      <w:r w:rsidR="006D5EC5">
        <w:t>onsents and approvals</w:t>
      </w:r>
      <w:r w:rsidR="00FB6C29">
        <w:t>.</w:t>
      </w:r>
    </w:p>
    <w:p w14:paraId="5C79CF5D" w14:textId="77777777" w:rsidR="00085B6C" w:rsidRDefault="00085B6C" w:rsidP="000A288F">
      <w:pPr>
        <w:pStyle w:val="NormalIndent"/>
      </w:pPr>
    </w:p>
    <w:p w14:paraId="48151C78" w14:textId="77777777" w:rsidR="00085B6C" w:rsidRDefault="00085B6C" w:rsidP="00085B6C">
      <w:pPr>
        <w:pStyle w:val="Heading2numbered"/>
      </w:pPr>
      <w:bookmarkStart w:id="46" w:name="_Toc170127176"/>
      <w:r>
        <w:t>Contract Administration</w:t>
      </w:r>
      <w:bookmarkEnd w:id="46"/>
    </w:p>
    <w:p w14:paraId="6CF200D5" w14:textId="77777777" w:rsidR="00353B1F" w:rsidRDefault="00353B1F" w:rsidP="00353B1F">
      <w:pPr>
        <w:pStyle w:val="NormalIndent"/>
      </w:pPr>
      <w:r>
        <w:t>Contract Administration</w:t>
      </w:r>
      <w:r w:rsidRPr="00B1280C">
        <w:t xml:space="preserve"> includes </w:t>
      </w:r>
      <w:r w:rsidRPr="00475B00">
        <w:t xml:space="preserve">the oversight of the construction </w:t>
      </w:r>
      <w:r>
        <w:t>works to ensure that all designs and specifications are being adhered to in accordance with the contract and to resolve any technical issues throughout the delivery of the works.</w:t>
      </w:r>
      <w:r w:rsidR="002C1077">
        <w:t xml:space="preserve"> Depending on the complexity of the works and contractual matters that may need to be resolved during the delivery</w:t>
      </w:r>
      <w:r w:rsidR="00560903">
        <w:t xml:space="preserve">, the contract administration costs may vary from </w:t>
      </w:r>
      <w:r w:rsidR="00B34F01">
        <w:t>1</w:t>
      </w:r>
      <w:r w:rsidR="00560903">
        <w:t>.5 to 10 per cent.</w:t>
      </w:r>
    </w:p>
    <w:p w14:paraId="1B16D209" w14:textId="77777777" w:rsidR="00353B1F" w:rsidRDefault="00353B1F" w:rsidP="00353B1F">
      <w:pPr>
        <w:pStyle w:val="NormalIndent"/>
      </w:pPr>
      <w:r>
        <w:t>Contract Administration includes, but is not limited to</w:t>
      </w:r>
      <w:r w:rsidR="002C1077">
        <w:t xml:space="preserve"> the following activities</w:t>
      </w:r>
      <w:r>
        <w:t>:</w:t>
      </w:r>
    </w:p>
    <w:p w14:paraId="5584510D" w14:textId="77777777" w:rsidR="002C1077" w:rsidRDefault="00353B1F" w:rsidP="002C1077">
      <w:pPr>
        <w:pStyle w:val="NormalIndent"/>
        <w:numPr>
          <w:ilvl w:val="0"/>
          <w:numId w:val="22"/>
        </w:numPr>
      </w:pPr>
      <w:r>
        <w:t xml:space="preserve">tender assessment and contract </w:t>
      </w:r>
      <w:proofErr w:type="gramStart"/>
      <w:r>
        <w:t>award</w:t>
      </w:r>
      <w:r w:rsidR="002C1077">
        <w:t>;</w:t>
      </w:r>
      <w:proofErr w:type="gramEnd"/>
    </w:p>
    <w:p w14:paraId="502638E3" w14:textId="77777777" w:rsidR="00353B1F" w:rsidRDefault="00353B1F" w:rsidP="002C1077">
      <w:pPr>
        <w:pStyle w:val="NormalIndent"/>
        <w:numPr>
          <w:ilvl w:val="0"/>
          <w:numId w:val="22"/>
        </w:numPr>
      </w:pPr>
      <w:r>
        <w:t xml:space="preserve">administration of the contract during the delivery of the </w:t>
      </w:r>
      <w:proofErr w:type="gramStart"/>
      <w:r>
        <w:t>works</w:t>
      </w:r>
      <w:r w:rsidR="002C1077">
        <w:t>;</w:t>
      </w:r>
      <w:proofErr w:type="gramEnd"/>
    </w:p>
    <w:p w14:paraId="65613C25" w14:textId="77777777" w:rsidR="00353B1F" w:rsidRDefault="00353B1F" w:rsidP="00353B1F">
      <w:pPr>
        <w:pStyle w:val="NormalIndent"/>
        <w:numPr>
          <w:ilvl w:val="0"/>
          <w:numId w:val="22"/>
        </w:numPr>
      </w:pPr>
      <w:r>
        <w:t xml:space="preserve">ensuring works are undertaken in accordance with design and </w:t>
      </w:r>
      <w:proofErr w:type="gramStart"/>
      <w:r>
        <w:t>drawings</w:t>
      </w:r>
      <w:r w:rsidR="002C1077">
        <w:t>;</w:t>
      </w:r>
      <w:proofErr w:type="gramEnd"/>
    </w:p>
    <w:p w14:paraId="5E4D55EB" w14:textId="77777777" w:rsidR="002C1077" w:rsidRDefault="002C1077" w:rsidP="00353B1F">
      <w:pPr>
        <w:pStyle w:val="NormalIndent"/>
        <w:numPr>
          <w:ilvl w:val="0"/>
          <w:numId w:val="22"/>
        </w:numPr>
      </w:pPr>
      <w:r>
        <w:t xml:space="preserve">occupational Health and Safety (OH&amp;S) </w:t>
      </w:r>
      <w:proofErr w:type="gramStart"/>
      <w:r>
        <w:t>activities;</w:t>
      </w:r>
      <w:proofErr w:type="gramEnd"/>
    </w:p>
    <w:p w14:paraId="57E60996" w14:textId="77777777" w:rsidR="00353B1F" w:rsidRDefault="00353B1F" w:rsidP="00353B1F">
      <w:pPr>
        <w:pStyle w:val="NormalIndent"/>
        <w:numPr>
          <w:ilvl w:val="0"/>
          <w:numId w:val="22"/>
        </w:numPr>
      </w:pPr>
      <w:r>
        <w:t>ensuring adherence to all consents and approvals</w:t>
      </w:r>
    </w:p>
    <w:p w14:paraId="2F0AAAF1" w14:textId="77777777" w:rsidR="00353B1F" w:rsidRDefault="002C1077" w:rsidP="00353B1F">
      <w:pPr>
        <w:pStyle w:val="NormalIndent"/>
        <w:numPr>
          <w:ilvl w:val="0"/>
          <w:numId w:val="22"/>
        </w:numPr>
      </w:pPr>
      <w:r>
        <w:t>project and progress reporting; and</w:t>
      </w:r>
    </w:p>
    <w:p w14:paraId="474CA529" w14:textId="77777777" w:rsidR="00353B1F" w:rsidRDefault="00353B1F" w:rsidP="00C20852">
      <w:pPr>
        <w:pStyle w:val="NormalIndent"/>
        <w:numPr>
          <w:ilvl w:val="0"/>
          <w:numId w:val="22"/>
        </w:numPr>
      </w:pPr>
      <w:r>
        <w:t>stakeholder consultation and communication</w:t>
      </w:r>
    </w:p>
    <w:p w14:paraId="6268E5EB" w14:textId="77777777" w:rsidR="00085B6C" w:rsidRDefault="00085B6C" w:rsidP="00085B6C">
      <w:pPr>
        <w:pStyle w:val="NormalIndent"/>
      </w:pPr>
    </w:p>
    <w:p w14:paraId="6D4941E8" w14:textId="77777777" w:rsidR="009B365A" w:rsidRDefault="009B365A">
      <w:pPr>
        <w:spacing w:before="0" w:after="0" w:line="240" w:lineRule="auto"/>
        <w:rPr>
          <w:rFonts w:asciiTheme="majorHAnsi" w:eastAsiaTheme="majorEastAsia" w:hAnsiTheme="majorHAnsi" w:cstheme="majorBidi"/>
          <w:b/>
          <w:bCs/>
          <w:color w:val="0063A6" w:themeColor="accent1"/>
          <w:sz w:val="28"/>
          <w:szCs w:val="26"/>
        </w:rPr>
      </w:pPr>
      <w:r>
        <w:br w:type="page"/>
      </w:r>
    </w:p>
    <w:p w14:paraId="2E7263CF" w14:textId="77777777" w:rsidR="00085B6C" w:rsidRPr="00EE796F" w:rsidRDefault="00085B6C" w:rsidP="00085B6C">
      <w:pPr>
        <w:pStyle w:val="Heading2numbered"/>
      </w:pPr>
      <w:bookmarkStart w:id="47" w:name="_Toc170127177"/>
      <w:r>
        <w:lastRenderedPageBreak/>
        <w:t>Overall indirect cost allowances</w:t>
      </w:r>
      <w:bookmarkEnd w:id="47"/>
    </w:p>
    <w:p w14:paraId="756BBFDB" w14:textId="77777777" w:rsidR="00203662" w:rsidRDefault="006D5EC5" w:rsidP="000C7A54">
      <w:pPr>
        <w:pStyle w:val="NormalIndent"/>
        <w:ind w:left="0"/>
      </w:pPr>
      <w:r>
        <w:t>Combining</w:t>
      </w:r>
      <w:r w:rsidR="00294851">
        <w:t xml:space="preserve"> </w:t>
      </w:r>
      <w:r w:rsidR="00294851" w:rsidRPr="008D3CC9">
        <w:t>design</w:t>
      </w:r>
      <w:r w:rsidR="00C20852">
        <w:t xml:space="preserve">, </w:t>
      </w:r>
      <w:r w:rsidR="00294851" w:rsidRPr="008D3CC9">
        <w:t>project management</w:t>
      </w:r>
      <w:r w:rsidR="00C20852">
        <w:t xml:space="preserve"> and contract administration</w:t>
      </w:r>
      <w:r w:rsidR="00294851" w:rsidRPr="008D3CC9">
        <w:t xml:space="preserve"> costs</w:t>
      </w:r>
      <w:r w:rsidRPr="003D4D05">
        <w:t>,</w:t>
      </w:r>
      <w:r>
        <w:t xml:space="preserve"> an overall percentage of between </w:t>
      </w:r>
      <w:r w:rsidR="007A775E">
        <w:t>5</w:t>
      </w:r>
      <w:r w:rsidR="006B7911">
        <w:t xml:space="preserve"> </w:t>
      </w:r>
      <w:r w:rsidR="004E04BF">
        <w:t xml:space="preserve">and </w:t>
      </w:r>
      <w:r>
        <w:t>30</w:t>
      </w:r>
      <w:r w:rsidR="005C2F8D">
        <w:t> per cent</w:t>
      </w:r>
      <w:r>
        <w:t xml:space="preserve"> may be required depending</w:t>
      </w:r>
      <w:r w:rsidR="000831B3">
        <w:t xml:space="preserve"> on the relevant</w:t>
      </w:r>
      <w:r>
        <w:t xml:space="preserve"> </w:t>
      </w:r>
      <w:r w:rsidR="00855551">
        <w:t>factor</w:t>
      </w:r>
      <w:r w:rsidR="00C52483">
        <w:t>s</w:t>
      </w:r>
      <w:r w:rsidR="00855551">
        <w:t xml:space="preserve"> outlined </w:t>
      </w:r>
      <w:r w:rsidR="006339AF">
        <w:t xml:space="preserve">in section 3.1 </w:t>
      </w:r>
      <w:r w:rsidR="00855551">
        <w:t xml:space="preserve">above. </w:t>
      </w:r>
    </w:p>
    <w:tbl>
      <w:tblPr>
        <w:tblStyle w:val="DTFtexttableindent"/>
        <w:tblW w:w="5842" w:type="dxa"/>
        <w:tblLook w:val="06A0" w:firstRow="1" w:lastRow="0" w:firstColumn="1" w:lastColumn="0" w:noHBand="1" w:noVBand="1"/>
      </w:tblPr>
      <w:tblGrid>
        <w:gridCol w:w="4282"/>
        <w:gridCol w:w="1560"/>
      </w:tblGrid>
      <w:tr w:rsidR="005E1E03" w:rsidRPr="00357D85" w14:paraId="72873D84" w14:textId="77777777" w:rsidTr="00AD60B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282" w:type="dxa"/>
          </w:tcPr>
          <w:p w14:paraId="41AC3596" w14:textId="77777777" w:rsidR="005E1E03" w:rsidRPr="00357D85" w:rsidRDefault="005E1E03" w:rsidP="00AD60B9">
            <w:pPr>
              <w:pStyle w:val="Tableheader"/>
            </w:pPr>
            <w:r>
              <w:t>Discipline</w:t>
            </w:r>
          </w:p>
        </w:tc>
        <w:tc>
          <w:tcPr>
            <w:tcW w:w="1560" w:type="dxa"/>
          </w:tcPr>
          <w:p w14:paraId="06908D3E" w14:textId="77777777" w:rsidR="005E1E03" w:rsidRPr="00357D85" w:rsidRDefault="005E1E03" w:rsidP="00AD60B9">
            <w:pPr>
              <w:pStyle w:val="Tableheader"/>
              <w:jc w:val="center"/>
              <w:cnfStyle w:val="100000000000" w:firstRow="1" w:lastRow="0" w:firstColumn="0" w:lastColumn="0" w:oddVBand="0" w:evenVBand="0" w:oddHBand="0" w:evenHBand="0" w:firstRowFirstColumn="0" w:firstRowLastColumn="0" w:lastRowFirstColumn="0" w:lastRowLastColumn="0"/>
            </w:pPr>
            <w:r>
              <w:t>Typical Ranges</w:t>
            </w:r>
          </w:p>
        </w:tc>
      </w:tr>
      <w:tr w:rsidR="005E1E03" w:rsidRPr="00357D85" w14:paraId="29BB701D" w14:textId="77777777" w:rsidTr="00AD60B9">
        <w:trPr>
          <w:trHeight w:val="302"/>
        </w:trPr>
        <w:tc>
          <w:tcPr>
            <w:cnfStyle w:val="001000000000" w:firstRow="0" w:lastRow="0" w:firstColumn="1" w:lastColumn="0" w:oddVBand="0" w:evenVBand="0" w:oddHBand="0" w:evenHBand="0" w:firstRowFirstColumn="0" w:firstRowLastColumn="0" w:lastRowFirstColumn="0" w:lastRowLastColumn="0"/>
            <w:tcW w:w="4282" w:type="dxa"/>
          </w:tcPr>
          <w:p w14:paraId="494FE16C" w14:textId="77777777" w:rsidR="005E1E03" w:rsidRDefault="005E1E03" w:rsidP="00AD60B9">
            <w:r>
              <w:t>Project Management</w:t>
            </w:r>
          </w:p>
        </w:tc>
        <w:tc>
          <w:tcPr>
            <w:tcW w:w="1560" w:type="dxa"/>
          </w:tcPr>
          <w:p w14:paraId="1887B870" w14:textId="77777777" w:rsidR="005E1E03" w:rsidRPr="00357D85" w:rsidRDefault="005E1E03" w:rsidP="00AD60B9">
            <w:pPr>
              <w:jc w:val="center"/>
              <w:cnfStyle w:val="000000000000" w:firstRow="0" w:lastRow="0" w:firstColumn="0" w:lastColumn="0" w:oddVBand="0" w:evenVBand="0" w:oddHBand="0" w:evenHBand="0" w:firstRowFirstColumn="0" w:firstRowLastColumn="0" w:lastRowFirstColumn="0" w:lastRowLastColumn="0"/>
            </w:pPr>
            <w:r>
              <w:t>3 – 5%</w:t>
            </w:r>
          </w:p>
        </w:tc>
      </w:tr>
      <w:tr w:rsidR="005E1E03" w:rsidRPr="00357D85" w14:paraId="25658C0E"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4282" w:type="dxa"/>
          </w:tcPr>
          <w:p w14:paraId="16C8D0B2" w14:textId="77777777" w:rsidR="005E1E03" w:rsidRPr="00357D85" w:rsidRDefault="005E1E03" w:rsidP="00AD60B9">
            <w:pPr>
              <w:pStyle w:val="Tabletext"/>
            </w:pPr>
            <w:r>
              <w:t>Investigations &amp; Design</w:t>
            </w:r>
          </w:p>
        </w:tc>
        <w:tc>
          <w:tcPr>
            <w:tcW w:w="1560" w:type="dxa"/>
          </w:tcPr>
          <w:p w14:paraId="30FAED12" w14:textId="77777777" w:rsidR="005E1E03" w:rsidRPr="00357D85" w:rsidRDefault="005E1E03" w:rsidP="00AD60B9">
            <w:pPr>
              <w:pStyle w:val="Tabletext"/>
              <w:jc w:val="center"/>
              <w:cnfStyle w:val="000000000000" w:firstRow="0" w:lastRow="0" w:firstColumn="0" w:lastColumn="0" w:oddVBand="0" w:evenVBand="0" w:oddHBand="0" w:evenHBand="0" w:firstRowFirstColumn="0" w:firstRowLastColumn="0" w:lastRowFirstColumn="0" w:lastRowLastColumn="0"/>
            </w:pPr>
            <w:r>
              <w:t>0.5% - 15%</w:t>
            </w:r>
          </w:p>
        </w:tc>
      </w:tr>
      <w:tr w:rsidR="005E1E03" w:rsidRPr="00357D85" w14:paraId="7A8E59F5"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4282" w:type="dxa"/>
          </w:tcPr>
          <w:p w14:paraId="43BAB79F" w14:textId="77777777" w:rsidR="005E1E03" w:rsidRDefault="005E1E03" w:rsidP="00AD60B9">
            <w:pPr>
              <w:pStyle w:val="Tabletext"/>
            </w:pPr>
            <w:r>
              <w:t>Contract Administration</w:t>
            </w:r>
          </w:p>
        </w:tc>
        <w:tc>
          <w:tcPr>
            <w:tcW w:w="1560" w:type="dxa"/>
          </w:tcPr>
          <w:p w14:paraId="6D2333FD" w14:textId="77777777" w:rsidR="005E1E03" w:rsidRDefault="005E1E03" w:rsidP="00AD60B9">
            <w:pPr>
              <w:pStyle w:val="Tabletext"/>
              <w:jc w:val="center"/>
              <w:cnfStyle w:val="000000000000" w:firstRow="0" w:lastRow="0" w:firstColumn="0" w:lastColumn="0" w:oddVBand="0" w:evenVBand="0" w:oddHBand="0" w:evenHBand="0" w:firstRowFirstColumn="0" w:firstRowLastColumn="0" w:lastRowFirstColumn="0" w:lastRowLastColumn="0"/>
            </w:pPr>
            <w:r>
              <w:t>1.5% - 10%</w:t>
            </w:r>
          </w:p>
        </w:tc>
      </w:tr>
      <w:tr w:rsidR="005E1E03" w:rsidRPr="00357D85" w14:paraId="7BADFE29"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4282" w:type="dxa"/>
          </w:tcPr>
          <w:p w14:paraId="421DFF52" w14:textId="77777777" w:rsidR="005E1E03" w:rsidRPr="000C7A54" w:rsidRDefault="005E1E03" w:rsidP="00AD60B9">
            <w:pPr>
              <w:pStyle w:val="Tabletext"/>
              <w:rPr>
                <w:b/>
                <w:bCs/>
              </w:rPr>
            </w:pPr>
            <w:r w:rsidRPr="000C7A54">
              <w:rPr>
                <w:b/>
                <w:bCs/>
              </w:rPr>
              <w:t>TOTAL</w:t>
            </w:r>
          </w:p>
        </w:tc>
        <w:tc>
          <w:tcPr>
            <w:tcW w:w="1560" w:type="dxa"/>
          </w:tcPr>
          <w:p w14:paraId="13D8B53F" w14:textId="77777777" w:rsidR="005E1E03" w:rsidRPr="000C7A54" w:rsidRDefault="005E1E03" w:rsidP="00AD60B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7A54">
              <w:rPr>
                <w:b/>
                <w:bCs/>
              </w:rPr>
              <w:t>5% - 30%</w:t>
            </w:r>
          </w:p>
        </w:tc>
      </w:tr>
    </w:tbl>
    <w:p w14:paraId="5CFC67A6" w14:textId="77777777" w:rsidR="00D61DC9" w:rsidRDefault="00D61DC9" w:rsidP="000C7A54">
      <w:pPr>
        <w:pStyle w:val="NormalIndent"/>
        <w:ind w:left="0"/>
      </w:pPr>
    </w:p>
    <w:p w14:paraId="5A2135C7" w14:textId="77777777" w:rsidR="001F609F" w:rsidRDefault="001F609F" w:rsidP="00AF7BDB">
      <w:pPr>
        <w:pStyle w:val="NormalIndent"/>
        <w:ind w:left="0"/>
      </w:pPr>
      <w:r>
        <w:t>By way of example, the type of works which are anticipated to fall within the low, medium and high levels of the indirect cost ‘typical ranges’ are as follows:</w:t>
      </w:r>
    </w:p>
    <w:tbl>
      <w:tblPr>
        <w:tblStyle w:val="DTFtexttableindent"/>
        <w:tblpPr w:leftFromText="180" w:rightFromText="180" w:vertAnchor="text" w:tblpX="821" w:tblpY="1"/>
        <w:tblOverlap w:val="never"/>
        <w:tblW w:w="7655" w:type="dxa"/>
        <w:tblInd w:w="0" w:type="dxa"/>
        <w:tblLook w:val="06A0" w:firstRow="1" w:lastRow="0" w:firstColumn="1" w:lastColumn="0" w:noHBand="1" w:noVBand="1"/>
      </w:tblPr>
      <w:tblGrid>
        <w:gridCol w:w="2411"/>
        <w:gridCol w:w="1842"/>
        <w:gridCol w:w="3402"/>
      </w:tblGrid>
      <w:tr w:rsidR="001F609F" w:rsidRPr="00357D85" w14:paraId="79F048D2" w14:textId="77777777" w:rsidTr="00AD60B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411" w:type="dxa"/>
            <w:tcBorders>
              <w:bottom w:val="single" w:sz="6" w:space="0" w:color="0063A6" w:themeColor="accent1"/>
            </w:tcBorders>
          </w:tcPr>
          <w:p w14:paraId="4718F167" w14:textId="77777777" w:rsidR="001F609F" w:rsidRPr="00357D85" w:rsidRDefault="001F609F" w:rsidP="00AD60B9">
            <w:pPr>
              <w:pStyle w:val="Tableheader"/>
              <w:jc w:val="center"/>
            </w:pPr>
            <w:r>
              <w:t>Low</w:t>
            </w:r>
          </w:p>
        </w:tc>
        <w:tc>
          <w:tcPr>
            <w:tcW w:w="1842" w:type="dxa"/>
          </w:tcPr>
          <w:p w14:paraId="22F1DBA7" w14:textId="77777777" w:rsidR="001F609F" w:rsidRDefault="001F609F" w:rsidP="00AD60B9">
            <w:pPr>
              <w:pStyle w:val="Tableheader"/>
              <w:jc w:val="center"/>
              <w:cnfStyle w:val="100000000000" w:firstRow="1" w:lastRow="0" w:firstColumn="0" w:lastColumn="0" w:oddVBand="0" w:evenVBand="0" w:oddHBand="0" w:evenHBand="0" w:firstRowFirstColumn="0" w:firstRowLastColumn="0" w:lastRowFirstColumn="0" w:lastRowLastColumn="0"/>
            </w:pPr>
            <w:r>
              <w:t>Medium</w:t>
            </w:r>
          </w:p>
        </w:tc>
        <w:tc>
          <w:tcPr>
            <w:tcW w:w="3402" w:type="dxa"/>
          </w:tcPr>
          <w:p w14:paraId="33846A57" w14:textId="77777777" w:rsidR="001F609F" w:rsidRDefault="001F609F" w:rsidP="00AD60B9">
            <w:pPr>
              <w:pStyle w:val="Tableheader"/>
              <w:jc w:val="center"/>
              <w:cnfStyle w:val="100000000000" w:firstRow="1" w:lastRow="0" w:firstColumn="0" w:lastColumn="0" w:oddVBand="0" w:evenVBand="0" w:oddHBand="0" w:evenHBand="0" w:firstRowFirstColumn="0" w:firstRowLastColumn="0" w:lastRowFirstColumn="0" w:lastRowLastColumn="0"/>
            </w:pPr>
            <w:r>
              <w:t>High</w:t>
            </w:r>
          </w:p>
        </w:tc>
      </w:tr>
      <w:tr w:rsidR="001F609F" w:rsidRPr="00357D85" w14:paraId="19A69FF7" w14:textId="77777777" w:rsidTr="00AD60B9">
        <w:trPr>
          <w:trHeight w:val="302"/>
        </w:trPr>
        <w:tc>
          <w:tcPr>
            <w:cnfStyle w:val="001000000000" w:firstRow="0" w:lastRow="0" w:firstColumn="1" w:lastColumn="0" w:oddVBand="0" w:evenVBand="0" w:oddHBand="0" w:evenHBand="0" w:firstRowFirstColumn="0" w:firstRowLastColumn="0" w:lastRowFirstColumn="0" w:lastRowLastColumn="0"/>
            <w:tcW w:w="2411" w:type="dxa"/>
            <w:tcBorders>
              <w:top w:val="single" w:sz="6" w:space="0" w:color="0063A6" w:themeColor="accent1"/>
              <w:bottom w:val="single" w:sz="6" w:space="0" w:color="0063A6" w:themeColor="accent1"/>
            </w:tcBorders>
            <w:shd w:val="clear" w:color="auto" w:fill="auto"/>
          </w:tcPr>
          <w:p w14:paraId="1226897E" w14:textId="77777777" w:rsidR="001F609F" w:rsidRPr="00357D85" w:rsidRDefault="001F609F" w:rsidP="00AD60B9">
            <w:pPr>
              <w:jc w:val="center"/>
            </w:pPr>
            <w:r>
              <w:t>formation grading</w:t>
            </w:r>
          </w:p>
        </w:tc>
        <w:tc>
          <w:tcPr>
            <w:tcW w:w="1842" w:type="dxa"/>
          </w:tcPr>
          <w:p w14:paraId="6B755B25" w14:textId="77777777" w:rsidR="001F609F" w:rsidRDefault="001F609F" w:rsidP="00AD60B9">
            <w:pPr>
              <w:jc w:val="center"/>
              <w:cnfStyle w:val="000000000000" w:firstRow="0" w:lastRow="0" w:firstColumn="0" w:lastColumn="0" w:oddVBand="0" w:evenVBand="0" w:oddHBand="0" w:evenHBand="0" w:firstRowFirstColumn="0" w:firstRowLastColumn="0" w:lastRowFirstColumn="0" w:lastRowLastColumn="0"/>
            </w:pPr>
            <w:r>
              <w:t>standard pavement works</w:t>
            </w:r>
          </w:p>
        </w:tc>
        <w:tc>
          <w:tcPr>
            <w:tcW w:w="3402" w:type="dxa"/>
          </w:tcPr>
          <w:p w14:paraId="10369960" w14:textId="77777777" w:rsidR="001F609F" w:rsidRDefault="001F609F" w:rsidP="00AD60B9">
            <w:pPr>
              <w:jc w:val="center"/>
              <w:cnfStyle w:val="000000000000" w:firstRow="0" w:lastRow="0" w:firstColumn="0" w:lastColumn="0" w:oddVBand="0" w:evenVBand="0" w:oddHBand="0" w:evenHBand="0" w:firstRowFirstColumn="0" w:firstRowLastColumn="0" w:lastRowFirstColumn="0" w:lastRowLastColumn="0"/>
            </w:pPr>
            <w:r>
              <w:t>geotechnical works</w:t>
            </w:r>
          </w:p>
        </w:tc>
      </w:tr>
      <w:tr w:rsidR="001F609F" w:rsidRPr="00357D85" w14:paraId="39178916"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2411" w:type="dxa"/>
            <w:tcBorders>
              <w:top w:val="single" w:sz="6" w:space="0" w:color="0063A6" w:themeColor="accent1"/>
              <w:bottom w:val="single" w:sz="6" w:space="0" w:color="0063A6" w:themeColor="accent1"/>
            </w:tcBorders>
            <w:shd w:val="clear" w:color="auto" w:fill="auto"/>
          </w:tcPr>
          <w:p w14:paraId="28538107" w14:textId="77777777" w:rsidR="001F609F" w:rsidRPr="00357D85" w:rsidRDefault="001F609F" w:rsidP="00AD60B9">
            <w:pPr>
              <w:pStyle w:val="Tabletext"/>
              <w:jc w:val="center"/>
            </w:pPr>
            <w:r>
              <w:t>unsealed pavement works</w:t>
            </w:r>
          </w:p>
        </w:tc>
        <w:tc>
          <w:tcPr>
            <w:tcW w:w="1842" w:type="dxa"/>
          </w:tcPr>
          <w:p w14:paraId="2689A929" w14:textId="77777777" w:rsidR="001F609F" w:rsidRDefault="001F609F" w:rsidP="00AD60B9">
            <w:pPr>
              <w:pStyle w:val="Tabletext"/>
              <w:jc w:val="center"/>
              <w:cnfStyle w:val="000000000000" w:firstRow="0" w:lastRow="0" w:firstColumn="0" w:lastColumn="0" w:oddVBand="0" w:evenVBand="0" w:oddHBand="0" w:evenHBand="0" w:firstRowFirstColumn="0" w:firstRowLastColumn="0" w:lastRowFirstColumn="0" w:lastRowLastColumn="0"/>
            </w:pPr>
            <w:r>
              <w:t>drainage works</w:t>
            </w:r>
          </w:p>
        </w:tc>
        <w:tc>
          <w:tcPr>
            <w:tcW w:w="3402" w:type="dxa"/>
          </w:tcPr>
          <w:p w14:paraId="0A2B458B" w14:textId="77777777" w:rsidR="001F609F" w:rsidRDefault="001F609F" w:rsidP="00AD60B9">
            <w:pPr>
              <w:pStyle w:val="Tabletext"/>
              <w:jc w:val="center"/>
              <w:cnfStyle w:val="000000000000" w:firstRow="0" w:lastRow="0" w:firstColumn="0" w:lastColumn="0" w:oddVBand="0" w:evenVBand="0" w:oddHBand="0" w:evenHBand="0" w:firstRowFirstColumn="0" w:firstRowLastColumn="0" w:lastRowFirstColumn="0" w:lastRowLastColumn="0"/>
            </w:pPr>
            <w:r>
              <w:t>major structure repair works</w:t>
            </w:r>
          </w:p>
        </w:tc>
      </w:tr>
      <w:tr w:rsidR="001F609F" w:rsidRPr="00357D85" w14:paraId="319206C2"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2411" w:type="dxa"/>
            <w:tcBorders>
              <w:top w:val="single" w:sz="6" w:space="0" w:color="0063A6" w:themeColor="accent1"/>
              <w:bottom w:val="single" w:sz="6" w:space="0" w:color="0063A6" w:themeColor="accent1"/>
            </w:tcBorders>
            <w:shd w:val="clear" w:color="auto" w:fill="auto"/>
          </w:tcPr>
          <w:p w14:paraId="56F2F58B" w14:textId="77777777" w:rsidR="001F609F" w:rsidRDefault="001F609F" w:rsidP="00AD60B9">
            <w:pPr>
              <w:pStyle w:val="Tabletext"/>
              <w:jc w:val="center"/>
            </w:pPr>
            <w:r>
              <w:t>table drain works</w:t>
            </w:r>
          </w:p>
        </w:tc>
        <w:tc>
          <w:tcPr>
            <w:tcW w:w="1842" w:type="dxa"/>
          </w:tcPr>
          <w:p w14:paraId="41C2CC8F" w14:textId="77777777" w:rsidR="001F609F" w:rsidRDefault="001F609F" w:rsidP="00AD60B9">
            <w:pPr>
              <w:pStyle w:val="Tabletext"/>
              <w:jc w:val="center"/>
              <w:cnfStyle w:val="000000000000" w:firstRow="0" w:lastRow="0" w:firstColumn="0" w:lastColumn="0" w:oddVBand="0" w:evenVBand="0" w:oddHBand="0" w:evenHBand="0" w:firstRowFirstColumn="0" w:firstRowLastColumn="0" w:lastRowFirstColumn="0" w:lastRowLastColumn="0"/>
            </w:pPr>
            <w:r>
              <w:t>minor pavement works</w:t>
            </w:r>
          </w:p>
        </w:tc>
        <w:tc>
          <w:tcPr>
            <w:tcW w:w="3402" w:type="dxa"/>
          </w:tcPr>
          <w:p w14:paraId="692E557A" w14:textId="77777777" w:rsidR="001F609F" w:rsidRDefault="001F609F" w:rsidP="00AD60B9">
            <w:pPr>
              <w:pStyle w:val="Tabletext"/>
              <w:jc w:val="center"/>
              <w:cnfStyle w:val="000000000000" w:firstRow="0" w:lastRow="0" w:firstColumn="0" w:lastColumn="0" w:oddVBand="0" w:evenVBand="0" w:oddHBand="0" w:evenHBand="0" w:firstRowFirstColumn="0" w:firstRowLastColumn="0" w:lastRowFirstColumn="0" w:lastRowLastColumn="0"/>
            </w:pPr>
            <w:r>
              <w:t>major drainage works</w:t>
            </w:r>
          </w:p>
        </w:tc>
      </w:tr>
    </w:tbl>
    <w:p w14:paraId="1DE58979" w14:textId="77777777" w:rsidR="009B365A" w:rsidRDefault="00B93E81" w:rsidP="00AF7BDB">
      <w:pPr>
        <w:pStyle w:val="NormalIndent"/>
        <w:ind w:left="0"/>
      </w:pPr>
      <w:r w:rsidRPr="00B93E81">
        <w:t xml:space="preserve">Ultimately the appropriate allocation of indirect costs needs to be considered on a project-by-project basis. For example, projects with large and complex geotechnical failures, with difficult interfaces, with traffic and private property interfaces requiring staging, or projects located within environmentally sensitive areas, it is expected the indirect costs would be at the upper end of the indirect cost range. In contrast, for standard road reconstruction projects, with well-defined scope and standard treatments, it is expected the indirect costs would be at the lower end of the range. </w:t>
      </w:r>
    </w:p>
    <w:p w14:paraId="09D7AEAB" w14:textId="77777777" w:rsidR="00B93E81" w:rsidRDefault="005A3326" w:rsidP="00AF7BDB">
      <w:pPr>
        <w:pStyle w:val="NormalIndent"/>
        <w:ind w:left="0"/>
      </w:pPr>
      <w:r>
        <w:t xml:space="preserve">The reasons that form the basis of the percentage selected within the ranges is to be documented. </w:t>
      </w:r>
      <w:r w:rsidR="00B93E81" w:rsidRPr="00B93E81">
        <w:t>There may be circumstances where the level of indirect costs may not fall within these ranges. In these circumstances it is important to document the reasons why the indirect costs may not fall within the above ranges.</w:t>
      </w:r>
    </w:p>
    <w:p w14:paraId="32548314" w14:textId="77777777" w:rsidR="009B365A" w:rsidRDefault="002A4AA9" w:rsidP="007B5B08">
      <w:pPr>
        <w:pStyle w:val="NormalIndent"/>
        <w:ind w:left="0"/>
      </w:pPr>
      <w:r w:rsidRPr="002A4AA9">
        <w:t>A</w:t>
      </w:r>
      <w:r>
        <w:t>n indirect cost</w:t>
      </w:r>
      <w:r w:rsidRPr="002A4AA9">
        <w:t xml:space="preserve"> calculation tool (VT-</w:t>
      </w:r>
      <w:r>
        <w:t>Indire</w:t>
      </w:r>
      <w:r w:rsidRPr="002A4AA9">
        <w:t>) has been prepared for application to reconstruction works which have been based on an estimate using the first principles approach</w:t>
      </w:r>
      <w:r>
        <w:t xml:space="preserve"> and/or market response approach</w:t>
      </w:r>
      <w:r w:rsidRPr="002A4AA9">
        <w:t xml:space="preserve">. Delivery Agencies should refer to the </w:t>
      </w:r>
      <w:r>
        <w:t xml:space="preserve">Indirect Costs </w:t>
      </w:r>
      <w:r w:rsidRPr="002A4AA9">
        <w:t>Calculation tool tab (refer to Contingency Calc (VT-</w:t>
      </w:r>
      <w:r>
        <w:t>Indire</w:t>
      </w:r>
      <w:r w:rsidRPr="002A4AA9">
        <w:t xml:space="preserve">) as part of the V Form C-RW to determine the </w:t>
      </w:r>
      <w:r>
        <w:t>indirect costs percentage</w:t>
      </w:r>
      <w:r w:rsidRPr="002A4AA9">
        <w:t xml:space="preserve">. The </w:t>
      </w:r>
      <w:r>
        <w:t xml:space="preserve">indirect cost </w:t>
      </w:r>
      <w:r w:rsidRPr="002A4AA9">
        <w:t xml:space="preserve">calculation tool can be found at the following link: </w:t>
      </w:r>
    </w:p>
    <w:p w14:paraId="6F356F81" w14:textId="77777777" w:rsidR="00605279" w:rsidRPr="009B365A" w:rsidRDefault="009B365A" w:rsidP="007B5B08">
      <w:pPr>
        <w:pStyle w:val="NormalIndent"/>
        <w:ind w:left="0"/>
        <w:rPr>
          <w:rFonts w:asciiTheme="majorHAnsi" w:eastAsiaTheme="majorEastAsia" w:hAnsiTheme="majorHAnsi" w:cstheme="majorBidi"/>
          <w:b/>
          <w:bCs/>
          <w:spacing w:val="-1"/>
          <w:sz w:val="36"/>
          <w:szCs w:val="28"/>
        </w:rPr>
      </w:pPr>
      <w:r w:rsidRPr="009B365A">
        <w:t>https://www.emv.vic.gov.au/how-we-help/disaster-recovery-funding-arrangements-drfa/disaster-recovery-funding-arrangements-drfa</w:t>
      </w:r>
      <w:r w:rsidR="002A4AA9" w:rsidRPr="009B365A">
        <w:t xml:space="preserve">. </w:t>
      </w:r>
      <w:r w:rsidR="00605279" w:rsidRPr="009B365A">
        <w:br w:type="page"/>
      </w:r>
    </w:p>
    <w:p w14:paraId="70038E83" w14:textId="77777777" w:rsidR="00FA0326" w:rsidRPr="00EE796F" w:rsidRDefault="006D5EC5" w:rsidP="00A91244">
      <w:pPr>
        <w:pStyle w:val="Heading1numbered"/>
      </w:pPr>
      <w:bookmarkStart w:id="48" w:name="_Toc170127178"/>
      <w:r w:rsidRPr="00EE796F">
        <w:lastRenderedPageBreak/>
        <w:t>Contingency</w:t>
      </w:r>
      <w:bookmarkEnd w:id="48"/>
    </w:p>
    <w:p w14:paraId="537F3219" w14:textId="77777777" w:rsidR="00FA0326" w:rsidRPr="009B365A" w:rsidRDefault="006D5EC5" w:rsidP="00A91244">
      <w:pPr>
        <w:pStyle w:val="Heading2numbered"/>
        <w:rPr>
          <w:color w:val="auto"/>
        </w:rPr>
      </w:pPr>
      <w:bookmarkStart w:id="49" w:name="_Toc170127179"/>
      <w:r w:rsidRPr="009B365A">
        <w:rPr>
          <w:color w:val="auto"/>
        </w:rPr>
        <w:t>Introduction</w:t>
      </w:r>
      <w:bookmarkEnd w:id="49"/>
    </w:p>
    <w:p w14:paraId="51B1C252" w14:textId="77777777" w:rsidR="006D5EC5" w:rsidRPr="009B365A" w:rsidRDefault="006D5EC5" w:rsidP="009B365A">
      <w:pPr>
        <w:pStyle w:val="NormalIndent"/>
        <w:ind w:left="0"/>
      </w:pPr>
      <w:r w:rsidRPr="009B365A">
        <w:t>Recognising the uncertainties in disaster recovery works, including pressures on the workforce, short supplies of materials and difficulty of access, allowance has been made within the DRFA for the inclusion of reasonable contingency.</w:t>
      </w:r>
    </w:p>
    <w:p w14:paraId="2B78AA71" w14:textId="77777777" w:rsidR="006D5EC5" w:rsidRPr="009B365A" w:rsidRDefault="00E4115D" w:rsidP="009B365A">
      <w:pPr>
        <w:pStyle w:val="Quote"/>
        <w:ind w:left="567"/>
        <w:rPr>
          <w:color w:val="auto"/>
        </w:rPr>
      </w:pPr>
      <w:r w:rsidRPr="009B365A">
        <w:rPr>
          <w:color w:val="auto"/>
        </w:rPr>
        <w:t>‘</w:t>
      </w:r>
      <w:r w:rsidR="006D5EC5" w:rsidRPr="009B365A">
        <w:rPr>
          <w:color w:val="auto"/>
        </w:rPr>
        <w:t>In estimating reconstruction costs, the states will be required to account for residual risks through the inclusion of a contingency allowance.</w:t>
      </w:r>
    </w:p>
    <w:p w14:paraId="4F2F850B" w14:textId="77777777" w:rsidR="006D5EC5" w:rsidRPr="009B365A" w:rsidRDefault="006D5EC5" w:rsidP="009B365A">
      <w:pPr>
        <w:pStyle w:val="Quote"/>
        <w:ind w:left="567"/>
        <w:rPr>
          <w:color w:val="auto"/>
        </w:rPr>
      </w:pPr>
      <w:r w:rsidRPr="009B365A">
        <w:rPr>
          <w:color w:val="auto"/>
        </w:rPr>
        <w:t xml:space="preserve">The calculation of a contingency allowance estimate should reflect the reconstruction project risk profile, complexity, investment lifecycle, benchmarks and past performance for similar projects. In determining a contingency allowance, the Commonwealth will require the states to use an appropriate contingency estimation approach, noting that </w:t>
      </w:r>
      <w:r w:rsidRPr="009B365A">
        <w:rPr>
          <w:b/>
          <w:color w:val="auto"/>
        </w:rPr>
        <w:t xml:space="preserve">a deterministic </w:t>
      </w:r>
      <w:r w:rsidR="00A07138" w:rsidRPr="009B365A">
        <w:rPr>
          <w:b/>
          <w:color w:val="auto"/>
        </w:rPr>
        <w:t>factor-based</w:t>
      </w:r>
      <w:r w:rsidRPr="009B365A">
        <w:rPr>
          <w:b/>
          <w:color w:val="auto"/>
        </w:rPr>
        <w:t xml:space="preserve"> cost estimation approach will be suitable for most reconstruction projects</w:t>
      </w:r>
      <w:r w:rsidRPr="009B365A">
        <w:rPr>
          <w:color w:val="auto"/>
        </w:rPr>
        <w:t>. For certain reconstruction projects, states may consider a streamlined approach to the application of a contingency allowance based on the type of treatment required and the unique characteristics of a particular region of a state. However more sophisticated approaches to estimating contingency may also be appropriate for complex/high dollar value reconstruction projects.</w:t>
      </w:r>
    </w:p>
    <w:p w14:paraId="6D0FE896" w14:textId="77777777" w:rsidR="006D5EC5" w:rsidRPr="009B365A" w:rsidRDefault="006D5EC5" w:rsidP="009B365A">
      <w:pPr>
        <w:pStyle w:val="Quote"/>
        <w:ind w:left="567"/>
        <w:rPr>
          <w:color w:val="auto"/>
        </w:rPr>
      </w:pPr>
      <w:r w:rsidRPr="009B365A">
        <w:rPr>
          <w:color w:val="auto"/>
        </w:rPr>
        <w:t>In identifying a contingency allowance, states will be expected to follow the established cost estimation guidance published by the Commonwealth Department of Infrastructure, Regional Development and Cities at</w:t>
      </w:r>
      <w:r w:rsidR="00281BFB" w:rsidRPr="009B365A">
        <w:rPr>
          <w:color w:val="auto"/>
        </w:rPr>
        <w:t xml:space="preserve"> </w:t>
      </w:r>
      <w:hyperlink r:id="rId24" w:history="1">
        <w:r w:rsidR="00281BFB" w:rsidRPr="009B365A">
          <w:rPr>
            <w:rStyle w:val="Hyperlink"/>
            <w:i w:val="0"/>
            <w:color w:val="auto"/>
          </w:rPr>
          <w:t>www.investment.infrastructure.gov.au</w:t>
        </w:r>
      </w:hyperlink>
      <w:r w:rsidR="00E4115D" w:rsidRPr="009B365A">
        <w:rPr>
          <w:color w:val="auto"/>
        </w:rPr>
        <w:t>’</w:t>
      </w:r>
      <w:r w:rsidR="00C5189F" w:rsidRPr="009B365A">
        <w:rPr>
          <w:color w:val="auto"/>
        </w:rPr>
        <w:t xml:space="preserve"> (DRFA 2018, Section 6.5)</w:t>
      </w:r>
    </w:p>
    <w:p w14:paraId="165AAA6C" w14:textId="77777777" w:rsidR="006D5EC5" w:rsidRPr="009B365A" w:rsidRDefault="006D5EC5" w:rsidP="009B365A">
      <w:pPr>
        <w:pStyle w:val="NormalIndent"/>
        <w:ind w:left="0"/>
      </w:pPr>
      <w:r w:rsidRPr="009B365A">
        <w:t>To allow the use of the ‘streamlined approach to the application of a contingency allowance’, treatm</w:t>
      </w:r>
      <w:r w:rsidR="009F2AD7" w:rsidRPr="009B365A">
        <w:t xml:space="preserve">ent categories and </w:t>
      </w:r>
      <w:r w:rsidR="00E87977" w:rsidRPr="009B365A">
        <w:t>grouping by region is</w:t>
      </w:r>
      <w:r w:rsidRPr="009B365A">
        <w:t xml:space="preserve"> required.</w:t>
      </w:r>
    </w:p>
    <w:p w14:paraId="2F48A250" w14:textId="77777777" w:rsidR="00FA0326" w:rsidRPr="00EE796F" w:rsidRDefault="003F394A" w:rsidP="00A91244">
      <w:pPr>
        <w:pStyle w:val="Heading2numbered"/>
      </w:pPr>
      <w:bookmarkStart w:id="50" w:name="_Toc170127180"/>
      <w:r>
        <w:t xml:space="preserve">Risk </w:t>
      </w:r>
      <w:r w:rsidR="006B3E25">
        <w:t>p</w:t>
      </w:r>
      <w:r w:rsidR="006D5EC5" w:rsidRPr="00EE796F">
        <w:t xml:space="preserve">rofiles – </w:t>
      </w:r>
      <w:r w:rsidR="006B3E25">
        <w:t>t</w:t>
      </w:r>
      <w:r w:rsidR="006D5EC5" w:rsidRPr="00EE796F">
        <w:t xml:space="preserve">reatment </w:t>
      </w:r>
      <w:r w:rsidR="006B3E25">
        <w:t>t</w:t>
      </w:r>
      <w:r w:rsidR="006D5EC5" w:rsidRPr="00EE796F">
        <w:t>ypes</w:t>
      </w:r>
      <w:bookmarkEnd w:id="50"/>
    </w:p>
    <w:p w14:paraId="1087AFEE" w14:textId="77777777" w:rsidR="006D5EC5" w:rsidRPr="006C41E3" w:rsidRDefault="00C8342D" w:rsidP="009B365A">
      <w:pPr>
        <w:pStyle w:val="NormalIndent"/>
        <w:ind w:left="0"/>
      </w:pPr>
      <w:r>
        <w:t>Standard t</w:t>
      </w:r>
      <w:r w:rsidR="006D5EC5" w:rsidRPr="006C41E3">
        <w:t>reatments hav</w:t>
      </w:r>
      <w:r w:rsidR="00182BCF">
        <w:t>e been developed to assist the c</w:t>
      </w:r>
      <w:r w:rsidR="006D5EC5" w:rsidRPr="006C41E3">
        <w:t xml:space="preserve">ost </w:t>
      </w:r>
      <w:r w:rsidR="00182BCF">
        <w:t>e</w:t>
      </w:r>
      <w:r w:rsidR="006D5EC5" w:rsidRPr="006C41E3">
        <w:t>stimation process. These treatments fall within the following categories:</w:t>
      </w:r>
    </w:p>
    <w:p w14:paraId="40750145" w14:textId="77777777" w:rsidR="006D5EC5" w:rsidRPr="006C41E3" w:rsidRDefault="00773921" w:rsidP="00247466">
      <w:pPr>
        <w:pStyle w:val="Bulletindent"/>
      </w:pPr>
      <w:r>
        <w:t>U</w:t>
      </w:r>
      <w:r w:rsidR="006D5EC5" w:rsidRPr="006C41E3">
        <w:t>nsealed pavements</w:t>
      </w:r>
    </w:p>
    <w:p w14:paraId="63BE9CAA" w14:textId="77777777" w:rsidR="006D5EC5" w:rsidRPr="006C41E3" w:rsidRDefault="00281BFB" w:rsidP="00247466">
      <w:pPr>
        <w:pStyle w:val="Bulletindent"/>
      </w:pPr>
      <w:r>
        <w:t>s</w:t>
      </w:r>
      <w:r w:rsidR="006D5EC5" w:rsidRPr="006C41E3">
        <w:t>ealed pavement repairs</w:t>
      </w:r>
    </w:p>
    <w:p w14:paraId="228D157A" w14:textId="77777777" w:rsidR="006D5EC5" w:rsidRPr="006C41E3" w:rsidRDefault="00281BFB" w:rsidP="00247466">
      <w:pPr>
        <w:pStyle w:val="Bulletindent"/>
      </w:pPr>
      <w:r>
        <w:t>c</w:t>
      </w:r>
      <w:r w:rsidR="006D5EC5" w:rsidRPr="006C41E3">
        <w:t>learing and earthworks</w:t>
      </w:r>
    </w:p>
    <w:p w14:paraId="197DBC7E" w14:textId="77777777" w:rsidR="006D5EC5" w:rsidRPr="006C41E3" w:rsidRDefault="00281BFB" w:rsidP="00247466">
      <w:pPr>
        <w:pStyle w:val="Bulletindent"/>
      </w:pPr>
      <w:r>
        <w:t>r</w:t>
      </w:r>
      <w:r w:rsidR="006D5EC5" w:rsidRPr="006C41E3">
        <w:t>oad furniture and delineation</w:t>
      </w:r>
    </w:p>
    <w:p w14:paraId="07B4F915" w14:textId="77777777" w:rsidR="006D5EC5" w:rsidRPr="006C41E3" w:rsidRDefault="00281BFB" w:rsidP="00247466">
      <w:pPr>
        <w:pStyle w:val="Bulletindent"/>
      </w:pPr>
      <w:r>
        <w:t>c</w:t>
      </w:r>
      <w:r w:rsidR="006D5EC5" w:rsidRPr="006C41E3">
        <w:t>oncrete</w:t>
      </w:r>
    </w:p>
    <w:p w14:paraId="44C43CCC" w14:textId="77777777" w:rsidR="006D5EC5" w:rsidRPr="006C41E3" w:rsidRDefault="00281BFB" w:rsidP="00247466">
      <w:pPr>
        <w:pStyle w:val="Bulletindent"/>
      </w:pPr>
      <w:r>
        <w:t>d</w:t>
      </w:r>
      <w:r w:rsidR="006D5EC5" w:rsidRPr="006C41E3">
        <w:t>rainage structures</w:t>
      </w:r>
    </w:p>
    <w:p w14:paraId="375D315B" w14:textId="77777777" w:rsidR="006D5EC5" w:rsidRPr="00B55CED" w:rsidRDefault="00E442C7" w:rsidP="00247466">
      <w:pPr>
        <w:pStyle w:val="Bulletindent"/>
      </w:pPr>
      <w:r>
        <w:t>‘</w:t>
      </w:r>
      <w:r w:rsidR="00281BFB">
        <w:t>o</w:t>
      </w:r>
      <w:r w:rsidR="006D5EC5" w:rsidRPr="006C41E3">
        <w:t>ther</w:t>
      </w:r>
      <w:r>
        <w:t>’</w:t>
      </w:r>
      <w:r w:rsidR="006D5EC5" w:rsidRPr="006C41E3">
        <w:t xml:space="preserve"> – </w:t>
      </w:r>
      <w:r w:rsidR="006D5EC5" w:rsidRPr="006D5EC5">
        <w:t>complex projects, geotechnical and structures</w:t>
      </w:r>
      <w:r w:rsidR="00E87977">
        <w:t>.</w:t>
      </w:r>
    </w:p>
    <w:p w14:paraId="0D3B4255" w14:textId="77777777" w:rsidR="006D5EC5" w:rsidRDefault="006D5EC5" w:rsidP="009B365A">
      <w:pPr>
        <w:pStyle w:val="NormalIndent"/>
        <w:ind w:left="0"/>
      </w:pPr>
      <w:r>
        <w:t xml:space="preserve">Although the categories (and treatments) are common, </w:t>
      </w:r>
      <w:r w:rsidR="00E87977">
        <w:t xml:space="preserve">the </w:t>
      </w:r>
      <w:r>
        <w:t xml:space="preserve">risks </w:t>
      </w:r>
      <w:r w:rsidR="00E87977">
        <w:t>associated with each category is different</w:t>
      </w:r>
      <w:r>
        <w:t>. Common consideration</w:t>
      </w:r>
      <w:r w:rsidR="00E87977">
        <w:t>s</w:t>
      </w:r>
      <w:r>
        <w:t xml:space="preserve"> </w:t>
      </w:r>
      <w:r w:rsidR="00E87977">
        <w:t xml:space="preserve">in terms of the </w:t>
      </w:r>
      <w:r>
        <w:t>risk for each of the categories is included</w:t>
      </w:r>
      <w:r w:rsidR="00FF332E">
        <w:t xml:space="preserve"> in the table</w:t>
      </w:r>
      <w:r>
        <w:t xml:space="preserve"> below.</w:t>
      </w:r>
    </w:p>
    <w:p w14:paraId="356C7B4A" w14:textId="0C10BC41" w:rsidR="005F7C4F" w:rsidRDefault="005F7C4F" w:rsidP="00247466">
      <w:pPr>
        <w:pStyle w:val="Tablechartdiagramheading"/>
        <w:ind w:left="792"/>
      </w:pPr>
      <w:r>
        <w:lastRenderedPageBreak/>
        <w:t xml:space="preserve">Table </w:t>
      </w:r>
      <w:r>
        <w:rPr>
          <w:noProof/>
        </w:rPr>
        <w:fldChar w:fldCharType="begin"/>
      </w:r>
      <w:r>
        <w:rPr>
          <w:noProof/>
        </w:rPr>
        <w:instrText xml:space="preserve"> SEQ Table \* ARABIC </w:instrText>
      </w:r>
      <w:r>
        <w:rPr>
          <w:noProof/>
        </w:rPr>
        <w:fldChar w:fldCharType="separate"/>
      </w:r>
      <w:r w:rsidR="00972940">
        <w:rPr>
          <w:noProof/>
        </w:rPr>
        <w:t>2</w:t>
      </w:r>
      <w:r>
        <w:rPr>
          <w:noProof/>
        </w:rPr>
        <w:fldChar w:fldCharType="end"/>
      </w:r>
      <w:r w:rsidR="00247466">
        <w:t>:</w:t>
      </w:r>
      <w:r w:rsidR="005C2F8D">
        <w:t xml:space="preserve"> </w:t>
      </w:r>
      <w:r>
        <w:t>Key risk considerations by treatment categories</w:t>
      </w:r>
    </w:p>
    <w:tbl>
      <w:tblPr>
        <w:tblStyle w:val="DTFtexttableindent"/>
        <w:tblW w:w="4531" w:type="pct"/>
        <w:tblLayout w:type="fixed"/>
        <w:tblLook w:val="06A0" w:firstRow="1" w:lastRow="0" w:firstColumn="1" w:lastColumn="0" w:noHBand="1" w:noVBand="1"/>
      </w:tblPr>
      <w:tblGrid>
        <w:gridCol w:w="2627"/>
        <w:gridCol w:w="5552"/>
      </w:tblGrid>
      <w:tr w:rsidR="005F7C4F" w:rsidRPr="00357D85" w14:paraId="6AC23533" w14:textId="77777777" w:rsidTr="00247466">
        <w:trPr>
          <w:cnfStyle w:val="100000000000" w:firstRow="1" w:lastRow="0" w:firstColumn="0" w:lastColumn="0" w:oddVBand="0" w:evenVBand="0" w:oddHBand="0" w:evenHBand="0" w:firstRowFirstColumn="0" w:firstRowLastColumn="0" w:lastRowFirstColumn="0" w:lastRowLastColumn="0"/>
          <w:trHeight w:val="375"/>
        </w:trPr>
        <w:tc>
          <w:tcPr>
            <w:cnfStyle w:val="001000000100" w:firstRow="0" w:lastRow="0" w:firstColumn="1" w:lastColumn="0" w:oddVBand="0" w:evenVBand="0" w:oddHBand="0" w:evenHBand="0" w:firstRowFirstColumn="1" w:firstRowLastColumn="0" w:lastRowFirstColumn="0" w:lastRowLastColumn="0"/>
            <w:tcW w:w="1606" w:type="pct"/>
          </w:tcPr>
          <w:p w14:paraId="1DC29981" w14:textId="77777777" w:rsidR="005F7C4F" w:rsidRPr="00357D85" w:rsidRDefault="005F7C4F" w:rsidP="00247466">
            <w:pPr>
              <w:pStyle w:val="Tableheader"/>
            </w:pPr>
            <w:r>
              <w:t>Treatment category</w:t>
            </w:r>
          </w:p>
        </w:tc>
        <w:tc>
          <w:tcPr>
            <w:tcW w:w="3394" w:type="pct"/>
          </w:tcPr>
          <w:p w14:paraId="4D87B89D" w14:textId="77777777" w:rsidR="005F7C4F" w:rsidRPr="00357D85" w:rsidRDefault="005F7C4F" w:rsidP="00247466">
            <w:pPr>
              <w:pStyle w:val="Tableheader"/>
              <w:cnfStyle w:val="100000000000" w:firstRow="1" w:lastRow="0" w:firstColumn="0" w:lastColumn="0" w:oddVBand="0" w:evenVBand="0" w:oddHBand="0" w:evenHBand="0" w:firstRowFirstColumn="0" w:firstRowLastColumn="0" w:lastRowFirstColumn="0" w:lastRowLastColumn="0"/>
            </w:pPr>
            <w:r>
              <w:t>Key risk considerations</w:t>
            </w:r>
          </w:p>
        </w:tc>
      </w:tr>
      <w:tr w:rsidR="005F7C4F" w:rsidRPr="00357D85" w14:paraId="7D6BDE8C"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377FE162" w14:textId="77777777" w:rsidR="005F7C4F" w:rsidRPr="007530A9" w:rsidRDefault="005F7C4F" w:rsidP="00247466">
            <w:pPr>
              <w:pStyle w:val="Tabletext"/>
            </w:pPr>
            <w:r w:rsidRPr="007530A9">
              <w:t>Unsealed pavements</w:t>
            </w:r>
          </w:p>
        </w:tc>
        <w:tc>
          <w:tcPr>
            <w:tcW w:w="3394" w:type="pct"/>
          </w:tcPr>
          <w:p w14:paraId="3FF6501B"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5F7C4F" w:rsidRPr="007530A9">
              <w:t>ocated in remote areas</w:t>
            </w:r>
          </w:p>
          <w:p w14:paraId="676BFE0A"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H</w:t>
            </w:r>
            <w:r w:rsidR="005F7C4F" w:rsidRPr="007530A9">
              <w:t>igh camp or mobilisation costs for remote works</w:t>
            </w:r>
          </w:p>
          <w:p w14:paraId="34FDA47E"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5F7C4F" w:rsidRPr="007530A9">
              <w:t>oss of productivity due to travel times</w:t>
            </w:r>
          </w:p>
          <w:p w14:paraId="019C4DF8"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5F7C4F" w:rsidRPr="007530A9">
              <w:t xml:space="preserve">ack of resource availability or distance to source may </w:t>
            </w:r>
            <w:r w:rsidR="00E20B07">
              <w:t>r</w:t>
            </w:r>
            <w:r w:rsidR="005F7C4F" w:rsidRPr="007530A9">
              <w:t>equire long hauls of gravel or water</w:t>
            </w:r>
          </w:p>
          <w:p w14:paraId="6467CE8D"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H</w:t>
            </w:r>
            <w:r w:rsidR="005F7C4F" w:rsidRPr="007530A9">
              <w:t>igher risk of plant and labour shortages</w:t>
            </w:r>
          </w:p>
        </w:tc>
      </w:tr>
      <w:tr w:rsidR="005F7C4F" w:rsidRPr="00357D85" w14:paraId="31E853A3"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2E4598AC" w14:textId="77777777" w:rsidR="005F7C4F" w:rsidRPr="007530A9" w:rsidRDefault="005F7C4F" w:rsidP="00247466">
            <w:pPr>
              <w:pStyle w:val="Tabletext"/>
            </w:pPr>
            <w:r w:rsidRPr="007530A9">
              <w:t>Sealed pavement repairs</w:t>
            </w:r>
          </w:p>
        </w:tc>
        <w:tc>
          <w:tcPr>
            <w:tcW w:w="3394" w:type="pct"/>
          </w:tcPr>
          <w:p w14:paraId="3EFEC30B"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H</w:t>
            </w:r>
            <w:r w:rsidR="00715B28" w:rsidRPr="007530A9">
              <w:t>igher order roads with ongoing operation imperative</w:t>
            </w:r>
          </w:p>
          <w:p w14:paraId="4E8D5E8D" w14:textId="77777777" w:rsidR="00715B28"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715B28" w:rsidRPr="007530A9">
              <w:t>ost productivity and increased traffic control costs</w:t>
            </w:r>
          </w:p>
          <w:p w14:paraId="20713419" w14:textId="77777777" w:rsidR="00715B28"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P</w:t>
            </w:r>
            <w:r w:rsidR="00715B28" w:rsidRPr="007530A9">
              <w:t>otential subgrade issues and conflicts with services or underground drainage</w:t>
            </w:r>
          </w:p>
        </w:tc>
      </w:tr>
      <w:tr w:rsidR="005F7C4F" w:rsidRPr="00357D85" w14:paraId="4DA2EA0A"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38DD62AA" w14:textId="77777777" w:rsidR="005F7C4F" w:rsidRPr="007530A9" w:rsidRDefault="005F7C4F" w:rsidP="00247466">
            <w:pPr>
              <w:pStyle w:val="Tabletext"/>
            </w:pPr>
            <w:r w:rsidRPr="007530A9">
              <w:t>Clearing and earthworks</w:t>
            </w:r>
          </w:p>
        </w:tc>
        <w:tc>
          <w:tcPr>
            <w:tcW w:w="3394" w:type="pct"/>
          </w:tcPr>
          <w:p w14:paraId="201EF46B"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715B28" w:rsidRPr="007530A9">
              <w:t>ifficulties in quantification</w:t>
            </w:r>
          </w:p>
          <w:p w14:paraId="5E936C7C" w14:textId="77777777" w:rsidR="00715B28"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R</w:t>
            </w:r>
            <w:r w:rsidR="00715B28" w:rsidRPr="007530A9">
              <w:t>isk of contaminated materials</w:t>
            </w:r>
          </w:p>
          <w:p w14:paraId="58B5B30D" w14:textId="77777777" w:rsidR="00715B28"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715B28" w:rsidRPr="007530A9">
              <w:t>ifficulty of access</w:t>
            </w:r>
          </w:p>
        </w:tc>
      </w:tr>
      <w:tr w:rsidR="005F7C4F" w:rsidRPr="00357D85" w14:paraId="03E139D5"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7DF9662F" w14:textId="77777777" w:rsidR="005F7C4F" w:rsidRPr="007530A9" w:rsidRDefault="005F7C4F" w:rsidP="00247466">
            <w:pPr>
              <w:pStyle w:val="Tabletext"/>
            </w:pPr>
            <w:r w:rsidRPr="007530A9">
              <w:t>Road furniture and delineation</w:t>
            </w:r>
          </w:p>
        </w:tc>
        <w:tc>
          <w:tcPr>
            <w:tcW w:w="3394" w:type="pct"/>
          </w:tcPr>
          <w:p w14:paraId="63D21022"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157D04" w:rsidRPr="007530A9">
              <w:t>ow productivity due to spread over long distances</w:t>
            </w:r>
          </w:p>
          <w:p w14:paraId="0CC1DA52" w14:textId="77777777" w:rsidR="00157D04"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P</w:t>
            </w:r>
            <w:r w:rsidR="00157D04" w:rsidRPr="007530A9">
              <w:t>otential need for mobile traffic control</w:t>
            </w:r>
          </w:p>
        </w:tc>
      </w:tr>
      <w:tr w:rsidR="005F7C4F" w:rsidRPr="00357D85" w14:paraId="68568084"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72746323" w14:textId="77777777" w:rsidR="005F7C4F" w:rsidRPr="007530A9" w:rsidRDefault="005F7C4F" w:rsidP="00247466">
            <w:pPr>
              <w:pStyle w:val="Tabletext"/>
            </w:pPr>
            <w:r w:rsidRPr="007530A9">
              <w:t>Concrete</w:t>
            </w:r>
          </w:p>
        </w:tc>
        <w:tc>
          <w:tcPr>
            <w:tcW w:w="3394" w:type="pct"/>
          </w:tcPr>
          <w:p w14:paraId="760C2FD8"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S</w:t>
            </w:r>
            <w:r w:rsidR="007A5AB1" w:rsidRPr="007530A9">
              <w:t>upply availability</w:t>
            </w:r>
          </w:p>
          <w:p w14:paraId="4C9474AB" w14:textId="77777777" w:rsidR="007A5AB1"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Di</w:t>
            </w:r>
            <w:r w:rsidR="007A5AB1" w:rsidRPr="007530A9">
              <w:t>stance to supply</w:t>
            </w:r>
          </w:p>
          <w:p w14:paraId="764CA00E" w14:textId="77777777" w:rsidR="007A5AB1"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Q</w:t>
            </w:r>
            <w:r w:rsidR="007A5AB1" w:rsidRPr="007530A9">
              <w:t>uality of supply</w:t>
            </w:r>
          </w:p>
          <w:p w14:paraId="74A5346A" w14:textId="77777777" w:rsidR="007A5AB1"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7A5AB1" w:rsidRPr="007530A9">
              <w:t>abour shortages for skilled steel fixers</w:t>
            </w:r>
          </w:p>
          <w:p w14:paraId="00D8C61D" w14:textId="77777777" w:rsidR="007A5AB1"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1106A0" w:rsidRPr="007530A9">
              <w:t>oss of productivity due to small sites</w:t>
            </w:r>
          </w:p>
          <w:p w14:paraId="173506E7"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1106A0" w:rsidRPr="007530A9">
              <w:t>esign risks</w:t>
            </w:r>
          </w:p>
        </w:tc>
      </w:tr>
      <w:tr w:rsidR="005F7C4F" w:rsidRPr="00357D85" w14:paraId="20F41B7B"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598D40EC" w14:textId="77777777" w:rsidR="005F7C4F" w:rsidRPr="007530A9" w:rsidRDefault="005F7C4F" w:rsidP="00247466">
            <w:pPr>
              <w:pStyle w:val="Tabletext"/>
            </w:pPr>
            <w:r w:rsidRPr="007530A9">
              <w:t>Drainage structures</w:t>
            </w:r>
          </w:p>
        </w:tc>
        <w:tc>
          <w:tcPr>
            <w:tcW w:w="3394" w:type="pct"/>
          </w:tcPr>
          <w:p w14:paraId="1B0094B9"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P</w:t>
            </w:r>
            <w:r w:rsidR="001106A0" w:rsidRPr="007530A9">
              <w:t>otential trigger of statutory approvals</w:t>
            </w:r>
          </w:p>
          <w:p w14:paraId="005641C5"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E</w:t>
            </w:r>
            <w:r w:rsidR="001106A0" w:rsidRPr="007530A9">
              <w:t>nvironmental complexities</w:t>
            </w:r>
          </w:p>
          <w:p w14:paraId="0825DDC3"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S</w:t>
            </w:r>
            <w:r w:rsidR="001106A0" w:rsidRPr="007530A9">
              <w:t>ubject to weather and season</w:t>
            </w:r>
          </w:p>
          <w:p w14:paraId="2FB9485A"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V</w:t>
            </w:r>
            <w:r w:rsidR="001106A0" w:rsidRPr="007530A9">
              <w:t>ariable materials</w:t>
            </w:r>
          </w:p>
          <w:p w14:paraId="7219639F"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1106A0" w:rsidRPr="007530A9">
              <w:t>ifficulty of access</w:t>
            </w:r>
          </w:p>
          <w:p w14:paraId="530FD1E5"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S</w:t>
            </w:r>
            <w:r w:rsidR="001106A0" w:rsidRPr="007530A9">
              <w:t>upply and haulage costs</w:t>
            </w:r>
          </w:p>
        </w:tc>
      </w:tr>
      <w:tr w:rsidR="005F7C4F" w:rsidRPr="00357D85" w14:paraId="03297D91"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4FCEF6A1" w14:textId="77777777" w:rsidR="005F7C4F" w:rsidRPr="007530A9" w:rsidRDefault="005F7C4F" w:rsidP="00247466">
            <w:pPr>
              <w:pStyle w:val="Tabletext"/>
            </w:pPr>
            <w:r w:rsidRPr="007530A9">
              <w:t>Other</w:t>
            </w:r>
          </w:p>
        </w:tc>
        <w:tc>
          <w:tcPr>
            <w:tcW w:w="3394" w:type="pct"/>
          </w:tcPr>
          <w:p w14:paraId="51D85A20"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1106A0" w:rsidRPr="007530A9">
              <w:t>etailed investigations and design</w:t>
            </w:r>
          </w:p>
          <w:p w14:paraId="74065D15"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O</w:t>
            </w:r>
            <w:r w:rsidR="001106A0" w:rsidRPr="007530A9">
              <w:t>ngoing design requirements</w:t>
            </w:r>
          </w:p>
          <w:p w14:paraId="332DD834"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S</w:t>
            </w:r>
            <w:r w:rsidR="001106A0" w:rsidRPr="007530A9">
              <w:t>tatutory approvals</w:t>
            </w:r>
          </w:p>
          <w:p w14:paraId="00CC1A30"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E</w:t>
            </w:r>
            <w:r w:rsidR="001106A0" w:rsidRPr="007530A9">
              <w:t>nvironmental complexities</w:t>
            </w:r>
          </w:p>
          <w:p w14:paraId="31154801"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V</w:t>
            </w:r>
            <w:r w:rsidR="001106A0" w:rsidRPr="007530A9">
              <w:t>ariable materials</w:t>
            </w:r>
          </w:p>
          <w:p w14:paraId="18781A6B"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C</w:t>
            </w:r>
            <w:r w:rsidR="001106A0" w:rsidRPr="007530A9">
              <w:t>omplex interfaces with traffic or other infrastructure</w:t>
            </w:r>
          </w:p>
          <w:p w14:paraId="529A47DC"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1106A0" w:rsidRPr="007530A9">
              <w:t>ifficulty of access</w:t>
            </w:r>
          </w:p>
          <w:p w14:paraId="03C3A1F9"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A</w:t>
            </w:r>
            <w:r w:rsidR="001106A0" w:rsidRPr="007530A9">
              <w:t>vailability of suitable plant, equipment and labour</w:t>
            </w:r>
          </w:p>
        </w:tc>
      </w:tr>
    </w:tbl>
    <w:p w14:paraId="69C2C850" w14:textId="77777777" w:rsidR="00247466" w:rsidRDefault="00247466" w:rsidP="00247466"/>
    <w:p w14:paraId="708B9E72" w14:textId="77777777" w:rsidR="009B365A" w:rsidRDefault="009B365A">
      <w:pPr>
        <w:spacing w:before="0" w:after="0" w:line="240" w:lineRule="auto"/>
        <w:rPr>
          <w:rFonts w:asciiTheme="majorHAnsi" w:eastAsiaTheme="majorEastAsia" w:hAnsiTheme="majorHAnsi" w:cstheme="majorBidi"/>
          <w:b/>
          <w:bCs/>
          <w:color w:val="0063A6" w:themeColor="accent1"/>
          <w:sz w:val="28"/>
          <w:szCs w:val="26"/>
        </w:rPr>
      </w:pPr>
      <w:r>
        <w:br w:type="page"/>
      </w:r>
    </w:p>
    <w:p w14:paraId="374A7626" w14:textId="77777777" w:rsidR="002F6B9B" w:rsidRPr="00E23193" w:rsidRDefault="002F6B9B" w:rsidP="00A91244">
      <w:pPr>
        <w:pStyle w:val="Heading2numbered"/>
      </w:pPr>
      <w:bookmarkStart w:id="51" w:name="_Toc170127181"/>
      <w:r w:rsidRPr="00E23193">
        <w:lastRenderedPageBreak/>
        <w:t xml:space="preserve">Risk </w:t>
      </w:r>
      <w:r w:rsidR="006B3E25">
        <w:t>p</w:t>
      </w:r>
      <w:r w:rsidR="003F394A">
        <w:t xml:space="preserve">rofiles – </w:t>
      </w:r>
      <w:r w:rsidR="006B3E25">
        <w:t>l</w:t>
      </w:r>
      <w:r w:rsidRPr="00E23193">
        <w:t>ocation</w:t>
      </w:r>
      <w:bookmarkEnd w:id="51"/>
    </w:p>
    <w:p w14:paraId="3EA357A9" w14:textId="77777777" w:rsidR="002F6B9B" w:rsidRDefault="002F6B9B" w:rsidP="009B365A">
      <w:pPr>
        <w:pStyle w:val="NormalIndent"/>
        <w:ind w:left="0"/>
      </w:pPr>
      <w:r>
        <w:t>The delineation of regions is useful in considering local risks and their impacts on reconstruction works. Risks include:</w:t>
      </w:r>
    </w:p>
    <w:p w14:paraId="1B66CFA7" w14:textId="77777777" w:rsidR="002F6B9B" w:rsidRDefault="00A72B5B" w:rsidP="00247466">
      <w:pPr>
        <w:pStyle w:val="Bulletindent"/>
      </w:pPr>
      <w:r>
        <w:t xml:space="preserve">Increased haulage due to </w:t>
      </w:r>
      <w:r w:rsidR="002F6B9B">
        <w:t>reduced</w:t>
      </w:r>
      <w:r w:rsidR="002F6B9B" w:rsidRPr="00237D87">
        <w:t xml:space="preserve"> water or gravel </w:t>
      </w:r>
      <w:proofErr w:type="gramStart"/>
      <w:r w:rsidR="006B3E25">
        <w:t>supply;</w:t>
      </w:r>
      <w:proofErr w:type="gramEnd"/>
    </w:p>
    <w:p w14:paraId="52390AAA" w14:textId="77777777" w:rsidR="002F6B9B" w:rsidRDefault="00A72B5B" w:rsidP="00247466">
      <w:pPr>
        <w:pStyle w:val="Bulletindent"/>
      </w:pPr>
      <w:r>
        <w:t>Higher cost of labour due to l</w:t>
      </w:r>
      <w:r w:rsidRPr="00237D87">
        <w:t xml:space="preserve">abour </w:t>
      </w:r>
      <w:proofErr w:type="gramStart"/>
      <w:r w:rsidR="002F6B9B" w:rsidRPr="00237D87">
        <w:t>shortage</w:t>
      </w:r>
      <w:r w:rsidR="006B3E25">
        <w:t>s;</w:t>
      </w:r>
      <w:proofErr w:type="gramEnd"/>
      <w:r w:rsidR="006B3E25">
        <w:t xml:space="preserve"> </w:t>
      </w:r>
    </w:p>
    <w:p w14:paraId="715B0328" w14:textId="77777777" w:rsidR="002F6B9B" w:rsidRDefault="00A72B5B" w:rsidP="00247466">
      <w:pPr>
        <w:pStyle w:val="Bulletindent"/>
      </w:pPr>
      <w:r>
        <w:t>H</w:t>
      </w:r>
      <w:r w:rsidRPr="00237D87">
        <w:t xml:space="preserve">igh costs of </w:t>
      </w:r>
      <w:r w:rsidR="00E4115D" w:rsidRPr="00237D87">
        <w:t>mobili</w:t>
      </w:r>
      <w:r w:rsidR="00E4115D">
        <w:t>s</w:t>
      </w:r>
      <w:r w:rsidR="00E4115D" w:rsidRPr="00237D87">
        <w:t>ation</w:t>
      </w:r>
      <w:r w:rsidR="00E4115D">
        <w:t xml:space="preserve"> </w:t>
      </w:r>
      <w:r>
        <w:t xml:space="preserve">and camp due to </w:t>
      </w:r>
      <w:proofErr w:type="gramStart"/>
      <w:r>
        <w:t>remoteness</w:t>
      </w:r>
      <w:r w:rsidR="006B3E25">
        <w:t>;</w:t>
      </w:r>
      <w:proofErr w:type="gramEnd"/>
      <w:r w:rsidR="006B3E25">
        <w:t xml:space="preserve"> </w:t>
      </w:r>
    </w:p>
    <w:p w14:paraId="4B9508D8" w14:textId="77777777" w:rsidR="002F6B9B" w:rsidRDefault="00A72B5B" w:rsidP="00247466">
      <w:pPr>
        <w:pStyle w:val="Bulletindent"/>
      </w:pPr>
      <w:r>
        <w:t>A</w:t>
      </w:r>
      <w:r w:rsidR="002F6B9B">
        <w:t xml:space="preserve">vailability of local </w:t>
      </w:r>
      <w:proofErr w:type="gramStart"/>
      <w:r w:rsidR="002F6B9B">
        <w:t>supplies</w:t>
      </w:r>
      <w:r w:rsidR="006B3E25">
        <w:t>;</w:t>
      </w:r>
      <w:proofErr w:type="gramEnd"/>
    </w:p>
    <w:p w14:paraId="2F81354A" w14:textId="77777777" w:rsidR="002F6B9B" w:rsidRDefault="00A72B5B" w:rsidP="00247466">
      <w:pPr>
        <w:pStyle w:val="Bulletindent"/>
      </w:pPr>
      <w:r>
        <w:t>Delays and further investigations due to e</w:t>
      </w:r>
      <w:r w:rsidRPr="00237D87">
        <w:t xml:space="preserve">nvironmental </w:t>
      </w:r>
      <w:proofErr w:type="gramStart"/>
      <w:r w:rsidR="002F6B9B" w:rsidRPr="00237D87">
        <w:t>risks</w:t>
      </w:r>
      <w:r w:rsidR="006B3E25">
        <w:t>;</w:t>
      </w:r>
      <w:proofErr w:type="gramEnd"/>
      <w:r w:rsidR="006B3E25">
        <w:t xml:space="preserve"> </w:t>
      </w:r>
    </w:p>
    <w:p w14:paraId="0AE6242A" w14:textId="77777777" w:rsidR="00642451" w:rsidRDefault="00187012" w:rsidP="00247466">
      <w:pPr>
        <w:pStyle w:val="Bulletindent"/>
      </w:pPr>
      <w:r>
        <w:t>T</w:t>
      </w:r>
      <w:r w:rsidR="002F6B9B">
        <w:t xml:space="preserve">raffic </w:t>
      </w:r>
      <w:r w:rsidR="00A72B5B">
        <w:t xml:space="preserve">related </w:t>
      </w:r>
      <w:r w:rsidR="002F6B9B">
        <w:t xml:space="preserve">risks </w:t>
      </w:r>
      <w:r w:rsidR="00A72B5B">
        <w:t xml:space="preserve">due to </w:t>
      </w:r>
      <w:r w:rsidR="002F6B9B">
        <w:t>complex staging requirements</w:t>
      </w:r>
      <w:r w:rsidR="006B3E25">
        <w:t>; and</w:t>
      </w:r>
    </w:p>
    <w:p w14:paraId="3A060F4A" w14:textId="77777777" w:rsidR="002F6B9B" w:rsidRPr="00237D87" w:rsidRDefault="00642451" w:rsidP="00247466">
      <w:pPr>
        <w:pStyle w:val="Bulletindent"/>
      </w:pPr>
      <w:r>
        <w:t>Impact associated with the climate in the region</w:t>
      </w:r>
      <w:r w:rsidR="00A72B5B">
        <w:t>.</w:t>
      </w:r>
    </w:p>
    <w:p w14:paraId="15854DEC" w14:textId="77777777" w:rsidR="002F6B9B" w:rsidRPr="00E23193" w:rsidRDefault="002F6B9B" w:rsidP="00A91244">
      <w:pPr>
        <w:pStyle w:val="Heading2numbered"/>
      </w:pPr>
      <w:bookmarkStart w:id="52" w:name="_Toc170127182"/>
      <w:r w:rsidRPr="00E23193">
        <w:t xml:space="preserve">Deterministic </w:t>
      </w:r>
      <w:r w:rsidR="006B3E25">
        <w:t>a</w:t>
      </w:r>
      <w:r w:rsidRPr="00E23193">
        <w:t xml:space="preserve">pproach – </w:t>
      </w:r>
      <w:r w:rsidR="006B3E25">
        <w:t>t</w:t>
      </w:r>
      <w:r w:rsidR="003F394A">
        <w:t xml:space="preserve">ypical </w:t>
      </w:r>
      <w:r w:rsidR="006B3E25">
        <w:t>r</w:t>
      </w:r>
      <w:r w:rsidRPr="00E23193">
        <w:t xml:space="preserve">econstruction </w:t>
      </w:r>
      <w:r w:rsidR="006B3E25">
        <w:t>p</w:t>
      </w:r>
      <w:r w:rsidRPr="00E23193">
        <w:t>rojects</w:t>
      </w:r>
      <w:bookmarkEnd w:id="52"/>
    </w:p>
    <w:p w14:paraId="360B0783" w14:textId="77777777" w:rsidR="00E1768E" w:rsidRDefault="002F6B9B" w:rsidP="009B365A">
      <w:pPr>
        <w:pStyle w:val="NormalIndent"/>
        <w:ind w:left="0"/>
      </w:pPr>
      <w:r>
        <w:t xml:space="preserve">In considering the regional specific risks, the deterministic approach to calculating contingencies can be applied </w:t>
      </w:r>
      <w:r w:rsidR="00642451">
        <w:t xml:space="preserve">by </w:t>
      </w:r>
      <w:r>
        <w:t>treatment categor</w:t>
      </w:r>
      <w:r w:rsidR="00642451">
        <w:t>y</w:t>
      </w:r>
      <w:r>
        <w:t xml:space="preserve"> as </w:t>
      </w:r>
      <w:r w:rsidR="00C00DDF">
        <w:t xml:space="preserve">is detailed in the standard deterministic matrix developed for common risk factors, included in Appendix </w:t>
      </w:r>
      <w:r w:rsidR="00E1768E">
        <w:t>C</w:t>
      </w:r>
      <w:r w:rsidR="006C7752">
        <w:t xml:space="preserve"> in this Guideline</w:t>
      </w:r>
      <w:r w:rsidR="00642451">
        <w:t>.</w:t>
      </w:r>
      <w:r w:rsidR="00C00DDF" w:rsidRPr="00C00DDF">
        <w:t xml:space="preserve"> </w:t>
      </w:r>
    </w:p>
    <w:p w14:paraId="602C0FF1" w14:textId="77777777" w:rsidR="00123CD2" w:rsidRDefault="00123CD2" w:rsidP="009B365A">
      <w:pPr>
        <w:pStyle w:val="NormalIndent"/>
        <w:ind w:left="0"/>
      </w:pPr>
      <w:r>
        <w:t>Regional characteristics and risks will determine where within this range each treatment should site or whether an adjustment to the range is required. For each risk listed it is necessary to determine the level of confidence and reliability and hence the appropriate risk adjustment. It is recommended t</w:t>
      </w:r>
      <w:r w:rsidRPr="00120575">
        <w:t>h</w:t>
      </w:r>
      <w:r>
        <w:t>at the deterministic</w:t>
      </w:r>
      <w:r w:rsidRPr="00120575">
        <w:t xml:space="preserve"> risk matrix </w:t>
      </w:r>
      <w:r>
        <w:t>in Appendix C</w:t>
      </w:r>
      <w:r w:rsidR="006C7752">
        <w:t xml:space="preserve"> in this Guideline</w:t>
      </w:r>
      <w:r>
        <w:t xml:space="preserve"> </w:t>
      </w:r>
      <w:r w:rsidRPr="00120575">
        <w:t xml:space="preserve">is used for each of the </w:t>
      </w:r>
      <w:r>
        <w:t xml:space="preserve">standard </w:t>
      </w:r>
      <w:r w:rsidRPr="00120575">
        <w:t>treatments included</w:t>
      </w:r>
      <w:r>
        <w:t xml:space="preserve"> in a project cost estimate.</w:t>
      </w:r>
    </w:p>
    <w:p w14:paraId="156C8B36" w14:textId="77777777" w:rsidR="00805F45" w:rsidRDefault="00C00DDF" w:rsidP="009B365A">
      <w:pPr>
        <w:pStyle w:val="NormalIndent"/>
        <w:ind w:left="0"/>
      </w:pPr>
      <w:r w:rsidRPr="0020616E">
        <w:t>Typical contingency ranges</w:t>
      </w:r>
      <w:r>
        <w:t xml:space="preserve">, correlating to a </w:t>
      </w:r>
      <w:r w:rsidRPr="00397090">
        <w:t>first principles</w:t>
      </w:r>
      <w:r w:rsidRPr="003D4D05">
        <w:t xml:space="preserve"> e</w:t>
      </w:r>
      <w:r>
        <w:t xml:space="preserve">stimate </w:t>
      </w:r>
      <w:r w:rsidR="006D1D19">
        <w:t>phase</w:t>
      </w:r>
      <w:r w:rsidR="006D1D19" w:rsidRPr="0020616E">
        <w:t xml:space="preserve"> </w:t>
      </w:r>
      <w:r w:rsidRPr="0020616E">
        <w:t xml:space="preserve">for each treatment category </w:t>
      </w:r>
      <w:r w:rsidR="00805F45">
        <w:t>is outlined below</w:t>
      </w:r>
      <w:r w:rsidR="004A79DC">
        <w:t>:</w:t>
      </w:r>
      <w:r w:rsidR="00E1768E">
        <w:t xml:space="preserve"> </w:t>
      </w:r>
    </w:p>
    <w:tbl>
      <w:tblPr>
        <w:tblStyle w:val="DTFtexttable"/>
        <w:tblW w:w="3690" w:type="pct"/>
        <w:tblInd w:w="851" w:type="dxa"/>
        <w:tblLayout w:type="fixed"/>
        <w:tblLook w:val="0660" w:firstRow="1" w:lastRow="1" w:firstColumn="0" w:lastColumn="0" w:noHBand="1" w:noVBand="1"/>
      </w:tblPr>
      <w:tblGrid>
        <w:gridCol w:w="3661"/>
        <w:gridCol w:w="3000"/>
      </w:tblGrid>
      <w:tr w:rsidR="00805F45" w:rsidRPr="00357D85" w14:paraId="7255F058" w14:textId="77777777" w:rsidTr="000A4171">
        <w:trPr>
          <w:cnfStyle w:val="100000000000" w:firstRow="1" w:lastRow="0" w:firstColumn="0" w:lastColumn="0" w:oddVBand="0" w:evenVBand="0" w:oddHBand="0" w:evenHBand="0" w:firstRowFirstColumn="0" w:firstRowLastColumn="0" w:lastRowFirstColumn="0" w:lastRowLastColumn="0"/>
          <w:trHeight w:val="375"/>
        </w:trPr>
        <w:tc>
          <w:tcPr>
            <w:tcW w:w="2748" w:type="pct"/>
          </w:tcPr>
          <w:p w14:paraId="0025575C" w14:textId="77777777" w:rsidR="00805F45" w:rsidRPr="00357D85" w:rsidRDefault="00805F45" w:rsidP="000A4171">
            <w:pPr>
              <w:pStyle w:val="Tableheader"/>
            </w:pPr>
            <w:r>
              <w:t>Treatment category</w:t>
            </w:r>
          </w:p>
        </w:tc>
        <w:tc>
          <w:tcPr>
            <w:tcW w:w="2252" w:type="pct"/>
          </w:tcPr>
          <w:p w14:paraId="33951580" w14:textId="77777777" w:rsidR="00805F45" w:rsidRDefault="00805F45" w:rsidP="000A4171">
            <w:pPr>
              <w:pStyle w:val="Tableheader"/>
              <w:rPr>
                <w:b w:val="0"/>
              </w:rPr>
            </w:pPr>
            <w:r>
              <w:t xml:space="preserve">Typical contingency ranges </w:t>
            </w:r>
          </w:p>
          <w:p w14:paraId="7966A85D" w14:textId="77777777" w:rsidR="00805F45" w:rsidRPr="00357D85" w:rsidRDefault="00805F45" w:rsidP="000A4171">
            <w:pPr>
              <w:pStyle w:val="Tableheader"/>
            </w:pPr>
            <w:r>
              <w:t>(First Principles Estimate)</w:t>
            </w:r>
          </w:p>
        </w:tc>
      </w:tr>
      <w:tr w:rsidR="00805F45" w:rsidRPr="00357D85" w14:paraId="1B0110A0" w14:textId="77777777" w:rsidTr="000A4171">
        <w:trPr>
          <w:trHeight w:val="360"/>
        </w:trPr>
        <w:tc>
          <w:tcPr>
            <w:tcW w:w="2748" w:type="pct"/>
          </w:tcPr>
          <w:p w14:paraId="65F243D9" w14:textId="77777777" w:rsidR="00805F45" w:rsidRPr="00357D85" w:rsidRDefault="00805F45" w:rsidP="000A4171">
            <w:pPr>
              <w:pStyle w:val="Tabletext"/>
            </w:pPr>
            <w:r>
              <w:t>Unsealed pavements</w:t>
            </w:r>
          </w:p>
        </w:tc>
        <w:tc>
          <w:tcPr>
            <w:tcW w:w="2252" w:type="pct"/>
          </w:tcPr>
          <w:p w14:paraId="1A21BA9E" w14:textId="77777777" w:rsidR="00805F45" w:rsidRPr="00357D85" w:rsidRDefault="00805F45" w:rsidP="000A4171">
            <w:pPr>
              <w:pStyle w:val="Tabletext"/>
            </w:pPr>
            <w:r>
              <w:t>24</w:t>
            </w:r>
            <w:r w:rsidR="0027779F">
              <w:t xml:space="preserve"> – 30%</w:t>
            </w:r>
          </w:p>
        </w:tc>
      </w:tr>
      <w:tr w:rsidR="00805F45" w:rsidRPr="00357D85" w14:paraId="66E95A79" w14:textId="77777777" w:rsidTr="000A4171">
        <w:trPr>
          <w:trHeight w:val="360"/>
        </w:trPr>
        <w:tc>
          <w:tcPr>
            <w:tcW w:w="2748" w:type="pct"/>
          </w:tcPr>
          <w:p w14:paraId="12E779B5" w14:textId="77777777" w:rsidR="00805F45" w:rsidRDefault="00805F45" w:rsidP="000A4171">
            <w:pPr>
              <w:pStyle w:val="Tabletext"/>
            </w:pPr>
            <w:r>
              <w:t>Sealed pavement repairs</w:t>
            </w:r>
          </w:p>
        </w:tc>
        <w:tc>
          <w:tcPr>
            <w:tcW w:w="2252" w:type="pct"/>
          </w:tcPr>
          <w:p w14:paraId="5534D557" w14:textId="77777777" w:rsidR="00805F45" w:rsidRDefault="0027779F" w:rsidP="000A4171">
            <w:pPr>
              <w:pStyle w:val="Tabletext"/>
            </w:pPr>
            <w:r>
              <w:t xml:space="preserve">24 </w:t>
            </w:r>
            <w:r w:rsidR="00805F45">
              <w:t>-</w:t>
            </w:r>
            <w:r>
              <w:t xml:space="preserve"> 30</w:t>
            </w:r>
            <w:r w:rsidR="00805F45">
              <w:t>%</w:t>
            </w:r>
          </w:p>
        </w:tc>
      </w:tr>
      <w:tr w:rsidR="00805F45" w:rsidRPr="00357D85" w14:paraId="21CEBD71" w14:textId="77777777" w:rsidTr="000A4171">
        <w:trPr>
          <w:trHeight w:val="360"/>
        </w:trPr>
        <w:tc>
          <w:tcPr>
            <w:tcW w:w="2748" w:type="pct"/>
          </w:tcPr>
          <w:p w14:paraId="2140B511" w14:textId="77777777" w:rsidR="00805F45" w:rsidRDefault="00805F45" w:rsidP="000A4171">
            <w:pPr>
              <w:pStyle w:val="Tabletext"/>
            </w:pPr>
            <w:r>
              <w:t>Clearing and earthworks</w:t>
            </w:r>
          </w:p>
        </w:tc>
        <w:tc>
          <w:tcPr>
            <w:tcW w:w="2252" w:type="pct"/>
          </w:tcPr>
          <w:p w14:paraId="4A6F103C" w14:textId="77777777" w:rsidR="00805F45" w:rsidRDefault="009D2A58" w:rsidP="000A4171">
            <w:pPr>
              <w:pStyle w:val="Tabletext"/>
            </w:pPr>
            <w:r>
              <w:t xml:space="preserve">28 </w:t>
            </w:r>
            <w:r w:rsidR="00805F45">
              <w:t>-</w:t>
            </w:r>
            <w:r>
              <w:t xml:space="preserve"> 34</w:t>
            </w:r>
            <w:r w:rsidR="00805F45">
              <w:t>%</w:t>
            </w:r>
          </w:p>
        </w:tc>
      </w:tr>
      <w:tr w:rsidR="00805F45" w:rsidRPr="00357D85" w14:paraId="014604CB" w14:textId="77777777" w:rsidTr="000A4171">
        <w:trPr>
          <w:trHeight w:val="360"/>
        </w:trPr>
        <w:tc>
          <w:tcPr>
            <w:tcW w:w="2748" w:type="pct"/>
          </w:tcPr>
          <w:p w14:paraId="13466442" w14:textId="77777777" w:rsidR="00805F45" w:rsidRDefault="00805F45" w:rsidP="000A4171">
            <w:pPr>
              <w:pStyle w:val="Tabletext"/>
            </w:pPr>
            <w:r>
              <w:t>Road furniture and delineation</w:t>
            </w:r>
          </w:p>
        </w:tc>
        <w:tc>
          <w:tcPr>
            <w:tcW w:w="2252" w:type="pct"/>
          </w:tcPr>
          <w:p w14:paraId="0E80E10A" w14:textId="77777777" w:rsidR="00805F45" w:rsidRDefault="009D2A58" w:rsidP="000A4171">
            <w:pPr>
              <w:pStyle w:val="Tabletext"/>
            </w:pPr>
            <w:r>
              <w:t xml:space="preserve">24 </w:t>
            </w:r>
            <w:r w:rsidR="00805F45">
              <w:t>-</w:t>
            </w:r>
            <w:r>
              <w:t xml:space="preserve"> 34</w:t>
            </w:r>
            <w:r w:rsidR="00805F45">
              <w:t>%</w:t>
            </w:r>
          </w:p>
        </w:tc>
      </w:tr>
      <w:tr w:rsidR="00805F45" w:rsidRPr="00357D85" w14:paraId="457B4FB9" w14:textId="77777777" w:rsidTr="000A4171">
        <w:trPr>
          <w:trHeight w:val="360"/>
        </w:trPr>
        <w:tc>
          <w:tcPr>
            <w:tcW w:w="2748" w:type="pct"/>
          </w:tcPr>
          <w:p w14:paraId="76329026" w14:textId="77777777" w:rsidR="00805F45" w:rsidRDefault="00805F45" w:rsidP="000A4171">
            <w:pPr>
              <w:pStyle w:val="Tabletext"/>
            </w:pPr>
            <w:r>
              <w:t>Concrete</w:t>
            </w:r>
          </w:p>
        </w:tc>
        <w:tc>
          <w:tcPr>
            <w:tcW w:w="2252" w:type="pct"/>
          </w:tcPr>
          <w:p w14:paraId="0CD0E8B0" w14:textId="77777777" w:rsidR="00805F45" w:rsidRDefault="009D2A58" w:rsidP="000A4171">
            <w:pPr>
              <w:pStyle w:val="Tabletext"/>
            </w:pPr>
            <w:r>
              <w:t xml:space="preserve">30 </w:t>
            </w:r>
            <w:r w:rsidR="00805F45">
              <w:t>-</w:t>
            </w:r>
            <w:r>
              <w:t xml:space="preserve"> 4</w:t>
            </w:r>
            <w:r w:rsidR="00805F45">
              <w:t>0%</w:t>
            </w:r>
          </w:p>
        </w:tc>
      </w:tr>
      <w:tr w:rsidR="00805F45" w:rsidRPr="00357D85" w14:paraId="5EDDF50A" w14:textId="77777777" w:rsidTr="000A4171">
        <w:trPr>
          <w:trHeight w:val="360"/>
        </w:trPr>
        <w:tc>
          <w:tcPr>
            <w:tcW w:w="2748" w:type="pct"/>
          </w:tcPr>
          <w:p w14:paraId="26AE575B" w14:textId="77777777" w:rsidR="00805F45" w:rsidRDefault="00805F45" w:rsidP="000A4171">
            <w:pPr>
              <w:pStyle w:val="Tabletext"/>
            </w:pPr>
            <w:r>
              <w:t>Drainage structures</w:t>
            </w:r>
          </w:p>
        </w:tc>
        <w:tc>
          <w:tcPr>
            <w:tcW w:w="2252" w:type="pct"/>
          </w:tcPr>
          <w:p w14:paraId="095A0E29" w14:textId="77777777" w:rsidR="00805F45" w:rsidRDefault="009D2A58" w:rsidP="000A4171">
            <w:pPr>
              <w:pStyle w:val="Tabletext"/>
            </w:pPr>
            <w:r>
              <w:t xml:space="preserve">30 </w:t>
            </w:r>
            <w:r w:rsidR="00805F45">
              <w:t>-</w:t>
            </w:r>
            <w:r>
              <w:t xml:space="preserve"> 40</w:t>
            </w:r>
            <w:r w:rsidR="00805F45">
              <w:t>%</w:t>
            </w:r>
          </w:p>
        </w:tc>
      </w:tr>
      <w:tr w:rsidR="00805F45" w:rsidRPr="00357D85" w14:paraId="2491FD81" w14:textId="77777777" w:rsidTr="000A4171">
        <w:trPr>
          <w:trHeight w:val="360"/>
        </w:trPr>
        <w:tc>
          <w:tcPr>
            <w:tcW w:w="2748" w:type="pct"/>
          </w:tcPr>
          <w:p w14:paraId="040E58AD" w14:textId="77777777" w:rsidR="00805F45" w:rsidRDefault="00805F45" w:rsidP="000A4171">
            <w:pPr>
              <w:pStyle w:val="Tabletext"/>
            </w:pPr>
            <w:r>
              <w:t>Other</w:t>
            </w:r>
          </w:p>
        </w:tc>
        <w:tc>
          <w:tcPr>
            <w:tcW w:w="2252" w:type="pct"/>
          </w:tcPr>
          <w:p w14:paraId="356CA8BC" w14:textId="77777777" w:rsidR="00805F45" w:rsidRDefault="009D2A58" w:rsidP="000A4171">
            <w:pPr>
              <w:pStyle w:val="Tabletext"/>
            </w:pPr>
            <w:r>
              <w:t>40</w:t>
            </w:r>
            <w:r w:rsidR="00805F45">
              <w:t>%</w:t>
            </w:r>
          </w:p>
        </w:tc>
      </w:tr>
      <w:tr w:rsidR="00805F45" w:rsidRPr="00357D85" w14:paraId="16BE4D46" w14:textId="77777777" w:rsidTr="000A4171">
        <w:trPr>
          <w:cnfStyle w:val="010000000000" w:firstRow="0" w:lastRow="1" w:firstColumn="0" w:lastColumn="0" w:oddVBand="0" w:evenVBand="0" w:oddHBand="0" w:evenHBand="0" w:firstRowFirstColumn="0" w:firstRowLastColumn="0" w:lastRowFirstColumn="0" w:lastRowLastColumn="0"/>
          <w:trHeight w:val="360"/>
        </w:trPr>
        <w:tc>
          <w:tcPr>
            <w:tcW w:w="2748" w:type="pct"/>
          </w:tcPr>
          <w:p w14:paraId="0FB7031A" w14:textId="77777777" w:rsidR="00805F45" w:rsidRDefault="00805F45" w:rsidP="000A4171">
            <w:pPr>
              <w:pStyle w:val="Tabletext"/>
            </w:pPr>
            <w:r>
              <w:t>Total</w:t>
            </w:r>
          </w:p>
        </w:tc>
        <w:tc>
          <w:tcPr>
            <w:tcW w:w="2252" w:type="pct"/>
          </w:tcPr>
          <w:p w14:paraId="7AFEA9A0" w14:textId="77777777" w:rsidR="00805F45" w:rsidRDefault="009D2A58" w:rsidP="000A4171">
            <w:pPr>
              <w:pStyle w:val="Tabletext"/>
            </w:pPr>
            <w:r>
              <w:t xml:space="preserve">24 </w:t>
            </w:r>
            <w:r w:rsidR="00805F45">
              <w:t>-</w:t>
            </w:r>
            <w:r>
              <w:t xml:space="preserve"> 40</w:t>
            </w:r>
            <w:r w:rsidR="00805F45">
              <w:t>%</w:t>
            </w:r>
          </w:p>
        </w:tc>
      </w:tr>
    </w:tbl>
    <w:p w14:paraId="1DA72A82" w14:textId="77777777" w:rsidR="00805F45" w:rsidRDefault="00805F45" w:rsidP="00AF7BDB">
      <w:pPr>
        <w:pStyle w:val="NormalIndent"/>
        <w:ind w:left="0"/>
      </w:pPr>
    </w:p>
    <w:p w14:paraId="311679EB" w14:textId="77777777" w:rsidR="002F6B9B" w:rsidRDefault="002F6B9B" w:rsidP="009B365A">
      <w:pPr>
        <w:pStyle w:val="NormalIndent"/>
        <w:ind w:left="0"/>
      </w:pPr>
      <w:r>
        <w:lastRenderedPageBreak/>
        <w:t xml:space="preserve">Should a </w:t>
      </w:r>
      <w:r w:rsidR="00AB1E81">
        <w:t>m</w:t>
      </w:r>
      <w:r w:rsidRPr="002F6B9B">
        <w:t xml:space="preserve">arket </w:t>
      </w:r>
      <w:r w:rsidR="00AB1E81">
        <w:t>r</w:t>
      </w:r>
      <w:r w:rsidRPr="002F6B9B">
        <w:t>esponse</w:t>
      </w:r>
      <w:r>
        <w:t xml:space="preserve"> be </w:t>
      </w:r>
      <w:r w:rsidR="0028073E">
        <w:t xml:space="preserve">used </w:t>
      </w:r>
      <w:r>
        <w:t xml:space="preserve">to </w:t>
      </w:r>
      <w:r w:rsidR="000A4171">
        <w:t>establish the estimated reconstruction cost</w:t>
      </w:r>
      <w:r>
        <w:t xml:space="preserve">, a lower contingency should be considered. Prior to seeking a </w:t>
      </w:r>
      <w:r w:rsidR="00AB1E81">
        <w:t>m</w:t>
      </w:r>
      <w:r w:rsidRPr="002F6B9B">
        <w:t xml:space="preserve">arket </w:t>
      </w:r>
      <w:r w:rsidR="00AB1E81">
        <w:t>r</w:t>
      </w:r>
      <w:r w:rsidRPr="002F6B9B">
        <w:t>esponse</w:t>
      </w:r>
      <w:r>
        <w:t xml:space="preserve">, investigations should have been carried out, and </w:t>
      </w:r>
      <w:r w:rsidR="00D96F4F">
        <w:t xml:space="preserve">the </w:t>
      </w:r>
      <w:r>
        <w:t xml:space="preserve">design developed sufficiently to enable pricing by the market. As a result, reductions (or removal) of allowances for </w:t>
      </w:r>
      <w:r w:rsidRPr="002F6B9B">
        <w:t>project scope</w:t>
      </w:r>
      <w:r>
        <w:t xml:space="preserve">, </w:t>
      </w:r>
      <w:r w:rsidRPr="002F6B9B">
        <w:t>key dates</w:t>
      </w:r>
      <w:r>
        <w:t xml:space="preserve"> and </w:t>
      </w:r>
      <w:r w:rsidRPr="002F6B9B">
        <w:t>site-specific</w:t>
      </w:r>
      <w:r>
        <w:t xml:space="preserve"> risks should be considered. Consequently, </w:t>
      </w:r>
      <w:r w:rsidR="00294B2C">
        <w:t xml:space="preserve">typical </w:t>
      </w:r>
      <w:r>
        <w:t>contingency range</w:t>
      </w:r>
      <w:r w:rsidR="00294B2C">
        <w:t>s</w:t>
      </w:r>
      <w:r w:rsidR="00405833">
        <w:t>, as outlined below</w:t>
      </w:r>
      <w:r>
        <w:t xml:space="preserve"> </w:t>
      </w:r>
      <w:r w:rsidR="0076473E">
        <w:t>for the different treatment categories</w:t>
      </w:r>
      <w:r>
        <w:t xml:space="preserve"> may be more suitable</w:t>
      </w:r>
      <w:r w:rsidR="00805F45">
        <w:t xml:space="preserve"> </w:t>
      </w:r>
      <w:r>
        <w:t>(</w:t>
      </w:r>
      <w:proofErr w:type="gramStart"/>
      <w:r>
        <w:t>with the exception of</w:t>
      </w:r>
      <w:proofErr w:type="gramEnd"/>
      <w:r>
        <w:t xml:space="preserve"> complex geotechnical or marine projects).</w:t>
      </w:r>
      <w:r w:rsidR="001133E7">
        <w:t xml:space="preserve"> Note that typical contingency by treatment categories at market response/tender stage should be 50% of the ranges at the estimate stage.</w:t>
      </w:r>
    </w:p>
    <w:p w14:paraId="46500B28" w14:textId="77777777" w:rsidR="00214176" w:rsidRDefault="00214176" w:rsidP="000A288F">
      <w:pPr>
        <w:pStyle w:val="NormalIndent"/>
      </w:pPr>
    </w:p>
    <w:tbl>
      <w:tblPr>
        <w:tblStyle w:val="DTFtexttable"/>
        <w:tblW w:w="3690" w:type="pct"/>
        <w:tblInd w:w="851" w:type="dxa"/>
        <w:tblLayout w:type="fixed"/>
        <w:tblLook w:val="0660" w:firstRow="1" w:lastRow="1" w:firstColumn="0" w:lastColumn="0" w:noHBand="1" w:noVBand="1"/>
      </w:tblPr>
      <w:tblGrid>
        <w:gridCol w:w="3661"/>
        <w:gridCol w:w="3000"/>
      </w:tblGrid>
      <w:tr w:rsidR="00214176" w:rsidRPr="00357D85" w14:paraId="6160A123" w14:textId="77777777" w:rsidTr="00AF7BDB">
        <w:trPr>
          <w:cnfStyle w:val="100000000000" w:firstRow="1" w:lastRow="0" w:firstColumn="0" w:lastColumn="0" w:oddVBand="0" w:evenVBand="0" w:oddHBand="0" w:evenHBand="0" w:firstRowFirstColumn="0" w:firstRowLastColumn="0" w:lastRowFirstColumn="0" w:lastRowLastColumn="0"/>
          <w:trHeight w:val="375"/>
        </w:trPr>
        <w:tc>
          <w:tcPr>
            <w:tcW w:w="2748" w:type="pct"/>
            <w:vAlign w:val="center"/>
          </w:tcPr>
          <w:p w14:paraId="07C8CEC2" w14:textId="77777777" w:rsidR="00214176" w:rsidRPr="00357D85" w:rsidRDefault="00214176" w:rsidP="000A4171">
            <w:pPr>
              <w:pStyle w:val="Tableheader"/>
            </w:pPr>
            <w:r>
              <w:t>Treatment category</w:t>
            </w:r>
          </w:p>
        </w:tc>
        <w:tc>
          <w:tcPr>
            <w:tcW w:w="2252" w:type="pct"/>
            <w:vAlign w:val="center"/>
          </w:tcPr>
          <w:p w14:paraId="3DB0980E" w14:textId="77777777" w:rsidR="007A5F92" w:rsidRDefault="00214176" w:rsidP="000A4171">
            <w:pPr>
              <w:pStyle w:val="Tableheader"/>
              <w:rPr>
                <w:b w:val="0"/>
              </w:rPr>
            </w:pPr>
            <w:r>
              <w:t xml:space="preserve">Typical contingency ranges </w:t>
            </w:r>
          </w:p>
          <w:p w14:paraId="3AC6380A" w14:textId="77777777" w:rsidR="00214176" w:rsidRPr="00357D85" w:rsidRDefault="00214176" w:rsidP="000A4171">
            <w:pPr>
              <w:pStyle w:val="Tableheader"/>
            </w:pPr>
            <w:r>
              <w:t>(Market Response)</w:t>
            </w:r>
          </w:p>
        </w:tc>
      </w:tr>
      <w:tr w:rsidR="00214176" w:rsidRPr="00357D85" w14:paraId="6B75EEC2" w14:textId="77777777" w:rsidTr="00AF7BDB">
        <w:trPr>
          <w:trHeight w:val="360"/>
        </w:trPr>
        <w:tc>
          <w:tcPr>
            <w:tcW w:w="2748" w:type="pct"/>
          </w:tcPr>
          <w:p w14:paraId="53129CD2" w14:textId="77777777" w:rsidR="00214176" w:rsidRPr="00357D85" w:rsidRDefault="00214176" w:rsidP="000A4171">
            <w:pPr>
              <w:pStyle w:val="Tabletext"/>
            </w:pPr>
            <w:r>
              <w:t>Unsealed pavements</w:t>
            </w:r>
          </w:p>
        </w:tc>
        <w:tc>
          <w:tcPr>
            <w:tcW w:w="2252" w:type="pct"/>
          </w:tcPr>
          <w:p w14:paraId="0C170DB7" w14:textId="77777777" w:rsidR="00214176" w:rsidRPr="00357D85" w:rsidRDefault="007A5F92" w:rsidP="000A4171">
            <w:pPr>
              <w:pStyle w:val="Tabletext"/>
            </w:pPr>
            <w:r>
              <w:t>12</w:t>
            </w:r>
            <w:r w:rsidR="0027779F">
              <w:t xml:space="preserve"> </w:t>
            </w:r>
            <w:r>
              <w:t>-</w:t>
            </w:r>
            <w:r w:rsidR="0027779F">
              <w:t xml:space="preserve"> </w:t>
            </w:r>
            <w:r>
              <w:t>15</w:t>
            </w:r>
            <w:r w:rsidR="00214176">
              <w:t>%</w:t>
            </w:r>
          </w:p>
        </w:tc>
      </w:tr>
      <w:tr w:rsidR="00214176" w:rsidRPr="00357D85" w14:paraId="0EAAEB44" w14:textId="77777777" w:rsidTr="00AF7BDB">
        <w:trPr>
          <w:trHeight w:val="360"/>
        </w:trPr>
        <w:tc>
          <w:tcPr>
            <w:tcW w:w="2748" w:type="pct"/>
          </w:tcPr>
          <w:p w14:paraId="26557B0B" w14:textId="77777777" w:rsidR="00214176" w:rsidRDefault="00214176" w:rsidP="000A4171">
            <w:pPr>
              <w:pStyle w:val="Tabletext"/>
            </w:pPr>
            <w:r>
              <w:t>Sealed pavement repairs</w:t>
            </w:r>
          </w:p>
        </w:tc>
        <w:tc>
          <w:tcPr>
            <w:tcW w:w="2252" w:type="pct"/>
          </w:tcPr>
          <w:p w14:paraId="385E247F" w14:textId="77777777" w:rsidR="00214176" w:rsidRDefault="007A5F92" w:rsidP="000A4171">
            <w:pPr>
              <w:pStyle w:val="Tabletext"/>
            </w:pPr>
            <w:r>
              <w:t>12</w:t>
            </w:r>
            <w:r w:rsidR="0027779F">
              <w:t xml:space="preserve"> </w:t>
            </w:r>
            <w:r>
              <w:t>-</w:t>
            </w:r>
            <w:r w:rsidR="0027779F">
              <w:t xml:space="preserve"> </w:t>
            </w:r>
            <w:r>
              <w:t>15</w:t>
            </w:r>
            <w:r w:rsidR="00214176">
              <w:t>%</w:t>
            </w:r>
          </w:p>
        </w:tc>
      </w:tr>
      <w:tr w:rsidR="00214176" w:rsidRPr="00357D85" w14:paraId="4D1C8C7D" w14:textId="77777777" w:rsidTr="00AF7BDB">
        <w:trPr>
          <w:trHeight w:val="360"/>
        </w:trPr>
        <w:tc>
          <w:tcPr>
            <w:tcW w:w="2748" w:type="pct"/>
          </w:tcPr>
          <w:p w14:paraId="4E103BFC" w14:textId="77777777" w:rsidR="00214176" w:rsidRDefault="00214176" w:rsidP="000A4171">
            <w:pPr>
              <w:pStyle w:val="Tabletext"/>
            </w:pPr>
            <w:r>
              <w:t>Clearing and earthworks</w:t>
            </w:r>
          </w:p>
        </w:tc>
        <w:tc>
          <w:tcPr>
            <w:tcW w:w="2252" w:type="pct"/>
          </w:tcPr>
          <w:p w14:paraId="5FDA19CC" w14:textId="77777777" w:rsidR="00214176" w:rsidRDefault="007A5F92" w:rsidP="000A4171">
            <w:pPr>
              <w:pStyle w:val="Tabletext"/>
            </w:pPr>
            <w:r>
              <w:t>14</w:t>
            </w:r>
            <w:r w:rsidR="0027779F">
              <w:t xml:space="preserve"> </w:t>
            </w:r>
            <w:r>
              <w:t>-</w:t>
            </w:r>
            <w:r w:rsidR="0027779F">
              <w:t xml:space="preserve"> </w:t>
            </w:r>
            <w:r>
              <w:t>17</w:t>
            </w:r>
            <w:r w:rsidR="00214176">
              <w:t>%</w:t>
            </w:r>
          </w:p>
        </w:tc>
      </w:tr>
      <w:tr w:rsidR="00214176" w:rsidRPr="00357D85" w14:paraId="44AAD793" w14:textId="77777777" w:rsidTr="00AF7BDB">
        <w:trPr>
          <w:trHeight w:val="360"/>
        </w:trPr>
        <w:tc>
          <w:tcPr>
            <w:tcW w:w="2748" w:type="pct"/>
          </w:tcPr>
          <w:p w14:paraId="5B466808" w14:textId="77777777" w:rsidR="00214176" w:rsidRDefault="00214176" w:rsidP="000A4171">
            <w:pPr>
              <w:pStyle w:val="Tabletext"/>
            </w:pPr>
            <w:r>
              <w:t>Road furniture and delineation</w:t>
            </w:r>
          </w:p>
        </w:tc>
        <w:tc>
          <w:tcPr>
            <w:tcW w:w="2252" w:type="pct"/>
          </w:tcPr>
          <w:p w14:paraId="3711E5D4" w14:textId="77777777" w:rsidR="00214176" w:rsidRDefault="007A5F92" w:rsidP="000A4171">
            <w:pPr>
              <w:pStyle w:val="Tabletext"/>
            </w:pPr>
            <w:r>
              <w:t>12</w:t>
            </w:r>
            <w:r w:rsidR="0027779F">
              <w:t xml:space="preserve"> </w:t>
            </w:r>
            <w:r>
              <w:t>-</w:t>
            </w:r>
            <w:r w:rsidR="0027779F">
              <w:t xml:space="preserve"> </w:t>
            </w:r>
            <w:r>
              <w:t>17</w:t>
            </w:r>
            <w:r w:rsidR="00214176">
              <w:t>%</w:t>
            </w:r>
          </w:p>
        </w:tc>
      </w:tr>
      <w:tr w:rsidR="00214176" w:rsidRPr="00357D85" w14:paraId="091BA7C4" w14:textId="77777777" w:rsidTr="00AF7BDB">
        <w:trPr>
          <w:trHeight w:val="360"/>
        </w:trPr>
        <w:tc>
          <w:tcPr>
            <w:tcW w:w="2748" w:type="pct"/>
          </w:tcPr>
          <w:p w14:paraId="691CE8E8" w14:textId="77777777" w:rsidR="00214176" w:rsidRDefault="00214176" w:rsidP="000A4171">
            <w:pPr>
              <w:pStyle w:val="Tabletext"/>
            </w:pPr>
            <w:r>
              <w:t>Concrete</w:t>
            </w:r>
          </w:p>
        </w:tc>
        <w:tc>
          <w:tcPr>
            <w:tcW w:w="2252" w:type="pct"/>
          </w:tcPr>
          <w:p w14:paraId="15200990" w14:textId="77777777" w:rsidR="00214176" w:rsidRDefault="007A5F92" w:rsidP="000A4171">
            <w:pPr>
              <w:pStyle w:val="Tabletext"/>
            </w:pPr>
            <w:r>
              <w:t>15</w:t>
            </w:r>
            <w:r w:rsidR="0027779F">
              <w:t xml:space="preserve"> </w:t>
            </w:r>
            <w:r>
              <w:t>-</w:t>
            </w:r>
            <w:r w:rsidR="0027779F">
              <w:t xml:space="preserve"> </w:t>
            </w:r>
            <w:r>
              <w:t>20</w:t>
            </w:r>
            <w:r w:rsidR="00214176">
              <w:t>%</w:t>
            </w:r>
          </w:p>
        </w:tc>
      </w:tr>
      <w:tr w:rsidR="00214176" w:rsidRPr="00357D85" w14:paraId="2F83948B" w14:textId="77777777" w:rsidTr="00AF7BDB">
        <w:trPr>
          <w:trHeight w:val="360"/>
        </w:trPr>
        <w:tc>
          <w:tcPr>
            <w:tcW w:w="2748" w:type="pct"/>
          </w:tcPr>
          <w:p w14:paraId="04FFC480" w14:textId="77777777" w:rsidR="00214176" w:rsidRDefault="00214176" w:rsidP="000A4171">
            <w:pPr>
              <w:pStyle w:val="Tabletext"/>
            </w:pPr>
            <w:r>
              <w:t>Drainage structures</w:t>
            </w:r>
          </w:p>
        </w:tc>
        <w:tc>
          <w:tcPr>
            <w:tcW w:w="2252" w:type="pct"/>
          </w:tcPr>
          <w:p w14:paraId="6322221D" w14:textId="77777777" w:rsidR="00214176" w:rsidRDefault="007A5F92" w:rsidP="000A4171">
            <w:pPr>
              <w:pStyle w:val="Tabletext"/>
            </w:pPr>
            <w:r>
              <w:t>15</w:t>
            </w:r>
            <w:r w:rsidR="0027779F">
              <w:t xml:space="preserve"> </w:t>
            </w:r>
            <w:r>
              <w:t>-</w:t>
            </w:r>
            <w:r w:rsidR="0027779F">
              <w:t xml:space="preserve"> </w:t>
            </w:r>
            <w:r>
              <w:t>20</w:t>
            </w:r>
            <w:r w:rsidR="00214176">
              <w:t>%</w:t>
            </w:r>
          </w:p>
        </w:tc>
      </w:tr>
      <w:tr w:rsidR="00214176" w:rsidRPr="00357D85" w14:paraId="24081F94" w14:textId="77777777" w:rsidTr="00AF7BDB">
        <w:trPr>
          <w:trHeight w:val="360"/>
        </w:trPr>
        <w:tc>
          <w:tcPr>
            <w:tcW w:w="2748" w:type="pct"/>
          </w:tcPr>
          <w:p w14:paraId="65E66273" w14:textId="77777777" w:rsidR="00214176" w:rsidRDefault="00214176" w:rsidP="000A4171">
            <w:pPr>
              <w:pStyle w:val="Tabletext"/>
            </w:pPr>
            <w:r>
              <w:t>Other</w:t>
            </w:r>
          </w:p>
        </w:tc>
        <w:tc>
          <w:tcPr>
            <w:tcW w:w="2252" w:type="pct"/>
          </w:tcPr>
          <w:p w14:paraId="525BBA55" w14:textId="77777777" w:rsidR="00214176" w:rsidRDefault="007A5F92" w:rsidP="000A4171">
            <w:pPr>
              <w:pStyle w:val="Tabletext"/>
            </w:pPr>
            <w:r>
              <w:t>20</w:t>
            </w:r>
            <w:r w:rsidR="00214176">
              <w:t>%</w:t>
            </w:r>
          </w:p>
        </w:tc>
      </w:tr>
      <w:tr w:rsidR="00214176" w:rsidRPr="00357D85" w14:paraId="076F8E76" w14:textId="77777777" w:rsidTr="00AF7BDB">
        <w:trPr>
          <w:cnfStyle w:val="010000000000" w:firstRow="0" w:lastRow="1" w:firstColumn="0" w:lastColumn="0" w:oddVBand="0" w:evenVBand="0" w:oddHBand="0" w:evenHBand="0" w:firstRowFirstColumn="0" w:firstRowLastColumn="0" w:lastRowFirstColumn="0" w:lastRowLastColumn="0"/>
          <w:trHeight w:val="360"/>
        </w:trPr>
        <w:tc>
          <w:tcPr>
            <w:tcW w:w="2748" w:type="pct"/>
          </w:tcPr>
          <w:p w14:paraId="66B03C4B" w14:textId="77777777" w:rsidR="00214176" w:rsidRDefault="00214176" w:rsidP="000A4171">
            <w:pPr>
              <w:pStyle w:val="Tabletext"/>
            </w:pPr>
            <w:r>
              <w:t>Total</w:t>
            </w:r>
          </w:p>
        </w:tc>
        <w:tc>
          <w:tcPr>
            <w:tcW w:w="2252" w:type="pct"/>
          </w:tcPr>
          <w:p w14:paraId="1205E6AF" w14:textId="77777777" w:rsidR="00214176" w:rsidRDefault="007A5F92" w:rsidP="000A4171">
            <w:pPr>
              <w:pStyle w:val="Tabletext"/>
            </w:pPr>
            <w:r>
              <w:t>12</w:t>
            </w:r>
            <w:r w:rsidR="0027779F">
              <w:t xml:space="preserve"> </w:t>
            </w:r>
            <w:r>
              <w:t>-</w:t>
            </w:r>
            <w:r w:rsidR="0027779F">
              <w:t xml:space="preserve"> </w:t>
            </w:r>
            <w:r>
              <w:t>20</w:t>
            </w:r>
            <w:r w:rsidR="00214176">
              <w:t>%</w:t>
            </w:r>
          </w:p>
        </w:tc>
      </w:tr>
    </w:tbl>
    <w:p w14:paraId="5DB8F1E6" w14:textId="77777777" w:rsidR="005D5590" w:rsidRDefault="005D5590" w:rsidP="009B365A">
      <w:pPr>
        <w:pStyle w:val="NormalIndent"/>
        <w:ind w:left="0"/>
      </w:pPr>
      <w:r w:rsidRPr="00AF7BDB">
        <w:t xml:space="preserve">It is recommended that all scope items, </w:t>
      </w:r>
      <w:r w:rsidR="00D96F4F">
        <w:t>whether priced by</w:t>
      </w:r>
      <w:r w:rsidRPr="00AF7BDB">
        <w:t xml:space="preserve"> </w:t>
      </w:r>
      <w:r>
        <w:t xml:space="preserve">first principles </w:t>
      </w:r>
      <w:r w:rsidRPr="00AF7BDB">
        <w:t xml:space="preserve">estimate </w:t>
      </w:r>
      <w:r w:rsidR="00D96F4F">
        <w:t>or</w:t>
      </w:r>
      <w:r w:rsidRPr="00AF7BDB">
        <w:t xml:space="preserve"> market response (Tender)</w:t>
      </w:r>
      <w:r w:rsidR="00D96F4F">
        <w:t>,</w:t>
      </w:r>
      <w:r w:rsidRPr="00AF7BDB">
        <w:t xml:space="preserve"> are categorised by the above treatment categories. With this structure in place the </w:t>
      </w:r>
      <w:r w:rsidR="00B95AAE">
        <w:t xml:space="preserve">typical </w:t>
      </w:r>
      <w:r w:rsidRPr="00AF7BDB">
        <w:t>contingency range</w:t>
      </w:r>
      <w:r w:rsidR="00C63C59">
        <w:t>s</w:t>
      </w:r>
      <w:r w:rsidRPr="00AF7BDB">
        <w:t xml:space="preserve"> can </w:t>
      </w:r>
      <w:proofErr w:type="gramStart"/>
      <w:r w:rsidRPr="00AF7BDB">
        <w:t>be</w:t>
      </w:r>
      <w:r w:rsidR="003E0D96">
        <w:t xml:space="preserve"> considered to be</w:t>
      </w:r>
      <w:proofErr w:type="gramEnd"/>
      <w:r w:rsidR="003E0D96">
        <w:t xml:space="preserve"> </w:t>
      </w:r>
      <w:r w:rsidRPr="00AF7BDB">
        <w:t>adopted.</w:t>
      </w:r>
    </w:p>
    <w:p w14:paraId="1B24E4C4" w14:textId="77777777" w:rsidR="009B365A" w:rsidRDefault="002A4AA9" w:rsidP="009B365A">
      <w:pPr>
        <w:pStyle w:val="NormalIndent"/>
        <w:ind w:left="0"/>
      </w:pPr>
      <w:r w:rsidRPr="00AF7BDB">
        <w:t>A co</w:t>
      </w:r>
      <w:r>
        <w:t xml:space="preserve">ntingency </w:t>
      </w:r>
      <w:r w:rsidRPr="00AF7BDB">
        <w:t xml:space="preserve">calculation tool </w:t>
      </w:r>
      <w:r w:rsidRPr="00674C26">
        <w:t>(VT-C</w:t>
      </w:r>
      <w:r>
        <w:t>ont</w:t>
      </w:r>
      <w:r w:rsidRPr="00674C26">
        <w:t xml:space="preserve">) </w:t>
      </w:r>
      <w:r w:rsidRPr="00AF7BDB">
        <w:t>has been prepared for application to reconstruction works which have been based on an estimate</w:t>
      </w:r>
      <w:r w:rsidRPr="00674C26">
        <w:t xml:space="preserve"> using the first principles approach. </w:t>
      </w:r>
      <w:r>
        <w:t>Delivery Agencies should refer to the standard deterministic risk matrix and Contingency Calculation tool tab (refer to Contingency Calc (VT-Cont) as part of the V</w:t>
      </w:r>
      <w:r w:rsidR="009B365A">
        <w:t> </w:t>
      </w:r>
      <w:r>
        <w:t xml:space="preserve">Form C-RW to </w:t>
      </w:r>
      <w:r w:rsidRPr="00674C26">
        <w:t>determine the co</w:t>
      </w:r>
      <w:r>
        <w:t xml:space="preserve">ntingency </w:t>
      </w:r>
      <w:r w:rsidRPr="00674C26">
        <w:t xml:space="preserve">percentage. </w:t>
      </w:r>
    </w:p>
    <w:p w14:paraId="7168EF5E" w14:textId="77777777" w:rsidR="002A4AA9" w:rsidRPr="009B365A" w:rsidRDefault="002A4AA9" w:rsidP="009B365A">
      <w:pPr>
        <w:pStyle w:val="NormalIndent"/>
        <w:ind w:left="0"/>
      </w:pPr>
      <w:r>
        <w:t xml:space="preserve">The contingency calculation tool can be found at the following link: </w:t>
      </w:r>
      <w:r w:rsidR="00715952" w:rsidRPr="009B365A">
        <w:t>https://www.emv.vic.</w:t>
      </w:r>
      <w:hyperlink r:id="rId25" w:history="1">
        <w:r w:rsidR="00715952" w:rsidRPr="009B365A">
          <w:t>gov</w:t>
        </w:r>
      </w:hyperlink>
      <w:r w:rsidR="00715952" w:rsidRPr="009B365A">
        <w:t>.au/how-we-help/disaster-recovery-funding-arrangements-drfa/disaster-recovery-funding-arrangements-drfa</w:t>
      </w:r>
      <w:r w:rsidRPr="009B365A">
        <w:t xml:space="preserve">.  </w:t>
      </w:r>
    </w:p>
    <w:p w14:paraId="61B3E3E1" w14:textId="77777777" w:rsidR="002F6B9B" w:rsidRPr="00EE796F" w:rsidRDefault="003F394A" w:rsidP="00A91244">
      <w:pPr>
        <w:pStyle w:val="Heading2numbered"/>
      </w:pPr>
      <w:bookmarkStart w:id="53" w:name="_Toc63154951"/>
      <w:bookmarkStart w:id="54" w:name="_Toc63161966"/>
      <w:bookmarkStart w:id="55" w:name="_Toc69369225"/>
      <w:bookmarkStart w:id="56" w:name="_Toc69369621"/>
      <w:bookmarkStart w:id="57" w:name="_Toc69369754"/>
      <w:bookmarkStart w:id="58" w:name="_Toc170127183"/>
      <w:bookmarkEnd w:id="53"/>
      <w:bookmarkEnd w:id="54"/>
      <w:bookmarkEnd w:id="55"/>
      <w:bookmarkEnd w:id="56"/>
      <w:bookmarkEnd w:id="57"/>
      <w:r>
        <w:t xml:space="preserve">Probabilistic </w:t>
      </w:r>
      <w:r w:rsidR="006A46C4">
        <w:t>a</w:t>
      </w:r>
      <w:r>
        <w:t xml:space="preserve">pproach – </w:t>
      </w:r>
      <w:r w:rsidR="006A46C4">
        <w:t>h</w:t>
      </w:r>
      <w:r>
        <w:t xml:space="preserve">igh </w:t>
      </w:r>
      <w:r w:rsidR="006A46C4">
        <w:t>v</w:t>
      </w:r>
      <w:r w:rsidR="002F6B9B" w:rsidRPr="00EE796F">
        <w:t>alue</w:t>
      </w:r>
      <w:r w:rsidR="00AB1E81" w:rsidRPr="00EE796F">
        <w:t xml:space="preserve"> and </w:t>
      </w:r>
      <w:r w:rsidR="006A46C4">
        <w:t>c</w:t>
      </w:r>
      <w:r w:rsidR="002F6B9B" w:rsidRPr="00EE796F">
        <w:t xml:space="preserve">omplex </w:t>
      </w:r>
      <w:r w:rsidR="006A46C4">
        <w:t>p</w:t>
      </w:r>
      <w:r w:rsidR="002F6B9B" w:rsidRPr="00EE796F">
        <w:t>rojects</w:t>
      </w:r>
      <w:bookmarkEnd w:id="58"/>
    </w:p>
    <w:p w14:paraId="4D3A1CF5" w14:textId="77777777" w:rsidR="003037F1" w:rsidRDefault="00771773" w:rsidP="009B365A">
      <w:pPr>
        <w:pStyle w:val="NormalIndent"/>
        <w:ind w:left="0"/>
      </w:pPr>
      <w:r>
        <w:t xml:space="preserve">The </w:t>
      </w:r>
      <w:r w:rsidR="003037F1" w:rsidRPr="00237D87">
        <w:t>DRFA also allows</w:t>
      </w:r>
      <w:r w:rsidR="003037F1">
        <w:t xml:space="preserve">: </w:t>
      </w:r>
    </w:p>
    <w:p w14:paraId="4975C443" w14:textId="77777777" w:rsidR="003037F1" w:rsidRPr="003037F1" w:rsidRDefault="00E4115D" w:rsidP="009B365A">
      <w:pPr>
        <w:pStyle w:val="Quote"/>
        <w:ind w:left="567"/>
      </w:pPr>
      <w:r>
        <w:t>‘</w:t>
      </w:r>
      <w:proofErr w:type="gramStart"/>
      <w:r w:rsidR="003037F1" w:rsidRPr="009B365A">
        <w:rPr>
          <w:color w:val="auto"/>
        </w:rPr>
        <w:t>sophisticated</w:t>
      </w:r>
      <w:proofErr w:type="gramEnd"/>
      <w:r w:rsidR="003037F1" w:rsidRPr="009B365A">
        <w:rPr>
          <w:color w:val="auto"/>
        </w:rPr>
        <w:t xml:space="preserve"> approaches to estimating contingency may also be appropriate for complex/high dollar value reconstruction </w:t>
      </w:r>
      <w:r w:rsidR="00E20B07" w:rsidRPr="009B365A">
        <w:rPr>
          <w:color w:val="auto"/>
        </w:rPr>
        <w:t>projects‘ (</w:t>
      </w:r>
      <w:r w:rsidR="00AB1E81" w:rsidRPr="009B365A">
        <w:rPr>
          <w:color w:val="auto"/>
        </w:rPr>
        <w:t>DRFA 2018, Section 6.5.2)</w:t>
      </w:r>
    </w:p>
    <w:p w14:paraId="45F70F56" w14:textId="77777777" w:rsidR="003037F1" w:rsidRDefault="003037F1" w:rsidP="009B365A">
      <w:pPr>
        <w:pStyle w:val="NormalIndent"/>
        <w:ind w:left="0"/>
      </w:pPr>
      <w:r w:rsidRPr="00237D87">
        <w:t xml:space="preserve">The use of </w:t>
      </w:r>
      <w:r w:rsidR="00771773">
        <w:t xml:space="preserve">a </w:t>
      </w:r>
      <w:r w:rsidRPr="00237D87">
        <w:t>probabilistic (rather than deterministic) calculation of contingency</w:t>
      </w:r>
      <w:r>
        <w:t xml:space="preserve"> and the review of its calculation</w:t>
      </w:r>
      <w:r w:rsidRPr="00237D87">
        <w:t xml:space="preserve"> involves considerably more effort and should be applied to very large projects only</w:t>
      </w:r>
      <w:r>
        <w:t>.</w:t>
      </w:r>
    </w:p>
    <w:p w14:paraId="32143DA5" w14:textId="5F725497" w:rsidR="001F32A0" w:rsidRDefault="003D05CB" w:rsidP="009B365A">
      <w:pPr>
        <w:pStyle w:val="NormalIndent"/>
        <w:ind w:left="567"/>
      </w:pPr>
      <w:r>
        <w:lastRenderedPageBreak/>
        <w:t xml:space="preserve">In accordance with </w:t>
      </w:r>
      <w:r w:rsidR="00AF79AB">
        <w:t>Australian</w:t>
      </w:r>
      <w:r w:rsidR="00B9703B">
        <w:t xml:space="preserve"> Government Investment Framework</w:t>
      </w:r>
      <w:r w:rsidR="0087000A">
        <w:t xml:space="preserve"> (</w:t>
      </w:r>
      <w:hyperlink r:id="rId26" w:history="1">
        <w:r w:rsidR="0087000A" w:rsidRPr="009B365A">
          <w:rPr>
            <w:rStyle w:val="Hyperlink"/>
            <w:color w:val="auto"/>
          </w:rPr>
          <w:t>https://www.finance.gov.au/government/commonwealth-investment-framework/commonwealth-investments-toolkit/cost-estimation</w:t>
        </w:r>
      </w:hyperlink>
      <w:r w:rsidR="0087000A">
        <w:t>)</w:t>
      </w:r>
      <w:r w:rsidR="00B9703B">
        <w:t>, t</w:t>
      </w:r>
      <w:r w:rsidR="00454955">
        <w:t>he</w:t>
      </w:r>
      <w:r w:rsidR="001F32A0" w:rsidRPr="00A10348">
        <w:t xml:space="preserve"> probabilistic </w:t>
      </w:r>
      <w:r w:rsidR="00454955">
        <w:t>calculation</w:t>
      </w:r>
      <w:r w:rsidR="001F32A0" w:rsidRPr="00A10348">
        <w:rPr>
          <w:color w:val="3B3B3B"/>
          <w:shd w:val="clear" w:color="auto" w:fill="FFFFFF"/>
        </w:rPr>
        <w:t xml:space="preserve"> </w:t>
      </w:r>
      <w:r w:rsidR="00AF79AB">
        <w:t>s</w:t>
      </w:r>
      <w:r w:rsidR="0069304E">
        <w:t>h</w:t>
      </w:r>
      <w:r w:rsidR="00AF79AB">
        <w:t xml:space="preserve">ould only be </w:t>
      </w:r>
      <w:r w:rsidR="009D0D2E">
        <w:t xml:space="preserve">adopted </w:t>
      </w:r>
      <w:r w:rsidR="009D0D2E" w:rsidRPr="009B365A">
        <w:t>when the</w:t>
      </w:r>
      <w:r w:rsidR="001F32A0" w:rsidRPr="009B365A">
        <w:rPr>
          <w:shd w:val="clear" w:color="auto" w:fill="FFFFFF"/>
        </w:rPr>
        <w:t xml:space="preserve"> a total anticipated outturn cost (including </w:t>
      </w:r>
      <w:r w:rsidR="009D0D2E" w:rsidRPr="009B365A">
        <w:t xml:space="preserve">indirect costs and </w:t>
      </w:r>
      <w:r w:rsidR="001F32A0" w:rsidRPr="009B365A">
        <w:t>contingency) exceed</w:t>
      </w:r>
      <w:r w:rsidR="009D0D2E" w:rsidRPr="009B365A">
        <w:t>s</w:t>
      </w:r>
      <w:r w:rsidR="001F32A0" w:rsidRPr="009B365A">
        <w:t xml:space="preserve"> $25 million.</w:t>
      </w:r>
      <w:r w:rsidR="00766334" w:rsidRPr="009B365A">
        <w:t xml:space="preserve"> Confirmation of </w:t>
      </w:r>
      <w:r w:rsidR="00BF2B39" w:rsidRPr="009B365A">
        <w:t xml:space="preserve">the adoption of the probabilistic calculation for DRFA reconstruction projects should </w:t>
      </w:r>
      <w:r w:rsidR="00BF2B39">
        <w:t>also be sought from</w:t>
      </w:r>
      <w:r w:rsidR="005962EA">
        <w:t xml:space="preserve"> the</w:t>
      </w:r>
      <w:r w:rsidR="00BF2B39">
        <w:t xml:space="preserve"> </w:t>
      </w:r>
      <w:r w:rsidR="00765149">
        <w:t>Emergency Recovery Victoria</w:t>
      </w:r>
      <w:r w:rsidR="005962EA">
        <w:t>.</w:t>
      </w:r>
    </w:p>
    <w:p w14:paraId="4D8DAFE4" w14:textId="77777777" w:rsidR="003037F1" w:rsidRDefault="003037F1" w:rsidP="009B365A">
      <w:pPr>
        <w:pStyle w:val="NormalIndent"/>
        <w:ind w:left="0"/>
      </w:pPr>
      <w:r>
        <w:t xml:space="preserve">Further information and guidance regarding this approach can be found </w:t>
      </w:r>
      <w:r w:rsidR="00AB1E81">
        <w:t>in</w:t>
      </w:r>
      <w:r w:rsidR="009607BC">
        <w:t xml:space="preserve"> </w:t>
      </w:r>
      <w:r w:rsidR="006A46C4">
        <w:t>g</w:t>
      </w:r>
      <w:r w:rsidR="009607BC">
        <w:t>uidance</w:t>
      </w:r>
      <w:r w:rsidR="005C2F8D">
        <w:t xml:space="preserve"> </w:t>
      </w:r>
      <w:r w:rsidR="006A46C4">
        <w:t>n</w:t>
      </w:r>
      <w:r w:rsidR="009607BC">
        <w:t xml:space="preserve">ote 3A: </w:t>
      </w:r>
      <w:r w:rsidR="006A46C4">
        <w:t>p</w:t>
      </w:r>
      <w:r w:rsidR="009607BC">
        <w:t xml:space="preserve">robabilistic </w:t>
      </w:r>
      <w:r w:rsidR="006A46C4">
        <w:t>c</w:t>
      </w:r>
      <w:r w:rsidR="009607BC">
        <w:t xml:space="preserve">ontingency </w:t>
      </w:r>
      <w:r w:rsidR="006A46C4">
        <w:t>e</w:t>
      </w:r>
      <w:r w:rsidR="009607BC">
        <w:t>stimation in Appendix D</w:t>
      </w:r>
      <w:r w:rsidR="006C7752">
        <w:t xml:space="preserve"> in this Guideline</w:t>
      </w:r>
      <w:r w:rsidR="009607BC">
        <w:t>.</w:t>
      </w:r>
      <w:r w:rsidR="00AB1E81">
        <w:t xml:space="preserve"> </w:t>
      </w:r>
    </w:p>
    <w:p w14:paraId="4FA1AC92" w14:textId="77777777" w:rsidR="00FA0326" w:rsidRPr="00EE796F" w:rsidRDefault="003037F1" w:rsidP="00A91244">
      <w:pPr>
        <w:pStyle w:val="Heading1numbered"/>
      </w:pPr>
      <w:bookmarkStart w:id="59" w:name="_Toc170127184"/>
      <w:r w:rsidRPr="00EE796F">
        <w:t>Escalation</w:t>
      </w:r>
      <w:bookmarkEnd w:id="59"/>
    </w:p>
    <w:p w14:paraId="086648B7" w14:textId="77777777" w:rsidR="003037F1" w:rsidRPr="009F5BE1" w:rsidRDefault="003037F1" w:rsidP="009B365A">
      <w:pPr>
        <w:pStyle w:val="NormalIndent"/>
        <w:ind w:left="0"/>
      </w:pPr>
      <w:r>
        <w:t>Escalation is the allowance for expected changes in capital costs throughout the project lifecycle. The DRFA states:</w:t>
      </w:r>
    </w:p>
    <w:p w14:paraId="570048A1" w14:textId="77777777" w:rsidR="003037F1" w:rsidRPr="009B365A" w:rsidRDefault="00E4115D" w:rsidP="009B365A">
      <w:pPr>
        <w:pStyle w:val="Quote"/>
        <w:ind w:left="567"/>
        <w:rPr>
          <w:color w:val="auto"/>
        </w:rPr>
      </w:pPr>
      <w:r w:rsidRPr="009B365A">
        <w:rPr>
          <w:color w:val="auto"/>
        </w:rPr>
        <w:t>’</w:t>
      </w:r>
      <w:r w:rsidR="003037F1" w:rsidRPr="009B365A">
        <w:rPr>
          <w:color w:val="auto"/>
        </w:rPr>
        <w:t xml:space="preserve">Cost escalation allowances are applied to an estimated reconstruction cost to ensure adequate capital funding is provided to compensate for the expected change, generally positive, in costs over the life of a reconstruction project. These cost increases can be the result of </w:t>
      </w:r>
      <w:proofErr w:type="gramStart"/>
      <w:r w:rsidR="003037F1" w:rsidRPr="009B365A">
        <w:rPr>
          <w:color w:val="auto"/>
        </w:rPr>
        <w:t>a number of</w:t>
      </w:r>
      <w:proofErr w:type="gramEnd"/>
      <w:r w:rsidR="003037F1" w:rsidRPr="009B365A">
        <w:rPr>
          <w:color w:val="auto"/>
        </w:rPr>
        <w:t xml:space="preserve"> factors including price fluctuations in labour, plant and material, and global and local market pressures.</w:t>
      </w:r>
    </w:p>
    <w:p w14:paraId="40EF3283" w14:textId="77777777" w:rsidR="003037F1" w:rsidRPr="009B365A" w:rsidRDefault="003037F1" w:rsidP="009B365A">
      <w:pPr>
        <w:pStyle w:val="Quote"/>
        <w:ind w:left="567"/>
        <w:rPr>
          <w:color w:val="auto"/>
        </w:rPr>
      </w:pPr>
      <w:r w:rsidRPr="009B365A">
        <w:rPr>
          <w:color w:val="auto"/>
        </w:rPr>
        <w:t>The Commonwealth expects that at the time of preparing the estimated reconstruction cost the states will be required to account for cost changes, generally increases, over the life of a reconstruction project by establishing a realistic cost escalation allowance. Consistent with the objectives of ensuring the reconstruction of an essential public asset following an eligible disaster is achieved, cost escalation would at a maximum only be applied and eligible for a period of three years from the end of the financial year in which the eligible disaster occurred.</w:t>
      </w:r>
    </w:p>
    <w:p w14:paraId="3371A641" w14:textId="77777777" w:rsidR="003037F1" w:rsidRPr="009B365A" w:rsidRDefault="003037F1" w:rsidP="009B365A">
      <w:pPr>
        <w:pStyle w:val="Quote"/>
        <w:ind w:left="567"/>
        <w:rPr>
          <w:color w:val="auto"/>
        </w:rPr>
      </w:pPr>
      <w:r w:rsidRPr="009B365A">
        <w:rPr>
          <w:color w:val="auto"/>
        </w:rPr>
        <w:t xml:space="preserve">States will be expected to utilise the escalation rates and the escalation calculation methodology included in the state specific </w:t>
      </w:r>
      <w:r w:rsidR="006A46C4" w:rsidRPr="009B365A">
        <w:rPr>
          <w:color w:val="auto"/>
        </w:rPr>
        <w:t>r</w:t>
      </w:r>
      <w:r w:rsidRPr="009B365A">
        <w:rPr>
          <w:color w:val="auto"/>
        </w:rPr>
        <w:t>oad</w:t>
      </w:r>
      <w:r w:rsidR="006A46C4" w:rsidRPr="009B365A">
        <w:rPr>
          <w:color w:val="auto"/>
        </w:rPr>
        <w:t xml:space="preserve"> c</w:t>
      </w:r>
      <w:r w:rsidRPr="009B365A">
        <w:rPr>
          <w:color w:val="auto"/>
        </w:rPr>
        <w:t xml:space="preserve">onstruction </w:t>
      </w:r>
      <w:r w:rsidR="006A46C4" w:rsidRPr="009B365A">
        <w:rPr>
          <w:color w:val="auto"/>
        </w:rPr>
        <w:t>c</w:t>
      </w:r>
      <w:r w:rsidRPr="009B365A">
        <w:rPr>
          <w:color w:val="auto"/>
        </w:rPr>
        <w:t xml:space="preserve">ost </w:t>
      </w:r>
      <w:r w:rsidR="006A46C4" w:rsidRPr="009B365A">
        <w:rPr>
          <w:color w:val="auto"/>
        </w:rPr>
        <w:t>e</w:t>
      </w:r>
      <w:r w:rsidRPr="009B365A">
        <w:rPr>
          <w:color w:val="auto"/>
        </w:rPr>
        <w:t xml:space="preserve">scalation </w:t>
      </w:r>
      <w:r w:rsidR="006A46C4" w:rsidRPr="009B365A">
        <w:rPr>
          <w:color w:val="auto"/>
        </w:rPr>
        <w:t>f</w:t>
      </w:r>
      <w:r w:rsidRPr="009B365A">
        <w:rPr>
          <w:color w:val="auto"/>
        </w:rPr>
        <w:t>orecasts prepared annually by the Commonwealth Department of Infrastructure, Regional Development and Cities, and provided to each state and territory infrastructure delivery agency</w:t>
      </w:r>
      <w:r w:rsidR="00E4115D" w:rsidRPr="009B365A">
        <w:rPr>
          <w:color w:val="auto"/>
        </w:rPr>
        <w:t xml:space="preserve">.’ </w:t>
      </w:r>
      <w:r w:rsidR="00AB1E81" w:rsidRPr="009B365A">
        <w:rPr>
          <w:color w:val="auto"/>
        </w:rPr>
        <w:t>(DRFA 2018, Section 6.6)</w:t>
      </w:r>
    </w:p>
    <w:p w14:paraId="2A03DD36" w14:textId="77777777" w:rsidR="009A2848" w:rsidRDefault="00886F08" w:rsidP="009B365A">
      <w:pPr>
        <w:pStyle w:val="NormalIndent"/>
        <w:ind w:left="0"/>
      </w:pPr>
      <w:r>
        <w:t xml:space="preserve">Where the </w:t>
      </w:r>
      <w:r w:rsidR="00AF5F76">
        <w:t>e</w:t>
      </w:r>
      <w:r>
        <w:t xml:space="preserve">stimated </w:t>
      </w:r>
      <w:r w:rsidR="00AF5F76">
        <w:t>r</w:t>
      </w:r>
      <w:r>
        <w:t xml:space="preserve">econstruction </w:t>
      </w:r>
      <w:r w:rsidR="00AF5F76">
        <w:t>c</w:t>
      </w:r>
      <w:r>
        <w:t>ost of a specific project is not based a market response (tender or similar), e</w:t>
      </w:r>
      <w:r w:rsidR="003037F1">
        <w:t>scalation should be allowed for in accordance with the DRFA</w:t>
      </w:r>
      <w:r w:rsidR="0028073E">
        <w:t>.</w:t>
      </w:r>
      <w:r w:rsidR="003037F1">
        <w:t xml:space="preserve"> </w:t>
      </w:r>
      <w:r w:rsidR="0028073E">
        <w:t xml:space="preserve">The DRFA </w:t>
      </w:r>
      <w:r w:rsidR="003037F1">
        <w:t>refers to</w:t>
      </w:r>
      <w:r w:rsidR="009A2848" w:rsidRPr="009A2848">
        <w:t xml:space="preserve"> </w:t>
      </w:r>
      <w:r w:rsidR="009A2848">
        <w:t>utilis</w:t>
      </w:r>
      <w:r w:rsidR="009E75A0">
        <w:t>ing</w:t>
      </w:r>
      <w:r w:rsidR="009A2848">
        <w:t xml:space="preserve"> the escalation rates and the escalation calculation methodology included in the state specific Road Construction Cost Escalation Forecasts prepared annually by the </w:t>
      </w:r>
      <w:r w:rsidR="009A2848" w:rsidRPr="00AF7BDB">
        <w:t xml:space="preserve">Commonwealth </w:t>
      </w:r>
      <w:r w:rsidR="009A2848">
        <w:t xml:space="preserve">Department of Infrastructure, Regional Development and Cities, and provided to each state and territory infrastructure delivery agency. </w:t>
      </w:r>
    </w:p>
    <w:p w14:paraId="714A3309" w14:textId="77777777" w:rsidR="00577EEC" w:rsidRDefault="00577EEC" w:rsidP="009B365A">
      <w:pPr>
        <w:pStyle w:val="NormalIndent"/>
        <w:ind w:left="0"/>
      </w:pPr>
      <w:r w:rsidRPr="00AF7BDB">
        <w:t>This cost escalation report addresses price movements in road construction components such as construction wages, materials and plant and equipment hire rates. Movements in contractor margins are incorporated into the analysis, as well as non-construction jurisdictional (“client”) costs to arrive at an overall composite Road Construction Outturn Cost Index (RCOCI)</w:t>
      </w:r>
      <w:r w:rsidR="00332B13" w:rsidRPr="00AF7BDB">
        <w:t>.</w:t>
      </w:r>
    </w:p>
    <w:p w14:paraId="4694D8FB" w14:textId="77777777" w:rsidR="00F27DCB" w:rsidRDefault="00704763" w:rsidP="009B365A">
      <w:pPr>
        <w:pStyle w:val="NormalIndent"/>
        <w:ind w:left="0"/>
      </w:pPr>
      <w:bookmarkStart w:id="60" w:name="_Hlk159850621"/>
      <w:r w:rsidRPr="00AF7BDB">
        <w:t>The RCOCI for road infrastructure projects in Victoria for the current financial year and three future years is as follows:</w:t>
      </w:r>
    </w:p>
    <w:p w14:paraId="5754E0A3" w14:textId="26F09B0F" w:rsidR="00F27DCB" w:rsidRDefault="00F27DCB" w:rsidP="00F27DCB">
      <w:pPr>
        <w:pStyle w:val="Tablechartdiagramheading"/>
        <w:ind w:left="792"/>
      </w:pPr>
      <w:r>
        <w:lastRenderedPageBreak/>
        <w:t xml:space="preserve">Table </w:t>
      </w:r>
      <w:r>
        <w:rPr>
          <w:noProof/>
        </w:rPr>
        <w:fldChar w:fldCharType="begin"/>
      </w:r>
      <w:r>
        <w:rPr>
          <w:noProof/>
        </w:rPr>
        <w:instrText xml:space="preserve"> SEQ Table \* ARABIC </w:instrText>
      </w:r>
      <w:r>
        <w:rPr>
          <w:noProof/>
        </w:rPr>
        <w:fldChar w:fldCharType="separate"/>
      </w:r>
      <w:r w:rsidR="00972940">
        <w:rPr>
          <w:noProof/>
        </w:rPr>
        <w:t>3</w:t>
      </w:r>
      <w:r>
        <w:rPr>
          <w:noProof/>
        </w:rPr>
        <w:fldChar w:fldCharType="end"/>
      </w:r>
      <w:r>
        <w:t>: RCOCI Current and Three Future Years</w:t>
      </w:r>
    </w:p>
    <w:tbl>
      <w:tblPr>
        <w:tblStyle w:val="DTFtexttableindent"/>
        <w:tblW w:w="9026" w:type="dxa"/>
        <w:tblInd w:w="0" w:type="dxa"/>
        <w:tblLook w:val="06A0" w:firstRow="1" w:lastRow="0" w:firstColumn="1" w:lastColumn="0" w:noHBand="1" w:noVBand="1"/>
      </w:tblPr>
      <w:tblGrid>
        <w:gridCol w:w="1985"/>
        <w:gridCol w:w="1559"/>
        <w:gridCol w:w="1276"/>
        <w:gridCol w:w="1417"/>
        <w:gridCol w:w="1560"/>
        <w:gridCol w:w="1229"/>
      </w:tblGrid>
      <w:tr w:rsidR="00DE13B7" w14:paraId="5F2D7260" w14:textId="77777777" w:rsidTr="003F7B3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85" w:type="dxa"/>
            <w:tcBorders>
              <w:top w:val="nil"/>
              <w:left w:val="nil"/>
              <w:bottom w:val="single" w:sz="6" w:space="0" w:color="0063A6" w:themeColor="accent1"/>
              <w:right w:val="nil"/>
            </w:tcBorders>
            <w:hideMark/>
          </w:tcPr>
          <w:p w14:paraId="6E3AA3AE" w14:textId="77777777" w:rsidR="00DE13B7" w:rsidRDefault="00DE13B7">
            <w:pPr>
              <w:pStyle w:val="Tableheader"/>
            </w:pPr>
            <w:r>
              <w:t>Financial Year</w:t>
            </w:r>
          </w:p>
        </w:tc>
        <w:tc>
          <w:tcPr>
            <w:tcW w:w="1559" w:type="dxa"/>
            <w:tcBorders>
              <w:top w:val="nil"/>
              <w:left w:val="nil"/>
              <w:bottom w:val="single" w:sz="6" w:space="0" w:color="0063A6" w:themeColor="accent1"/>
              <w:right w:val="nil"/>
            </w:tcBorders>
          </w:tcPr>
          <w:p w14:paraId="4972E4DA" w14:textId="7FE797BE" w:rsidR="00DE13B7" w:rsidDel="006A7257" w:rsidRDefault="00DE13B7">
            <w:pPr>
              <w:pStyle w:val="Tableheader"/>
              <w:jc w:val="center"/>
              <w:cnfStyle w:val="100000000000" w:firstRow="1" w:lastRow="0" w:firstColumn="0" w:lastColumn="0" w:oddVBand="0" w:evenVBand="0" w:oddHBand="0" w:evenHBand="0" w:firstRowFirstColumn="0" w:firstRowLastColumn="0" w:lastRowFirstColumn="0" w:lastRowLastColumn="0"/>
              <w:rPr>
                <w:rFonts w:cstheme="minorHAnsi"/>
                <w:bCs/>
                <w:szCs w:val="20"/>
                <w:lang w:val="en-US"/>
              </w:rPr>
            </w:pPr>
            <w:r>
              <w:rPr>
                <w:rFonts w:cstheme="minorHAnsi"/>
                <w:bCs/>
                <w:szCs w:val="20"/>
                <w:lang w:val="en-US"/>
              </w:rPr>
              <w:t>2022/23</w:t>
            </w:r>
          </w:p>
        </w:tc>
        <w:tc>
          <w:tcPr>
            <w:tcW w:w="1276" w:type="dxa"/>
            <w:tcBorders>
              <w:top w:val="nil"/>
              <w:left w:val="nil"/>
              <w:bottom w:val="single" w:sz="6" w:space="0" w:color="0063A6" w:themeColor="accent1"/>
              <w:right w:val="nil"/>
            </w:tcBorders>
            <w:hideMark/>
          </w:tcPr>
          <w:p w14:paraId="5AA63B93" w14:textId="2A71F3A0" w:rsidR="00DE13B7" w:rsidRDefault="00DE13B7">
            <w:pPr>
              <w:pStyle w:val="Tableheader"/>
              <w:jc w:val="center"/>
              <w:cnfStyle w:val="100000000000" w:firstRow="1" w:lastRow="0" w:firstColumn="0" w:lastColumn="0" w:oddVBand="0" w:evenVBand="0" w:oddHBand="0" w:evenHBand="0" w:firstRowFirstColumn="0" w:firstRowLastColumn="0" w:lastRowFirstColumn="0" w:lastRowLastColumn="0"/>
            </w:pPr>
            <w:r>
              <w:rPr>
                <w:rFonts w:cstheme="minorHAnsi"/>
                <w:bCs/>
                <w:szCs w:val="20"/>
                <w:lang w:val="en-US"/>
              </w:rPr>
              <w:t>2023/24</w:t>
            </w:r>
          </w:p>
        </w:tc>
        <w:tc>
          <w:tcPr>
            <w:tcW w:w="1417" w:type="dxa"/>
            <w:tcBorders>
              <w:top w:val="nil"/>
              <w:left w:val="nil"/>
              <w:bottom w:val="single" w:sz="6" w:space="0" w:color="0063A6" w:themeColor="accent1"/>
              <w:right w:val="nil"/>
            </w:tcBorders>
            <w:hideMark/>
          </w:tcPr>
          <w:p w14:paraId="36486FDD" w14:textId="709C19D6" w:rsidR="00DE13B7" w:rsidRDefault="00DE13B7">
            <w:pPr>
              <w:pStyle w:val="Tableheader"/>
              <w:jc w:val="center"/>
              <w:cnfStyle w:val="100000000000" w:firstRow="1" w:lastRow="0" w:firstColumn="0" w:lastColumn="0" w:oddVBand="0" w:evenVBand="0" w:oddHBand="0" w:evenHBand="0" w:firstRowFirstColumn="0" w:firstRowLastColumn="0" w:lastRowFirstColumn="0" w:lastRowLastColumn="0"/>
            </w:pPr>
            <w:r>
              <w:rPr>
                <w:rFonts w:cstheme="minorHAnsi"/>
                <w:bCs/>
                <w:szCs w:val="20"/>
                <w:lang w:val="en-US"/>
              </w:rPr>
              <w:t>2024/25</w:t>
            </w:r>
          </w:p>
        </w:tc>
        <w:tc>
          <w:tcPr>
            <w:tcW w:w="1560" w:type="dxa"/>
            <w:tcBorders>
              <w:top w:val="nil"/>
              <w:left w:val="nil"/>
              <w:bottom w:val="single" w:sz="6" w:space="0" w:color="0063A6" w:themeColor="accent1"/>
              <w:right w:val="nil"/>
            </w:tcBorders>
            <w:hideMark/>
          </w:tcPr>
          <w:p w14:paraId="13F8359F" w14:textId="2F982958" w:rsidR="00DE13B7" w:rsidRDefault="00DE13B7">
            <w:pPr>
              <w:pStyle w:val="Tableheader"/>
              <w:jc w:val="center"/>
              <w:cnfStyle w:val="100000000000" w:firstRow="1" w:lastRow="0" w:firstColumn="0" w:lastColumn="0" w:oddVBand="0" w:evenVBand="0" w:oddHBand="0" w:evenHBand="0" w:firstRowFirstColumn="0" w:firstRowLastColumn="0" w:lastRowFirstColumn="0" w:lastRowLastColumn="0"/>
            </w:pPr>
            <w:r>
              <w:rPr>
                <w:rFonts w:cstheme="minorHAnsi"/>
                <w:bCs/>
                <w:szCs w:val="20"/>
                <w:lang w:val="en-US"/>
              </w:rPr>
              <w:t>2025/26</w:t>
            </w:r>
          </w:p>
        </w:tc>
        <w:tc>
          <w:tcPr>
            <w:tcW w:w="1229" w:type="dxa"/>
            <w:tcBorders>
              <w:top w:val="nil"/>
              <w:left w:val="nil"/>
              <w:bottom w:val="single" w:sz="6" w:space="0" w:color="0063A6" w:themeColor="accent1"/>
              <w:right w:val="nil"/>
            </w:tcBorders>
            <w:hideMark/>
          </w:tcPr>
          <w:p w14:paraId="342DE16A" w14:textId="7B76DF85" w:rsidR="00DE13B7" w:rsidRDefault="00DE13B7">
            <w:pPr>
              <w:pStyle w:val="Tableheader"/>
              <w:jc w:val="center"/>
              <w:cnfStyle w:val="100000000000" w:firstRow="1" w:lastRow="0" w:firstColumn="0" w:lastColumn="0" w:oddVBand="0" w:evenVBand="0" w:oddHBand="0" w:evenHBand="0" w:firstRowFirstColumn="0" w:firstRowLastColumn="0" w:lastRowFirstColumn="0" w:lastRowLastColumn="0"/>
            </w:pPr>
            <w:r>
              <w:rPr>
                <w:rFonts w:cstheme="minorHAnsi"/>
                <w:bCs/>
                <w:szCs w:val="20"/>
                <w:lang w:val="en-US"/>
              </w:rPr>
              <w:t>2026/27</w:t>
            </w:r>
          </w:p>
        </w:tc>
      </w:tr>
      <w:tr w:rsidR="00DE13B7" w14:paraId="2A8F6393" w14:textId="77777777" w:rsidTr="003F7B36">
        <w:trPr>
          <w:trHeight w:val="302"/>
        </w:trPr>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0063A6" w:themeColor="accent1"/>
              <w:left w:val="nil"/>
              <w:bottom w:val="nil"/>
              <w:right w:val="nil"/>
            </w:tcBorders>
            <w:hideMark/>
          </w:tcPr>
          <w:p w14:paraId="6D89C907" w14:textId="77777777" w:rsidR="00DE13B7" w:rsidRDefault="00DE13B7">
            <w:pPr>
              <w:rPr>
                <w:szCs w:val="17"/>
              </w:rPr>
            </w:pPr>
            <w:r>
              <w:rPr>
                <w:rFonts w:cstheme="minorHAnsi"/>
                <w:szCs w:val="17"/>
                <w:lang w:val="en-US"/>
              </w:rPr>
              <w:t>Escalation – RCOCI</w:t>
            </w:r>
          </w:p>
        </w:tc>
        <w:tc>
          <w:tcPr>
            <w:tcW w:w="1559" w:type="dxa"/>
            <w:tcBorders>
              <w:top w:val="single" w:sz="6" w:space="0" w:color="0063A6" w:themeColor="accent1"/>
              <w:left w:val="nil"/>
              <w:bottom w:val="nil"/>
              <w:right w:val="nil"/>
            </w:tcBorders>
          </w:tcPr>
          <w:p w14:paraId="5737706C" w14:textId="237448F2" w:rsidR="00DE13B7" w:rsidRDefault="00740F69">
            <w:pPr>
              <w:jc w:val="center"/>
              <w:cnfStyle w:val="000000000000" w:firstRow="0" w:lastRow="0" w:firstColumn="0" w:lastColumn="0" w:oddVBand="0" w:evenVBand="0" w:oddHBand="0" w:evenHBand="0" w:firstRowFirstColumn="0" w:firstRowLastColumn="0" w:lastRowFirstColumn="0" w:lastRowLastColumn="0"/>
              <w:rPr>
                <w:rFonts w:cstheme="minorHAnsi"/>
                <w:szCs w:val="17"/>
                <w:lang w:val="en-US"/>
              </w:rPr>
            </w:pPr>
            <w:r>
              <w:rPr>
                <w:rFonts w:cstheme="minorHAnsi"/>
                <w:szCs w:val="17"/>
                <w:lang w:val="en-US"/>
              </w:rPr>
              <w:t>10.33</w:t>
            </w:r>
            <w:r w:rsidR="00DE13B7">
              <w:rPr>
                <w:rFonts w:cstheme="minorHAnsi"/>
                <w:szCs w:val="17"/>
                <w:lang w:val="en-US"/>
              </w:rPr>
              <w:t>%</w:t>
            </w:r>
          </w:p>
        </w:tc>
        <w:tc>
          <w:tcPr>
            <w:tcW w:w="1276" w:type="dxa"/>
            <w:tcBorders>
              <w:top w:val="single" w:sz="6" w:space="0" w:color="0063A6" w:themeColor="accent1"/>
              <w:left w:val="nil"/>
              <w:bottom w:val="nil"/>
              <w:right w:val="nil"/>
            </w:tcBorders>
            <w:hideMark/>
          </w:tcPr>
          <w:p w14:paraId="59F210EB" w14:textId="1A69E742" w:rsidR="00DE13B7" w:rsidRDefault="00DE13B7">
            <w:pPr>
              <w:jc w:val="center"/>
              <w:cnfStyle w:val="000000000000" w:firstRow="0" w:lastRow="0" w:firstColumn="0" w:lastColumn="0" w:oddVBand="0" w:evenVBand="0" w:oddHBand="0" w:evenHBand="0" w:firstRowFirstColumn="0" w:firstRowLastColumn="0" w:lastRowFirstColumn="0" w:lastRowLastColumn="0"/>
              <w:rPr>
                <w:szCs w:val="17"/>
              </w:rPr>
            </w:pPr>
            <w:r>
              <w:rPr>
                <w:rFonts w:cstheme="minorHAnsi"/>
                <w:szCs w:val="17"/>
                <w:lang w:val="en-US"/>
              </w:rPr>
              <w:t>2.19%</w:t>
            </w:r>
          </w:p>
        </w:tc>
        <w:tc>
          <w:tcPr>
            <w:tcW w:w="1417" w:type="dxa"/>
            <w:tcBorders>
              <w:top w:val="single" w:sz="6" w:space="0" w:color="0063A6" w:themeColor="accent1"/>
              <w:left w:val="nil"/>
              <w:bottom w:val="nil"/>
              <w:right w:val="nil"/>
            </w:tcBorders>
            <w:hideMark/>
          </w:tcPr>
          <w:p w14:paraId="367FFF7B" w14:textId="6BD97EDA" w:rsidR="00DE13B7" w:rsidRDefault="00DE13B7">
            <w:pPr>
              <w:jc w:val="center"/>
              <w:cnfStyle w:val="000000000000" w:firstRow="0" w:lastRow="0" w:firstColumn="0" w:lastColumn="0" w:oddVBand="0" w:evenVBand="0" w:oddHBand="0" w:evenHBand="0" w:firstRowFirstColumn="0" w:firstRowLastColumn="0" w:lastRowFirstColumn="0" w:lastRowLastColumn="0"/>
              <w:rPr>
                <w:szCs w:val="17"/>
              </w:rPr>
            </w:pPr>
            <w:r>
              <w:rPr>
                <w:rFonts w:cstheme="minorHAnsi"/>
                <w:szCs w:val="17"/>
                <w:lang w:val="en-US"/>
              </w:rPr>
              <w:t>1.94%</w:t>
            </w:r>
          </w:p>
        </w:tc>
        <w:tc>
          <w:tcPr>
            <w:tcW w:w="1560" w:type="dxa"/>
            <w:tcBorders>
              <w:top w:val="single" w:sz="6" w:space="0" w:color="0063A6" w:themeColor="accent1"/>
              <w:left w:val="nil"/>
              <w:bottom w:val="nil"/>
              <w:right w:val="nil"/>
            </w:tcBorders>
            <w:hideMark/>
          </w:tcPr>
          <w:p w14:paraId="6778F20A" w14:textId="11E47406" w:rsidR="00DE13B7" w:rsidRDefault="00DE13B7">
            <w:pPr>
              <w:jc w:val="center"/>
              <w:cnfStyle w:val="000000000000" w:firstRow="0" w:lastRow="0" w:firstColumn="0" w:lastColumn="0" w:oddVBand="0" w:evenVBand="0" w:oddHBand="0" w:evenHBand="0" w:firstRowFirstColumn="0" w:firstRowLastColumn="0" w:lastRowFirstColumn="0" w:lastRowLastColumn="0"/>
              <w:rPr>
                <w:szCs w:val="17"/>
              </w:rPr>
            </w:pPr>
            <w:r>
              <w:rPr>
                <w:rFonts w:cstheme="minorHAnsi"/>
                <w:szCs w:val="17"/>
                <w:lang w:val="en-US"/>
              </w:rPr>
              <w:t>1.24%</w:t>
            </w:r>
          </w:p>
        </w:tc>
        <w:tc>
          <w:tcPr>
            <w:tcW w:w="1229" w:type="dxa"/>
            <w:tcBorders>
              <w:top w:val="single" w:sz="6" w:space="0" w:color="0063A6" w:themeColor="accent1"/>
              <w:left w:val="nil"/>
              <w:bottom w:val="nil"/>
              <w:right w:val="nil"/>
            </w:tcBorders>
            <w:hideMark/>
          </w:tcPr>
          <w:p w14:paraId="25EA5A1A" w14:textId="0443C35B" w:rsidR="00DE13B7" w:rsidRDefault="00DE13B7" w:rsidP="00DE13B7">
            <w:pPr>
              <w:jc w:val="center"/>
              <w:cnfStyle w:val="000000000000" w:firstRow="0" w:lastRow="0" w:firstColumn="0" w:lastColumn="0" w:oddVBand="0" w:evenVBand="0" w:oddHBand="0" w:evenHBand="0" w:firstRowFirstColumn="0" w:firstRowLastColumn="0" w:lastRowFirstColumn="0" w:lastRowLastColumn="0"/>
              <w:rPr>
                <w:szCs w:val="17"/>
              </w:rPr>
            </w:pPr>
            <w:r>
              <w:rPr>
                <w:rFonts w:cstheme="minorHAnsi"/>
                <w:szCs w:val="17"/>
                <w:lang w:val="en-US"/>
              </w:rPr>
              <w:t>2.51%</w:t>
            </w:r>
          </w:p>
        </w:tc>
      </w:tr>
    </w:tbl>
    <w:p w14:paraId="261BF57C" w14:textId="77777777" w:rsidR="00F27DCB" w:rsidRDefault="00F27DCB" w:rsidP="00AF7BDB">
      <w:pPr>
        <w:pStyle w:val="NormalIndent"/>
        <w:ind w:left="0"/>
      </w:pPr>
    </w:p>
    <w:p w14:paraId="27F7F3E7" w14:textId="77777777" w:rsidR="00C20852" w:rsidRPr="00AF7BDB" w:rsidRDefault="00C20852" w:rsidP="009B365A">
      <w:pPr>
        <w:pStyle w:val="NormalIndent"/>
        <w:ind w:left="0"/>
      </w:pPr>
      <w:bookmarkStart w:id="61" w:name="_Hlk96692175"/>
      <w:r w:rsidRPr="00AF7BDB">
        <w:t>A</w:t>
      </w:r>
      <w:r w:rsidR="001C02DC" w:rsidRPr="00AF7BDB">
        <w:t xml:space="preserve"> cost</w:t>
      </w:r>
      <w:r w:rsidRPr="00AF7BDB">
        <w:t xml:space="preserve"> escalation </w:t>
      </w:r>
      <w:r w:rsidR="00605279" w:rsidRPr="00AF7BDB">
        <w:t>calculation</w:t>
      </w:r>
      <w:r w:rsidRPr="00AF7BDB">
        <w:t xml:space="preserve"> tool </w:t>
      </w:r>
      <w:r w:rsidR="00BB767B" w:rsidRPr="00674C26">
        <w:t xml:space="preserve">(VT-CEsc) </w:t>
      </w:r>
      <w:r w:rsidRPr="00AF7BDB">
        <w:t>has been prepared for application to reconstruction works which have been based on a</w:t>
      </w:r>
      <w:r w:rsidR="00A2229D" w:rsidRPr="00AF7BDB">
        <w:t xml:space="preserve">n </w:t>
      </w:r>
      <w:r w:rsidRPr="00AF7BDB">
        <w:t>estimate</w:t>
      </w:r>
      <w:r w:rsidR="00E96CBA" w:rsidRPr="00674C26">
        <w:t xml:space="preserve"> using the first principles approach.</w:t>
      </w:r>
      <w:r w:rsidR="00BB767B" w:rsidRPr="00674C26">
        <w:t xml:space="preserve"> </w:t>
      </w:r>
      <w:r w:rsidR="00AC4D26">
        <w:t xml:space="preserve">Delivery Agencies should refer to the separate diagram and Escalation Calculator tab (refer to Escalation Calculator (VT-Cesc) as part of the V Form C-RW to </w:t>
      </w:r>
      <w:r w:rsidR="00BB767B" w:rsidRPr="00674C26">
        <w:t>determine the cost escalation percentage.</w:t>
      </w:r>
      <w:r w:rsidR="00A45AA3" w:rsidRPr="00674C26">
        <w:t xml:space="preserve"> </w:t>
      </w:r>
      <w:r w:rsidR="00242BF6">
        <w:t xml:space="preserve">The cost </w:t>
      </w:r>
      <w:r w:rsidR="00242BF6" w:rsidRPr="00D20058">
        <w:t xml:space="preserve">escalation calculation tool can be found at the following link: </w:t>
      </w:r>
      <w:hyperlink r:id="rId27" w:history="1">
        <w:r w:rsidR="00715952" w:rsidRPr="009B365A">
          <w:t>https://www.emv.vic.gov.au/how-we-help/disaster-recovery-funding-arrangements-drfa/disaster-recovery-funding-arrangements-drfa</w:t>
        </w:r>
      </w:hyperlink>
      <w:r w:rsidR="00242BF6" w:rsidRPr="007B5B08">
        <w:t>.</w:t>
      </w:r>
    </w:p>
    <w:p w14:paraId="6E54AC52" w14:textId="77777777" w:rsidR="00A30402" w:rsidRDefault="003037F1" w:rsidP="009B365A">
      <w:pPr>
        <w:pStyle w:val="NormalIndent"/>
        <w:ind w:left="0"/>
      </w:pPr>
      <w:r>
        <w:t xml:space="preserve">Should a </w:t>
      </w:r>
      <w:r w:rsidR="00AB1E81">
        <w:t>m</w:t>
      </w:r>
      <w:r w:rsidRPr="003037F1">
        <w:t xml:space="preserve">arket </w:t>
      </w:r>
      <w:r w:rsidR="00AB1E81">
        <w:t>r</w:t>
      </w:r>
      <w:r w:rsidRPr="003037F1">
        <w:t>esponse</w:t>
      </w:r>
      <w:r>
        <w:t xml:space="preserve"> be utilised to price the works, escalation should be removed</w:t>
      </w:r>
      <w:r w:rsidR="00886F08">
        <w:t>.</w:t>
      </w:r>
    </w:p>
    <w:bookmarkEnd w:id="61"/>
    <w:p w14:paraId="4163C9F6" w14:textId="77777777" w:rsidR="00754529" w:rsidRDefault="00754529" w:rsidP="000A288F">
      <w:pPr>
        <w:pStyle w:val="NormalIndent"/>
      </w:pPr>
    </w:p>
    <w:p w14:paraId="2C47CC18" w14:textId="77777777" w:rsidR="00754529" w:rsidRDefault="00754529" w:rsidP="00754529">
      <w:pPr>
        <w:pStyle w:val="Heading3numbered"/>
      </w:pPr>
      <w:bookmarkStart w:id="62" w:name="_Toc170127185"/>
      <w:r>
        <w:t>Use of the Cost Escalation Calculation Tool</w:t>
      </w:r>
      <w:r w:rsidR="00C961FE">
        <w:t xml:space="preserve"> (VT-CEsc)</w:t>
      </w:r>
      <w:bookmarkEnd w:id="62"/>
    </w:p>
    <w:p w14:paraId="596D7382" w14:textId="77777777" w:rsidR="00754529" w:rsidRPr="009B365A" w:rsidRDefault="00754529" w:rsidP="009B365A">
      <w:pPr>
        <w:pStyle w:val="NormalIndent"/>
        <w:ind w:left="0"/>
      </w:pPr>
      <w:r w:rsidRPr="009B365A">
        <w:t xml:space="preserve">The </w:t>
      </w:r>
      <w:r w:rsidR="00C961FE" w:rsidRPr="009B365A">
        <w:t xml:space="preserve">cost </w:t>
      </w:r>
      <w:r w:rsidRPr="009B365A">
        <w:t>escalation calculation tool calculates the escalation proportion for each financial year based on the dates when the benchmark estimate is lodged and when the reconstruction works are completed. An overview of the basis of the calculation within the tool is illustrated</w:t>
      </w:r>
      <w:r w:rsidR="003748B2" w:rsidRPr="009B365A">
        <w:t xml:space="preserve"> (using the rates in Table 4)</w:t>
      </w:r>
      <w:r w:rsidRPr="009B365A">
        <w:t xml:space="preserve"> in the following examples</w:t>
      </w:r>
      <w:r w:rsidR="003748B2" w:rsidRPr="009B365A">
        <w:t>:</w:t>
      </w:r>
    </w:p>
    <w:p w14:paraId="56F5244E" w14:textId="77777777" w:rsidR="00754529" w:rsidRDefault="00754529" w:rsidP="00AF7BDB">
      <w:pPr>
        <w:pStyle w:val="Default"/>
        <w:spacing w:line="276" w:lineRule="auto"/>
        <w:ind w:left="709"/>
        <w:rPr>
          <w:rFonts w:asciiTheme="minorHAnsi" w:hAnsiTheme="minorHAnsi" w:cstheme="minorHAnsi"/>
          <w:sz w:val="20"/>
          <w:szCs w:val="20"/>
          <w:lang w:val="en-AU"/>
        </w:rPr>
      </w:pPr>
    </w:p>
    <w:p w14:paraId="157EBBA0" w14:textId="77777777" w:rsidR="00754529" w:rsidRPr="00E42967" w:rsidRDefault="00754529" w:rsidP="009B365A">
      <w:pPr>
        <w:pStyle w:val="Default"/>
        <w:spacing w:line="276" w:lineRule="auto"/>
        <w:ind w:left="567"/>
        <w:rPr>
          <w:rFonts w:asciiTheme="minorHAnsi" w:hAnsiTheme="minorHAnsi" w:cstheme="minorHAnsi"/>
          <w:b/>
          <w:bCs/>
          <w:sz w:val="20"/>
          <w:szCs w:val="20"/>
          <w:u w:val="single"/>
          <w:lang w:val="en-AU"/>
        </w:rPr>
      </w:pPr>
      <w:r w:rsidRPr="00E42967">
        <w:rPr>
          <w:rFonts w:asciiTheme="minorHAnsi" w:hAnsiTheme="minorHAnsi" w:cstheme="minorHAnsi"/>
          <w:b/>
          <w:bCs/>
          <w:sz w:val="20"/>
          <w:szCs w:val="20"/>
          <w:u w:val="single"/>
          <w:lang w:val="en-AU"/>
        </w:rPr>
        <w:t>Example</w:t>
      </w:r>
      <w:r>
        <w:rPr>
          <w:rFonts w:asciiTheme="minorHAnsi" w:hAnsiTheme="minorHAnsi" w:cstheme="minorHAnsi"/>
          <w:b/>
          <w:bCs/>
          <w:sz w:val="20"/>
          <w:szCs w:val="20"/>
          <w:u w:val="single"/>
          <w:lang w:val="en-AU"/>
        </w:rPr>
        <w:t xml:space="preserve">: </w:t>
      </w:r>
    </w:p>
    <w:p w14:paraId="39F0A332" w14:textId="71336C6D" w:rsidR="00754529" w:rsidRDefault="00754529" w:rsidP="009B365A">
      <w:pPr>
        <w:pStyle w:val="Default"/>
        <w:spacing w:line="276" w:lineRule="auto"/>
        <w:ind w:left="567"/>
        <w:rPr>
          <w:rFonts w:asciiTheme="minorHAnsi" w:hAnsiTheme="minorHAnsi" w:cstheme="minorHAnsi"/>
          <w:sz w:val="20"/>
          <w:szCs w:val="20"/>
          <w:lang w:val="en-AU"/>
        </w:rPr>
      </w:pPr>
      <w:r w:rsidRPr="006B0525">
        <w:rPr>
          <w:rFonts w:asciiTheme="minorHAnsi" w:hAnsiTheme="minorHAnsi" w:cstheme="minorHAnsi"/>
          <w:sz w:val="20"/>
          <w:szCs w:val="20"/>
          <w:u w:val="single"/>
          <w:lang w:val="en-AU"/>
        </w:rPr>
        <w:t xml:space="preserve">Date Benchmark Estimate is </w:t>
      </w:r>
      <w:r>
        <w:rPr>
          <w:rFonts w:asciiTheme="minorHAnsi" w:hAnsiTheme="minorHAnsi" w:cstheme="minorHAnsi"/>
          <w:sz w:val="20"/>
          <w:szCs w:val="20"/>
          <w:u w:val="single"/>
          <w:lang w:val="en-AU"/>
        </w:rPr>
        <w:t>l</w:t>
      </w:r>
      <w:r w:rsidRPr="006B0525">
        <w:rPr>
          <w:rFonts w:asciiTheme="minorHAnsi" w:hAnsiTheme="minorHAnsi" w:cstheme="minorHAnsi"/>
          <w:sz w:val="20"/>
          <w:szCs w:val="20"/>
          <w:u w:val="single"/>
          <w:lang w:val="en-AU"/>
        </w:rPr>
        <w:t xml:space="preserve">odged </w:t>
      </w:r>
      <w:r>
        <w:rPr>
          <w:rFonts w:asciiTheme="minorHAnsi" w:hAnsiTheme="minorHAnsi" w:cstheme="minorHAnsi"/>
          <w:sz w:val="20"/>
          <w:szCs w:val="20"/>
          <w:lang w:val="en-AU"/>
        </w:rPr>
        <w:t>= 15-April-202</w:t>
      </w:r>
      <w:r w:rsidR="0058577E">
        <w:rPr>
          <w:rFonts w:asciiTheme="minorHAnsi" w:hAnsiTheme="minorHAnsi" w:cstheme="minorHAnsi"/>
          <w:sz w:val="20"/>
          <w:szCs w:val="20"/>
          <w:lang w:val="en-AU"/>
        </w:rPr>
        <w:t>4</w:t>
      </w:r>
    </w:p>
    <w:p w14:paraId="5FB1863C"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38779A2B" w14:textId="5CD37E04" w:rsidR="00754529" w:rsidRDefault="00754529" w:rsidP="009B365A">
      <w:pPr>
        <w:pStyle w:val="Default"/>
        <w:spacing w:line="276" w:lineRule="auto"/>
        <w:ind w:left="567"/>
        <w:rPr>
          <w:rFonts w:asciiTheme="minorHAnsi" w:hAnsiTheme="minorHAnsi" w:cstheme="minorHAnsi"/>
          <w:sz w:val="20"/>
          <w:szCs w:val="20"/>
          <w:lang w:val="en-AU"/>
        </w:rPr>
      </w:pPr>
      <w:r w:rsidRPr="006B0525">
        <w:rPr>
          <w:rFonts w:asciiTheme="minorHAnsi" w:hAnsiTheme="minorHAnsi" w:cstheme="minorHAnsi"/>
          <w:sz w:val="20"/>
          <w:szCs w:val="20"/>
          <w:u w:val="single"/>
          <w:lang w:val="en-AU"/>
        </w:rPr>
        <w:t xml:space="preserve">Date Reconstruction Works </w:t>
      </w:r>
      <w:r>
        <w:rPr>
          <w:rFonts w:asciiTheme="minorHAnsi" w:hAnsiTheme="minorHAnsi" w:cstheme="minorHAnsi"/>
          <w:sz w:val="20"/>
          <w:szCs w:val="20"/>
          <w:u w:val="single"/>
          <w:lang w:val="en-AU"/>
        </w:rPr>
        <w:t>are forecast to be c</w:t>
      </w:r>
      <w:r w:rsidRPr="006B0525">
        <w:rPr>
          <w:rFonts w:asciiTheme="minorHAnsi" w:hAnsiTheme="minorHAnsi" w:cstheme="minorHAnsi"/>
          <w:sz w:val="20"/>
          <w:szCs w:val="20"/>
          <w:u w:val="single"/>
          <w:lang w:val="en-AU"/>
        </w:rPr>
        <w:t xml:space="preserve">ompleted </w:t>
      </w:r>
      <w:r>
        <w:rPr>
          <w:rFonts w:asciiTheme="minorHAnsi" w:hAnsiTheme="minorHAnsi" w:cstheme="minorHAnsi"/>
          <w:sz w:val="20"/>
          <w:szCs w:val="20"/>
          <w:lang w:val="en-AU"/>
        </w:rPr>
        <w:t>= 1-May-202</w:t>
      </w:r>
      <w:r w:rsidR="00F1415B">
        <w:rPr>
          <w:rFonts w:asciiTheme="minorHAnsi" w:hAnsiTheme="minorHAnsi" w:cstheme="minorHAnsi"/>
          <w:sz w:val="20"/>
          <w:szCs w:val="20"/>
          <w:lang w:val="en-AU"/>
        </w:rPr>
        <w:t>6</w:t>
      </w:r>
    </w:p>
    <w:p w14:paraId="5F622C73"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545026E5" w14:textId="7AEF0C90" w:rsidR="00754529" w:rsidRPr="006B0525" w:rsidRDefault="00754529" w:rsidP="009B365A">
      <w:pPr>
        <w:pStyle w:val="Default"/>
        <w:spacing w:line="276" w:lineRule="auto"/>
        <w:ind w:left="567"/>
        <w:rPr>
          <w:rFonts w:asciiTheme="minorHAnsi" w:hAnsiTheme="minorHAnsi" w:cstheme="minorHAnsi"/>
          <w:sz w:val="20"/>
          <w:szCs w:val="20"/>
          <w:u w:val="single"/>
          <w:lang w:val="en-AU"/>
        </w:rPr>
      </w:pPr>
      <w:r w:rsidRPr="006B0525">
        <w:rPr>
          <w:rFonts w:asciiTheme="minorHAnsi" w:hAnsiTheme="minorHAnsi" w:cstheme="minorHAnsi"/>
          <w:sz w:val="20"/>
          <w:szCs w:val="20"/>
          <w:u w:val="single"/>
          <w:lang w:val="en-AU"/>
        </w:rPr>
        <w:t xml:space="preserve">Effective </w:t>
      </w:r>
      <w:r>
        <w:rPr>
          <w:rFonts w:asciiTheme="minorHAnsi" w:hAnsiTheme="minorHAnsi" w:cstheme="minorHAnsi"/>
          <w:sz w:val="20"/>
          <w:szCs w:val="20"/>
          <w:u w:val="single"/>
          <w:lang w:val="en-AU"/>
        </w:rPr>
        <w:t>e</w:t>
      </w:r>
      <w:r w:rsidRPr="006B0525">
        <w:rPr>
          <w:rFonts w:asciiTheme="minorHAnsi" w:hAnsiTheme="minorHAnsi" w:cstheme="minorHAnsi"/>
          <w:sz w:val="20"/>
          <w:szCs w:val="20"/>
          <w:u w:val="single"/>
          <w:lang w:val="en-AU"/>
        </w:rPr>
        <w:t>scalation FY0</w:t>
      </w:r>
      <w:r>
        <w:rPr>
          <w:rFonts w:asciiTheme="minorHAnsi" w:hAnsiTheme="minorHAnsi" w:cstheme="minorHAnsi"/>
          <w:sz w:val="20"/>
          <w:szCs w:val="20"/>
          <w:u w:val="single"/>
          <w:lang w:val="en-AU"/>
        </w:rPr>
        <w:t xml:space="preserve"> (202</w:t>
      </w:r>
      <w:r w:rsidR="006B009C">
        <w:rPr>
          <w:rFonts w:asciiTheme="minorHAnsi" w:hAnsiTheme="minorHAnsi" w:cstheme="minorHAnsi"/>
          <w:sz w:val="20"/>
          <w:szCs w:val="20"/>
          <w:u w:val="single"/>
          <w:lang w:val="en-AU"/>
        </w:rPr>
        <w:t>3</w:t>
      </w:r>
      <w:r w:rsidR="0016656F">
        <w:rPr>
          <w:rFonts w:asciiTheme="minorHAnsi" w:hAnsiTheme="minorHAnsi" w:cstheme="minorHAnsi"/>
          <w:sz w:val="20"/>
          <w:szCs w:val="20"/>
          <w:u w:val="single"/>
          <w:lang w:val="en-AU"/>
        </w:rPr>
        <w:t>-</w:t>
      </w:r>
      <w:r>
        <w:rPr>
          <w:rFonts w:asciiTheme="minorHAnsi" w:hAnsiTheme="minorHAnsi" w:cstheme="minorHAnsi"/>
          <w:sz w:val="20"/>
          <w:szCs w:val="20"/>
          <w:u w:val="single"/>
          <w:lang w:val="en-AU"/>
        </w:rPr>
        <w:t>2</w:t>
      </w:r>
      <w:r w:rsidR="006B009C">
        <w:rPr>
          <w:rFonts w:asciiTheme="minorHAnsi" w:hAnsiTheme="minorHAnsi" w:cstheme="minorHAnsi"/>
          <w:sz w:val="20"/>
          <w:szCs w:val="20"/>
          <w:u w:val="single"/>
          <w:lang w:val="en-AU"/>
        </w:rPr>
        <w:t>4</w:t>
      </w:r>
      <w:r>
        <w:rPr>
          <w:rFonts w:asciiTheme="minorHAnsi" w:hAnsiTheme="minorHAnsi" w:cstheme="minorHAnsi"/>
          <w:sz w:val="20"/>
          <w:szCs w:val="20"/>
          <w:u w:val="single"/>
          <w:lang w:val="en-AU"/>
        </w:rPr>
        <w:t>)</w:t>
      </w:r>
      <w:r w:rsidRPr="006B0525">
        <w:rPr>
          <w:rFonts w:asciiTheme="minorHAnsi" w:hAnsiTheme="minorHAnsi" w:cstheme="minorHAnsi"/>
          <w:sz w:val="20"/>
          <w:szCs w:val="20"/>
          <w:u w:val="single"/>
          <w:lang w:val="en-AU"/>
        </w:rPr>
        <w:t xml:space="preserve"> </w:t>
      </w:r>
    </w:p>
    <w:p w14:paraId="21F10758" w14:textId="0746F805" w:rsidR="00754529" w:rsidRPr="006B0525" w:rsidRDefault="00754529" w:rsidP="009B365A">
      <w:pPr>
        <w:pStyle w:val="Default"/>
        <w:spacing w:line="276" w:lineRule="auto"/>
        <w:ind w:left="567"/>
        <w:rPr>
          <w:rFonts w:asciiTheme="minorHAnsi" w:hAnsiTheme="minorHAnsi" w:cstheme="minorHAnsi"/>
          <w:color w:val="FF0000"/>
          <w:sz w:val="20"/>
          <w:szCs w:val="20"/>
          <w:lang w:val="en-AU"/>
        </w:rPr>
      </w:pPr>
      <w:r>
        <w:rPr>
          <w:rFonts w:asciiTheme="minorHAnsi" w:hAnsiTheme="minorHAnsi" w:cstheme="minorHAnsi"/>
          <w:sz w:val="20"/>
          <w:szCs w:val="20"/>
          <w:lang w:val="en-AU"/>
        </w:rPr>
        <w:t>= 30/6/</w:t>
      </w:r>
      <w:r w:rsidR="0016656F">
        <w:rPr>
          <w:rFonts w:asciiTheme="minorHAnsi" w:hAnsiTheme="minorHAnsi" w:cstheme="minorHAnsi"/>
          <w:sz w:val="20"/>
          <w:szCs w:val="20"/>
          <w:lang w:val="en-AU"/>
        </w:rPr>
        <w:t>20</w:t>
      </w:r>
      <w:r>
        <w:rPr>
          <w:rFonts w:asciiTheme="minorHAnsi" w:hAnsiTheme="minorHAnsi" w:cstheme="minorHAnsi"/>
          <w:sz w:val="20"/>
          <w:szCs w:val="20"/>
          <w:lang w:val="en-AU"/>
        </w:rPr>
        <w:t>2</w:t>
      </w:r>
      <w:r w:rsidR="0058577E">
        <w:rPr>
          <w:rFonts w:asciiTheme="minorHAnsi" w:hAnsiTheme="minorHAnsi" w:cstheme="minorHAnsi"/>
          <w:sz w:val="20"/>
          <w:szCs w:val="20"/>
          <w:lang w:val="en-AU"/>
        </w:rPr>
        <w:t>4</w:t>
      </w:r>
      <w:r>
        <w:rPr>
          <w:rFonts w:asciiTheme="minorHAnsi" w:hAnsiTheme="minorHAnsi" w:cstheme="minorHAnsi"/>
          <w:sz w:val="20"/>
          <w:szCs w:val="20"/>
          <w:lang w:val="en-AU"/>
        </w:rPr>
        <w:t xml:space="preserve"> – 15/4/</w:t>
      </w:r>
      <w:r w:rsidR="0016656F">
        <w:rPr>
          <w:rFonts w:asciiTheme="minorHAnsi" w:hAnsiTheme="minorHAnsi" w:cstheme="minorHAnsi"/>
          <w:sz w:val="20"/>
          <w:szCs w:val="20"/>
          <w:lang w:val="en-AU"/>
        </w:rPr>
        <w:t>20</w:t>
      </w:r>
      <w:r>
        <w:rPr>
          <w:rFonts w:asciiTheme="minorHAnsi" w:hAnsiTheme="minorHAnsi" w:cstheme="minorHAnsi"/>
          <w:sz w:val="20"/>
          <w:szCs w:val="20"/>
          <w:lang w:val="en-AU"/>
        </w:rPr>
        <w:t>2</w:t>
      </w:r>
      <w:r w:rsidR="0058577E">
        <w:rPr>
          <w:rFonts w:asciiTheme="minorHAnsi" w:hAnsiTheme="minorHAnsi" w:cstheme="minorHAnsi"/>
          <w:sz w:val="20"/>
          <w:szCs w:val="20"/>
          <w:lang w:val="en-AU"/>
        </w:rPr>
        <w:t>4</w:t>
      </w:r>
      <w:r>
        <w:rPr>
          <w:rFonts w:asciiTheme="minorHAnsi" w:hAnsiTheme="minorHAnsi" w:cstheme="minorHAnsi"/>
          <w:sz w:val="20"/>
          <w:szCs w:val="20"/>
          <w:lang w:val="en-AU"/>
        </w:rPr>
        <w:t xml:space="preserve"> = 76 Days / 365 = 20.82% x </w:t>
      </w:r>
      <w:r w:rsidR="0058577E">
        <w:rPr>
          <w:rFonts w:asciiTheme="minorHAnsi" w:hAnsiTheme="minorHAnsi" w:cstheme="minorHAnsi"/>
          <w:sz w:val="20"/>
          <w:szCs w:val="20"/>
          <w:lang w:val="en-AU"/>
        </w:rPr>
        <w:t>2.19</w:t>
      </w:r>
      <w:r>
        <w:rPr>
          <w:rFonts w:asciiTheme="minorHAnsi" w:hAnsiTheme="minorHAnsi" w:cstheme="minorHAnsi"/>
          <w:sz w:val="20"/>
          <w:szCs w:val="20"/>
          <w:lang w:val="en-AU"/>
        </w:rPr>
        <w:t>% (</w:t>
      </w:r>
      <w:r w:rsidR="0016656F">
        <w:rPr>
          <w:rFonts w:asciiTheme="minorHAnsi" w:hAnsiTheme="minorHAnsi" w:cstheme="minorHAnsi"/>
          <w:sz w:val="20"/>
          <w:szCs w:val="20"/>
          <w:lang w:val="en-AU"/>
        </w:rPr>
        <w:t>20</w:t>
      </w:r>
      <w:r>
        <w:rPr>
          <w:rFonts w:asciiTheme="minorHAnsi" w:hAnsiTheme="minorHAnsi" w:cstheme="minorHAnsi"/>
          <w:sz w:val="20"/>
          <w:szCs w:val="20"/>
          <w:lang w:val="en-AU"/>
        </w:rPr>
        <w:t>2</w:t>
      </w:r>
      <w:r w:rsidR="0058577E">
        <w:rPr>
          <w:rFonts w:asciiTheme="minorHAnsi" w:hAnsiTheme="minorHAnsi" w:cstheme="minorHAnsi"/>
          <w:sz w:val="20"/>
          <w:szCs w:val="20"/>
          <w:lang w:val="en-AU"/>
        </w:rPr>
        <w:t>3</w:t>
      </w:r>
      <w:r w:rsidR="0016656F">
        <w:rPr>
          <w:rFonts w:asciiTheme="minorHAnsi" w:hAnsiTheme="minorHAnsi" w:cstheme="minorHAnsi"/>
          <w:sz w:val="20"/>
          <w:szCs w:val="20"/>
          <w:lang w:val="en-AU"/>
        </w:rPr>
        <w:t>-</w:t>
      </w:r>
      <w:r>
        <w:rPr>
          <w:rFonts w:asciiTheme="minorHAnsi" w:hAnsiTheme="minorHAnsi" w:cstheme="minorHAnsi"/>
          <w:sz w:val="20"/>
          <w:szCs w:val="20"/>
          <w:lang w:val="en-AU"/>
        </w:rPr>
        <w:t>2</w:t>
      </w:r>
      <w:r w:rsidR="0058577E">
        <w:rPr>
          <w:rFonts w:asciiTheme="minorHAnsi" w:hAnsiTheme="minorHAnsi" w:cstheme="minorHAnsi"/>
          <w:sz w:val="20"/>
          <w:szCs w:val="20"/>
          <w:lang w:val="en-AU"/>
        </w:rPr>
        <w:t>4</w:t>
      </w:r>
      <w:r>
        <w:rPr>
          <w:rFonts w:asciiTheme="minorHAnsi" w:hAnsiTheme="minorHAnsi" w:cstheme="minorHAnsi"/>
          <w:sz w:val="20"/>
          <w:szCs w:val="20"/>
          <w:lang w:val="en-AU"/>
        </w:rPr>
        <w:t xml:space="preserve"> escalation rate) = </w:t>
      </w:r>
      <w:r w:rsidRPr="00E850A4">
        <w:rPr>
          <w:rFonts w:asciiTheme="minorHAnsi" w:hAnsiTheme="minorHAnsi" w:cstheme="minorHAnsi"/>
          <w:color w:val="FF0000"/>
          <w:sz w:val="20"/>
          <w:szCs w:val="20"/>
          <w:lang w:val="en-AU"/>
        </w:rPr>
        <w:t>0.</w:t>
      </w:r>
      <w:r w:rsidR="00200FE8">
        <w:rPr>
          <w:rFonts w:asciiTheme="minorHAnsi" w:hAnsiTheme="minorHAnsi" w:cstheme="minorHAnsi"/>
          <w:color w:val="FF0000"/>
          <w:sz w:val="20"/>
          <w:szCs w:val="20"/>
          <w:lang w:val="en-AU"/>
        </w:rPr>
        <w:t>46</w:t>
      </w:r>
      <w:r w:rsidRPr="00E850A4">
        <w:rPr>
          <w:rFonts w:asciiTheme="minorHAnsi" w:hAnsiTheme="minorHAnsi" w:cstheme="minorHAnsi"/>
          <w:color w:val="FF0000"/>
          <w:sz w:val="20"/>
          <w:szCs w:val="20"/>
          <w:lang w:val="en-AU"/>
        </w:rPr>
        <w:t>%</w:t>
      </w:r>
    </w:p>
    <w:p w14:paraId="36B380E1"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1F63FD46" w14:textId="53EC1F7D" w:rsidR="00754529" w:rsidRPr="006B0525" w:rsidRDefault="00754529" w:rsidP="009B365A">
      <w:pPr>
        <w:pStyle w:val="Default"/>
        <w:spacing w:line="276" w:lineRule="auto"/>
        <w:ind w:left="567"/>
        <w:rPr>
          <w:rFonts w:asciiTheme="minorHAnsi" w:hAnsiTheme="minorHAnsi" w:cstheme="minorHAnsi"/>
          <w:sz w:val="20"/>
          <w:szCs w:val="20"/>
          <w:u w:val="single"/>
          <w:lang w:val="en-AU"/>
        </w:rPr>
      </w:pPr>
      <w:r w:rsidRPr="006B0525">
        <w:rPr>
          <w:rFonts w:asciiTheme="minorHAnsi" w:hAnsiTheme="minorHAnsi" w:cstheme="minorHAnsi"/>
          <w:sz w:val="20"/>
          <w:szCs w:val="20"/>
          <w:u w:val="single"/>
          <w:lang w:val="en-AU"/>
        </w:rPr>
        <w:t xml:space="preserve">Effective </w:t>
      </w:r>
      <w:r>
        <w:rPr>
          <w:rFonts w:asciiTheme="minorHAnsi" w:hAnsiTheme="minorHAnsi" w:cstheme="minorHAnsi"/>
          <w:sz w:val="20"/>
          <w:szCs w:val="20"/>
          <w:u w:val="single"/>
          <w:lang w:val="en-AU"/>
        </w:rPr>
        <w:t>e</w:t>
      </w:r>
      <w:r w:rsidRPr="006B0525">
        <w:rPr>
          <w:rFonts w:asciiTheme="minorHAnsi" w:hAnsiTheme="minorHAnsi" w:cstheme="minorHAnsi"/>
          <w:sz w:val="20"/>
          <w:szCs w:val="20"/>
          <w:u w:val="single"/>
          <w:lang w:val="en-AU"/>
        </w:rPr>
        <w:t>scalation FY1</w:t>
      </w:r>
      <w:r>
        <w:rPr>
          <w:rFonts w:asciiTheme="minorHAnsi" w:hAnsiTheme="minorHAnsi" w:cstheme="minorHAnsi"/>
          <w:sz w:val="20"/>
          <w:szCs w:val="20"/>
          <w:u w:val="single"/>
          <w:lang w:val="en-AU"/>
        </w:rPr>
        <w:t xml:space="preserve"> (</w:t>
      </w:r>
      <w:r w:rsidR="0058577E">
        <w:rPr>
          <w:rFonts w:asciiTheme="minorHAnsi" w:hAnsiTheme="minorHAnsi" w:cstheme="minorHAnsi"/>
          <w:sz w:val="20"/>
          <w:szCs w:val="20"/>
          <w:u w:val="single"/>
          <w:lang w:val="en-AU"/>
        </w:rPr>
        <w:t>202</w:t>
      </w:r>
      <w:r w:rsidR="006E30D5">
        <w:rPr>
          <w:rFonts w:asciiTheme="minorHAnsi" w:hAnsiTheme="minorHAnsi" w:cstheme="minorHAnsi"/>
          <w:sz w:val="20"/>
          <w:szCs w:val="20"/>
          <w:u w:val="single"/>
          <w:lang w:val="en-AU"/>
        </w:rPr>
        <w:t>4</w:t>
      </w:r>
      <w:r w:rsidR="0058577E">
        <w:rPr>
          <w:rFonts w:asciiTheme="minorHAnsi" w:hAnsiTheme="minorHAnsi" w:cstheme="minorHAnsi"/>
          <w:sz w:val="20"/>
          <w:szCs w:val="20"/>
          <w:u w:val="single"/>
          <w:lang w:val="en-AU"/>
        </w:rPr>
        <w:t>-2</w:t>
      </w:r>
      <w:r w:rsidR="006E30D5">
        <w:rPr>
          <w:rFonts w:asciiTheme="minorHAnsi" w:hAnsiTheme="minorHAnsi" w:cstheme="minorHAnsi"/>
          <w:sz w:val="20"/>
          <w:szCs w:val="20"/>
          <w:u w:val="single"/>
          <w:lang w:val="en-AU"/>
        </w:rPr>
        <w:t>5</w:t>
      </w:r>
      <w:r>
        <w:rPr>
          <w:rFonts w:asciiTheme="minorHAnsi" w:hAnsiTheme="minorHAnsi" w:cstheme="minorHAnsi"/>
          <w:sz w:val="20"/>
          <w:szCs w:val="20"/>
          <w:u w:val="single"/>
          <w:lang w:val="en-AU"/>
        </w:rPr>
        <w:t>)</w:t>
      </w:r>
    </w:p>
    <w:p w14:paraId="59F82F7C" w14:textId="7F9E64C8" w:rsidR="00754529" w:rsidRPr="006B0525" w:rsidRDefault="00754529" w:rsidP="009B365A">
      <w:pPr>
        <w:pStyle w:val="Default"/>
        <w:spacing w:line="276" w:lineRule="auto"/>
        <w:ind w:left="567"/>
        <w:rPr>
          <w:rFonts w:asciiTheme="minorHAnsi" w:hAnsiTheme="minorHAnsi" w:cstheme="minorHAnsi"/>
          <w:color w:val="671F20" w:themeColor="accent6" w:themeShade="BF"/>
          <w:sz w:val="20"/>
          <w:szCs w:val="20"/>
          <w:lang w:val="en-AU"/>
        </w:rPr>
      </w:pPr>
      <w:r>
        <w:rPr>
          <w:rFonts w:asciiTheme="minorHAnsi" w:hAnsiTheme="minorHAnsi" w:cstheme="minorHAnsi"/>
          <w:sz w:val="20"/>
          <w:szCs w:val="20"/>
          <w:lang w:val="en-AU"/>
        </w:rPr>
        <w:t xml:space="preserve">= Lodgement and completion dates outside of Financial Year, adopt 100% of escalation rate = 100% x </w:t>
      </w:r>
      <w:r w:rsidR="00F1415B">
        <w:rPr>
          <w:rFonts w:asciiTheme="minorHAnsi" w:hAnsiTheme="minorHAnsi" w:cstheme="minorHAnsi"/>
          <w:sz w:val="20"/>
          <w:szCs w:val="20"/>
          <w:lang w:val="en-AU"/>
        </w:rPr>
        <w:t>1.94</w:t>
      </w:r>
      <w:r>
        <w:rPr>
          <w:rFonts w:asciiTheme="minorHAnsi" w:hAnsiTheme="minorHAnsi" w:cstheme="minorHAnsi"/>
          <w:sz w:val="20"/>
          <w:szCs w:val="20"/>
          <w:lang w:val="en-AU"/>
        </w:rPr>
        <w:t xml:space="preserve">% = </w:t>
      </w:r>
      <w:r w:rsidR="000E59CF">
        <w:rPr>
          <w:rFonts w:asciiTheme="minorHAnsi" w:hAnsiTheme="minorHAnsi" w:cstheme="minorHAnsi"/>
          <w:color w:val="00B050"/>
          <w:sz w:val="20"/>
          <w:szCs w:val="20"/>
          <w:lang w:val="en-AU"/>
        </w:rPr>
        <w:t>1.94</w:t>
      </w:r>
      <w:r w:rsidRPr="00AF7BDB">
        <w:rPr>
          <w:rFonts w:asciiTheme="minorHAnsi" w:hAnsiTheme="minorHAnsi" w:cstheme="minorHAnsi"/>
          <w:color w:val="00B050"/>
          <w:sz w:val="20"/>
          <w:szCs w:val="20"/>
          <w:lang w:val="en-AU"/>
        </w:rPr>
        <w:t>%</w:t>
      </w:r>
    </w:p>
    <w:p w14:paraId="214285B6"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10104C8B" w14:textId="36074BE2" w:rsidR="00754529" w:rsidRPr="006B0525" w:rsidRDefault="00754529" w:rsidP="009B365A">
      <w:pPr>
        <w:pStyle w:val="Default"/>
        <w:spacing w:line="276" w:lineRule="auto"/>
        <w:ind w:left="567"/>
        <w:rPr>
          <w:rFonts w:asciiTheme="minorHAnsi" w:hAnsiTheme="minorHAnsi" w:cstheme="minorHAnsi"/>
          <w:sz w:val="20"/>
          <w:szCs w:val="20"/>
          <w:u w:val="single"/>
          <w:lang w:val="en-AU"/>
        </w:rPr>
      </w:pPr>
      <w:r w:rsidRPr="006B0525">
        <w:rPr>
          <w:rFonts w:asciiTheme="minorHAnsi" w:hAnsiTheme="minorHAnsi" w:cstheme="minorHAnsi"/>
          <w:sz w:val="20"/>
          <w:szCs w:val="20"/>
          <w:u w:val="single"/>
          <w:lang w:val="en-AU"/>
        </w:rPr>
        <w:t xml:space="preserve">Effective </w:t>
      </w:r>
      <w:r>
        <w:rPr>
          <w:rFonts w:asciiTheme="minorHAnsi" w:hAnsiTheme="minorHAnsi" w:cstheme="minorHAnsi"/>
          <w:sz w:val="20"/>
          <w:szCs w:val="20"/>
          <w:u w:val="single"/>
          <w:lang w:val="en-AU"/>
        </w:rPr>
        <w:t>e</w:t>
      </w:r>
      <w:r w:rsidRPr="006B0525">
        <w:rPr>
          <w:rFonts w:asciiTheme="minorHAnsi" w:hAnsiTheme="minorHAnsi" w:cstheme="minorHAnsi"/>
          <w:sz w:val="20"/>
          <w:szCs w:val="20"/>
          <w:u w:val="single"/>
          <w:lang w:val="en-AU"/>
        </w:rPr>
        <w:t>scalation FY2</w:t>
      </w:r>
      <w:r>
        <w:rPr>
          <w:rFonts w:asciiTheme="minorHAnsi" w:hAnsiTheme="minorHAnsi" w:cstheme="minorHAnsi"/>
          <w:sz w:val="20"/>
          <w:szCs w:val="20"/>
          <w:u w:val="single"/>
          <w:lang w:val="en-AU"/>
        </w:rPr>
        <w:t xml:space="preserve"> (</w:t>
      </w:r>
      <w:r w:rsidR="000E59CF">
        <w:rPr>
          <w:rFonts w:asciiTheme="minorHAnsi" w:hAnsiTheme="minorHAnsi" w:cstheme="minorHAnsi"/>
          <w:sz w:val="20"/>
          <w:szCs w:val="20"/>
          <w:u w:val="single"/>
          <w:lang w:val="en-AU"/>
        </w:rPr>
        <w:t>2025-2026</w:t>
      </w:r>
      <w:r>
        <w:rPr>
          <w:rFonts w:asciiTheme="minorHAnsi" w:hAnsiTheme="minorHAnsi" w:cstheme="minorHAnsi"/>
          <w:sz w:val="20"/>
          <w:szCs w:val="20"/>
          <w:u w:val="single"/>
          <w:lang w:val="en-AU"/>
        </w:rPr>
        <w:t>)</w:t>
      </w:r>
    </w:p>
    <w:p w14:paraId="5C553787" w14:textId="46D0876D" w:rsidR="00754529" w:rsidRPr="006B0525" w:rsidRDefault="00754529" w:rsidP="009B365A">
      <w:pPr>
        <w:pStyle w:val="Default"/>
        <w:spacing w:line="276" w:lineRule="auto"/>
        <w:ind w:left="567"/>
        <w:rPr>
          <w:rFonts w:asciiTheme="minorHAnsi" w:hAnsiTheme="minorHAnsi" w:cstheme="minorHAnsi"/>
          <w:color w:val="0063A6" w:themeColor="accent1"/>
          <w:sz w:val="20"/>
          <w:szCs w:val="20"/>
          <w:lang w:val="en-AU"/>
        </w:rPr>
      </w:pPr>
      <w:r>
        <w:rPr>
          <w:rFonts w:asciiTheme="minorHAnsi" w:hAnsiTheme="minorHAnsi" w:cstheme="minorHAnsi"/>
          <w:sz w:val="20"/>
          <w:szCs w:val="20"/>
          <w:lang w:val="en-AU"/>
        </w:rPr>
        <w:t>= 1/5/2</w:t>
      </w:r>
      <w:r w:rsidR="000E59CF">
        <w:rPr>
          <w:rFonts w:asciiTheme="minorHAnsi" w:hAnsiTheme="minorHAnsi" w:cstheme="minorHAnsi"/>
          <w:sz w:val="20"/>
          <w:szCs w:val="20"/>
          <w:lang w:val="en-AU"/>
        </w:rPr>
        <w:t>6</w:t>
      </w:r>
      <w:r>
        <w:rPr>
          <w:rFonts w:asciiTheme="minorHAnsi" w:hAnsiTheme="minorHAnsi" w:cstheme="minorHAnsi"/>
          <w:sz w:val="20"/>
          <w:szCs w:val="20"/>
          <w:lang w:val="en-AU"/>
        </w:rPr>
        <w:t xml:space="preserve"> – 1/7/2</w:t>
      </w:r>
      <w:r w:rsidR="000E59CF">
        <w:rPr>
          <w:rFonts w:asciiTheme="minorHAnsi" w:hAnsiTheme="minorHAnsi" w:cstheme="minorHAnsi"/>
          <w:sz w:val="20"/>
          <w:szCs w:val="20"/>
          <w:lang w:val="en-AU"/>
        </w:rPr>
        <w:t>5</w:t>
      </w:r>
      <w:r>
        <w:rPr>
          <w:rFonts w:asciiTheme="minorHAnsi" w:hAnsiTheme="minorHAnsi" w:cstheme="minorHAnsi"/>
          <w:sz w:val="20"/>
          <w:szCs w:val="20"/>
          <w:lang w:val="en-AU"/>
        </w:rPr>
        <w:t xml:space="preserve"> = 30</w:t>
      </w:r>
      <w:r w:rsidR="001B6853">
        <w:rPr>
          <w:rFonts w:asciiTheme="minorHAnsi" w:hAnsiTheme="minorHAnsi" w:cstheme="minorHAnsi"/>
          <w:sz w:val="20"/>
          <w:szCs w:val="20"/>
          <w:lang w:val="en-AU"/>
        </w:rPr>
        <w:t>5</w:t>
      </w:r>
      <w:r>
        <w:rPr>
          <w:rFonts w:asciiTheme="minorHAnsi" w:hAnsiTheme="minorHAnsi" w:cstheme="minorHAnsi"/>
          <w:sz w:val="20"/>
          <w:szCs w:val="20"/>
          <w:lang w:val="en-AU"/>
        </w:rPr>
        <w:t xml:space="preserve"> days / 365 = 83.29% x </w:t>
      </w:r>
      <w:r w:rsidR="00200FE8">
        <w:rPr>
          <w:rFonts w:asciiTheme="minorHAnsi" w:hAnsiTheme="minorHAnsi" w:cstheme="minorHAnsi"/>
          <w:sz w:val="20"/>
          <w:szCs w:val="20"/>
          <w:lang w:val="en-AU"/>
        </w:rPr>
        <w:t>1.24</w:t>
      </w:r>
      <w:r>
        <w:rPr>
          <w:rFonts w:asciiTheme="minorHAnsi" w:hAnsiTheme="minorHAnsi" w:cstheme="minorHAnsi"/>
          <w:sz w:val="20"/>
          <w:szCs w:val="20"/>
          <w:lang w:val="en-AU"/>
        </w:rPr>
        <w:t>% (</w:t>
      </w:r>
      <w:r w:rsidR="0016656F">
        <w:rPr>
          <w:rFonts w:asciiTheme="minorHAnsi" w:hAnsiTheme="minorHAnsi" w:cstheme="minorHAnsi"/>
          <w:sz w:val="20"/>
          <w:szCs w:val="20"/>
          <w:lang w:val="en-AU"/>
        </w:rPr>
        <w:t>20</w:t>
      </w:r>
      <w:r>
        <w:rPr>
          <w:rFonts w:asciiTheme="minorHAnsi" w:hAnsiTheme="minorHAnsi" w:cstheme="minorHAnsi"/>
          <w:sz w:val="20"/>
          <w:szCs w:val="20"/>
          <w:lang w:val="en-AU"/>
        </w:rPr>
        <w:t>2</w:t>
      </w:r>
      <w:r w:rsidR="000E59CF">
        <w:rPr>
          <w:rFonts w:asciiTheme="minorHAnsi" w:hAnsiTheme="minorHAnsi" w:cstheme="minorHAnsi"/>
          <w:sz w:val="20"/>
          <w:szCs w:val="20"/>
          <w:lang w:val="en-AU"/>
        </w:rPr>
        <w:t>5</w:t>
      </w:r>
      <w:r w:rsidR="0016656F">
        <w:rPr>
          <w:rFonts w:asciiTheme="minorHAnsi" w:hAnsiTheme="minorHAnsi" w:cstheme="minorHAnsi"/>
          <w:sz w:val="20"/>
          <w:szCs w:val="20"/>
          <w:lang w:val="en-AU"/>
        </w:rPr>
        <w:t>-</w:t>
      </w:r>
      <w:r>
        <w:rPr>
          <w:rFonts w:asciiTheme="minorHAnsi" w:hAnsiTheme="minorHAnsi" w:cstheme="minorHAnsi"/>
          <w:sz w:val="20"/>
          <w:szCs w:val="20"/>
          <w:lang w:val="en-AU"/>
        </w:rPr>
        <w:t>2</w:t>
      </w:r>
      <w:r w:rsidR="000E59CF">
        <w:rPr>
          <w:rFonts w:asciiTheme="minorHAnsi" w:hAnsiTheme="minorHAnsi" w:cstheme="minorHAnsi"/>
          <w:sz w:val="20"/>
          <w:szCs w:val="20"/>
          <w:lang w:val="en-AU"/>
        </w:rPr>
        <w:t>6</w:t>
      </w:r>
      <w:r>
        <w:rPr>
          <w:rFonts w:asciiTheme="minorHAnsi" w:hAnsiTheme="minorHAnsi" w:cstheme="minorHAnsi"/>
          <w:sz w:val="20"/>
          <w:szCs w:val="20"/>
          <w:lang w:val="en-AU"/>
        </w:rPr>
        <w:t xml:space="preserve"> escalation rate) = </w:t>
      </w:r>
      <w:r w:rsidR="008C36DF">
        <w:rPr>
          <w:rFonts w:asciiTheme="minorHAnsi" w:hAnsiTheme="minorHAnsi" w:cstheme="minorHAnsi"/>
          <w:color w:val="0070C0"/>
          <w:sz w:val="20"/>
          <w:szCs w:val="20"/>
          <w:lang w:val="en-AU"/>
        </w:rPr>
        <w:t>1.0</w:t>
      </w:r>
      <w:r w:rsidR="001B6853">
        <w:rPr>
          <w:rFonts w:asciiTheme="minorHAnsi" w:hAnsiTheme="minorHAnsi" w:cstheme="minorHAnsi"/>
          <w:color w:val="0070C0"/>
          <w:sz w:val="20"/>
          <w:szCs w:val="20"/>
          <w:lang w:val="en-AU"/>
        </w:rPr>
        <w:t>4</w:t>
      </w:r>
      <w:r w:rsidRPr="00AF7BDB">
        <w:rPr>
          <w:rFonts w:asciiTheme="minorHAnsi" w:hAnsiTheme="minorHAnsi" w:cstheme="minorHAnsi"/>
          <w:color w:val="0070C0"/>
          <w:sz w:val="20"/>
          <w:szCs w:val="20"/>
          <w:lang w:val="en-AU"/>
        </w:rPr>
        <w:t>%</w:t>
      </w:r>
    </w:p>
    <w:p w14:paraId="4C401760"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51CD95D7" w14:textId="77777777" w:rsidR="00754529" w:rsidRPr="00C73554" w:rsidRDefault="00754529" w:rsidP="009B365A">
      <w:pPr>
        <w:pStyle w:val="Default"/>
        <w:spacing w:line="276" w:lineRule="auto"/>
        <w:ind w:left="567"/>
        <w:rPr>
          <w:rFonts w:asciiTheme="minorHAnsi" w:hAnsiTheme="minorHAnsi" w:cstheme="minorHAnsi"/>
          <w:b/>
          <w:bCs/>
          <w:u w:val="single"/>
          <w:lang w:val="en-AU"/>
        </w:rPr>
      </w:pPr>
      <w:r w:rsidRPr="00C73554">
        <w:rPr>
          <w:rFonts w:asciiTheme="minorHAnsi" w:hAnsiTheme="minorHAnsi" w:cstheme="minorHAnsi"/>
          <w:b/>
          <w:bCs/>
          <w:u w:val="single"/>
          <w:lang w:val="en-AU"/>
        </w:rPr>
        <w:t xml:space="preserve">Total </w:t>
      </w:r>
      <w:r>
        <w:rPr>
          <w:rFonts w:asciiTheme="minorHAnsi" w:hAnsiTheme="minorHAnsi" w:cstheme="minorHAnsi"/>
          <w:b/>
          <w:bCs/>
          <w:u w:val="single"/>
          <w:lang w:val="en-AU"/>
        </w:rPr>
        <w:t>e</w:t>
      </w:r>
      <w:r w:rsidRPr="00C73554">
        <w:rPr>
          <w:rFonts w:asciiTheme="minorHAnsi" w:hAnsiTheme="minorHAnsi" w:cstheme="minorHAnsi"/>
          <w:b/>
          <w:bCs/>
          <w:u w:val="single"/>
          <w:lang w:val="en-AU"/>
        </w:rPr>
        <w:t xml:space="preserve">scalation for </w:t>
      </w:r>
      <w:r>
        <w:rPr>
          <w:rFonts w:asciiTheme="minorHAnsi" w:hAnsiTheme="minorHAnsi" w:cstheme="minorHAnsi"/>
          <w:b/>
          <w:bCs/>
          <w:u w:val="single"/>
          <w:lang w:val="en-AU"/>
        </w:rPr>
        <w:t>p</w:t>
      </w:r>
      <w:r w:rsidRPr="00C73554">
        <w:rPr>
          <w:rFonts w:asciiTheme="minorHAnsi" w:hAnsiTheme="minorHAnsi" w:cstheme="minorHAnsi"/>
          <w:b/>
          <w:bCs/>
          <w:u w:val="single"/>
          <w:lang w:val="en-AU"/>
        </w:rPr>
        <w:t xml:space="preserve">eriod </w:t>
      </w:r>
    </w:p>
    <w:p w14:paraId="56FA3C62" w14:textId="2EE7F6D1" w:rsidR="00754529" w:rsidRPr="00C73554" w:rsidRDefault="00754529" w:rsidP="009B365A">
      <w:pPr>
        <w:pStyle w:val="Default"/>
        <w:spacing w:line="276" w:lineRule="auto"/>
        <w:ind w:left="567"/>
        <w:rPr>
          <w:rFonts w:asciiTheme="minorHAnsi" w:hAnsiTheme="minorHAnsi" w:cstheme="minorHAnsi"/>
          <w:b/>
          <w:bCs/>
          <w:u w:val="single"/>
          <w:lang w:val="en-AU"/>
        </w:rPr>
      </w:pPr>
      <w:r w:rsidRPr="00C73554">
        <w:rPr>
          <w:rFonts w:asciiTheme="minorHAnsi" w:hAnsiTheme="minorHAnsi" w:cstheme="minorHAnsi"/>
          <w:lang w:val="en-AU"/>
        </w:rPr>
        <w:t>= [(1+</w:t>
      </w:r>
      <w:r w:rsidRPr="00E850A4">
        <w:rPr>
          <w:rFonts w:asciiTheme="minorHAnsi" w:hAnsiTheme="minorHAnsi" w:cstheme="minorHAnsi"/>
          <w:color w:val="FF0000"/>
          <w:lang w:val="en-AU"/>
        </w:rPr>
        <w:t>0.</w:t>
      </w:r>
      <w:r w:rsidR="00200FE8">
        <w:rPr>
          <w:rFonts w:asciiTheme="minorHAnsi" w:hAnsiTheme="minorHAnsi" w:cstheme="minorHAnsi"/>
          <w:color w:val="FF0000"/>
          <w:lang w:val="en-AU"/>
        </w:rPr>
        <w:t>46</w:t>
      </w:r>
      <w:r w:rsidRPr="00E850A4">
        <w:rPr>
          <w:rFonts w:asciiTheme="minorHAnsi" w:hAnsiTheme="minorHAnsi" w:cstheme="minorHAnsi"/>
          <w:color w:val="FF0000"/>
          <w:lang w:val="en-AU"/>
        </w:rPr>
        <w:t>%</w:t>
      </w:r>
      <w:r w:rsidRPr="00C73554">
        <w:rPr>
          <w:rFonts w:asciiTheme="minorHAnsi" w:hAnsiTheme="minorHAnsi" w:cstheme="minorHAnsi"/>
          <w:lang w:val="en-AU"/>
        </w:rPr>
        <w:t>) x (1+</w:t>
      </w:r>
      <w:r w:rsidR="009230A2">
        <w:rPr>
          <w:rFonts w:asciiTheme="minorHAnsi" w:hAnsiTheme="minorHAnsi" w:cstheme="minorHAnsi"/>
          <w:color w:val="00B050"/>
          <w:lang w:val="en-AU"/>
        </w:rPr>
        <w:t>1.94</w:t>
      </w:r>
      <w:r w:rsidRPr="00AF7BDB">
        <w:rPr>
          <w:rFonts w:asciiTheme="minorHAnsi" w:hAnsiTheme="minorHAnsi" w:cstheme="minorHAnsi"/>
          <w:color w:val="00B050"/>
          <w:lang w:val="en-AU"/>
        </w:rPr>
        <w:t>%</w:t>
      </w:r>
      <w:r w:rsidRPr="00C73554">
        <w:rPr>
          <w:rFonts w:asciiTheme="minorHAnsi" w:hAnsiTheme="minorHAnsi" w:cstheme="minorHAnsi"/>
          <w:lang w:val="en-AU"/>
        </w:rPr>
        <w:t>) x (1+</w:t>
      </w:r>
      <w:r w:rsidR="008C36DF">
        <w:rPr>
          <w:rFonts w:asciiTheme="minorHAnsi" w:hAnsiTheme="minorHAnsi" w:cstheme="minorHAnsi"/>
          <w:color w:val="0063A6" w:themeColor="accent1"/>
          <w:lang w:val="en-AU"/>
        </w:rPr>
        <w:t>1.0</w:t>
      </w:r>
      <w:r w:rsidR="001B6853">
        <w:rPr>
          <w:rFonts w:asciiTheme="minorHAnsi" w:hAnsiTheme="minorHAnsi" w:cstheme="minorHAnsi"/>
          <w:color w:val="0063A6" w:themeColor="accent1"/>
          <w:lang w:val="en-AU"/>
        </w:rPr>
        <w:t>4</w:t>
      </w:r>
      <w:r w:rsidRPr="004A11A1">
        <w:rPr>
          <w:rFonts w:asciiTheme="minorHAnsi" w:hAnsiTheme="minorHAnsi" w:cstheme="minorHAnsi"/>
          <w:color w:val="0070C0"/>
          <w:lang w:val="en-AU"/>
        </w:rPr>
        <w:t>%</w:t>
      </w:r>
      <w:r w:rsidRPr="004A11A1">
        <w:rPr>
          <w:rFonts w:asciiTheme="minorHAnsi" w:hAnsiTheme="minorHAnsi" w:cstheme="minorHAnsi"/>
          <w:color w:val="000000" w:themeColor="text1"/>
          <w:lang w:val="en-AU"/>
        </w:rPr>
        <w:t xml:space="preserve">)] </w:t>
      </w:r>
      <w:r w:rsidRPr="00C73554">
        <w:rPr>
          <w:rFonts w:asciiTheme="minorHAnsi" w:hAnsiTheme="minorHAnsi" w:cstheme="minorHAnsi"/>
          <w:lang w:val="en-AU"/>
        </w:rPr>
        <w:t xml:space="preserve">– 1 = </w:t>
      </w:r>
      <w:r w:rsidR="007279FC">
        <w:rPr>
          <w:rFonts w:asciiTheme="minorHAnsi" w:hAnsiTheme="minorHAnsi" w:cstheme="minorHAnsi"/>
          <w:b/>
          <w:bCs/>
          <w:lang w:val="en-AU"/>
        </w:rPr>
        <w:t>3.4</w:t>
      </w:r>
      <w:r w:rsidR="001B6853">
        <w:rPr>
          <w:rFonts w:asciiTheme="minorHAnsi" w:hAnsiTheme="minorHAnsi" w:cstheme="minorHAnsi"/>
          <w:b/>
          <w:bCs/>
          <w:lang w:val="en-AU"/>
        </w:rPr>
        <w:t>3</w:t>
      </w:r>
      <w:r w:rsidRPr="00C73554">
        <w:rPr>
          <w:rFonts w:asciiTheme="minorHAnsi" w:hAnsiTheme="minorHAnsi" w:cstheme="minorHAnsi"/>
          <w:b/>
          <w:bCs/>
          <w:lang w:val="en-AU"/>
        </w:rPr>
        <w:t>%</w:t>
      </w:r>
    </w:p>
    <w:bookmarkEnd w:id="60"/>
    <w:p w14:paraId="58EB6F4A" w14:textId="77777777" w:rsidR="00754529" w:rsidRDefault="00754529" w:rsidP="00754529">
      <w:pPr>
        <w:pStyle w:val="Default"/>
        <w:tabs>
          <w:tab w:val="left" w:pos="2127"/>
        </w:tabs>
        <w:rPr>
          <w:sz w:val="20"/>
          <w:szCs w:val="20"/>
        </w:rPr>
      </w:pPr>
    </w:p>
    <w:p w14:paraId="5B19551B" w14:textId="77777777" w:rsidR="00C20852" w:rsidRDefault="00C20852">
      <w:pPr>
        <w:spacing w:before="0" w:after="0" w:line="240" w:lineRule="auto"/>
        <w:rPr>
          <w:rFonts w:asciiTheme="majorHAnsi" w:eastAsiaTheme="majorEastAsia" w:hAnsiTheme="majorHAnsi" w:cstheme="majorBidi"/>
          <w:b/>
          <w:bCs/>
          <w:color w:val="201547"/>
          <w:spacing w:val="-1"/>
          <w:sz w:val="36"/>
          <w:szCs w:val="28"/>
        </w:rPr>
      </w:pPr>
      <w:bookmarkStart w:id="63" w:name="_Toc373914674"/>
      <w:r>
        <w:br w:type="page"/>
      </w:r>
    </w:p>
    <w:p w14:paraId="75E2C3DF" w14:textId="77777777" w:rsidR="00910DAD" w:rsidRDefault="00F16B3B" w:rsidP="00A91244">
      <w:pPr>
        <w:pStyle w:val="Heading1numbered"/>
      </w:pPr>
      <w:bookmarkStart w:id="64" w:name="_Toc170127186"/>
      <w:r>
        <w:lastRenderedPageBreak/>
        <w:t xml:space="preserve">Document </w:t>
      </w:r>
      <w:r w:rsidR="006B3E25">
        <w:t>i</w:t>
      </w:r>
      <w:r w:rsidR="00910DAD" w:rsidRPr="00EE796F">
        <w:t>nformation</w:t>
      </w:r>
      <w:bookmarkEnd w:id="63"/>
      <w:bookmarkEnd w:id="64"/>
    </w:p>
    <w:p w14:paraId="178144C4" w14:textId="77777777" w:rsidR="003F394A" w:rsidRDefault="003F394A" w:rsidP="009B365A">
      <w:pPr>
        <w:pStyle w:val="NormalIndent"/>
        <w:ind w:left="0"/>
      </w:pPr>
      <w:r>
        <w:t>For the list of documentation related to cost estimation, refer to Appendix A:</w:t>
      </w:r>
      <w:r w:rsidRPr="003F394A">
        <w:t xml:space="preserve"> </w:t>
      </w:r>
      <w:r>
        <w:t xml:space="preserve">Cost </w:t>
      </w:r>
      <w:r w:rsidR="006B3E25">
        <w:t>e</w:t>
      </w:r>
      <w:r>
        <w:t xml:space="preserve">stimation </w:t>
      </w:r>
      <w:r w:rsidR="006B3E25">
        <w:t>s</w:t>
      </w:r>
      <w:r>
        <w:t xml:space="preserve">tandard </w:t>
      </w:r>
      <w:r w:rsidR="006B3E25">
        <w:t>f</w:t>
      </w:r>
      <w:r>
        <w:t xml:space="preserve">orms and </w:t>
      </w:r>
      <w:r w:rsidR="006B3E25">
        <w:t>t</w:t>
      </w:r>
      <w:r>
        <w:t>emplates.</w:t>
      </w:r>
    </w:p>
    <w:p w14:paraId="5537C554" w14:textId="77777777" w:rsidR="009F027C" w:rsidRPr="00C1511C" w:rsidRDefault="00F16B3B" w:rsidP="00A91244">
      <w:pPr>
        <w:pStyle w:val="Heading2numbered"/>
      </w:pPr>
      <w:bookmarkStart w:id="65" w:name="_Toc170127187"/>
      <w:r>
        <w:t xml:space="preserve">Document </w:t>
      </w:r>
      <w:r w:rsidR="006B3E25">
        <w:t>d</w:t>
      </w:r>
      <w:r w:rsidR="009F027C" w:rsidRPr="00C1511C">
        <w:t>etails</w:t>
      </w:r>
      <w:bookmarkEnd w:id="65"/>
    </w:p>
    <w:tbl>
      <w:tblPr>
        <w:tblStyle w:val="DTFtexttableindent"/>
        <w:tblW w:w="4553" w:type="pct"/>
        <w:tblLayout w:type="fixed"/>
        <w:tblLook w:val="0420" w:firstRow="1" w:lastRow="0" w:firstColumn="0" w:lastColumn="0" w:noHBand="0" w:noVBand="1"/>
      </w:tblPr>
      <w:tblGrid>
        <w:gridCol w:w="2068"/>
        <w:gridCol w:w="6151"/>
      </w:tblGrid>
      <w:tr w:rsidR="00910DAD" w:rsidRPr="00357D85" w14:paraId="41886959" w14:textId="77777777" w:rsidTr="00E11989">
        <w:trPr>
          <w:cnfStyle w:val="100000000000" w:firstRow="1" w:lastRow="0" w:firstColumn="0" w:lastColumn="0" w:oddVBand="0" w:evenVBand="0" w:oddHBand="0" w:evenHBand="0" w:firstRowFirstColumn="0" w:firstRowLastColumn="0" w:lastRowFirstColumn="0" w:lastRowLastColumn="0"/>
        </w:trPr>
        <w:tc>
          <w:tcPr>
            <w:tcW w:w="1258" w:type="pct"/>
          </w:tcPr>
          <w:p w14:paraId="579A1536" w14:textId="77777777" w:rsidR="00910DAD" w:rsidRPr="00357D85" w:rsidRDefault="00910DAD" w:rsidP="00247466">
            <w:pPr>
              <w:pStyle w:val="Tableheader"/>
            </w:pPr>
            <w:r w:rsidRPr="00357D85">
              <w:t>Criteria</w:t>
            </w:r>
          </w:p>
        </w:tc>
        <w:tc>
          <w:tcPr>
            <w:tcW w:w="3742" w:type="pct"/>
          </w:tcPr>
          <w:p w14:paraId="4D2C8F75" w14:textId="77777777" w:rsidR="00910DAD" w:rsidRPr="00357D85" w:rsidRDefault="00910DAD" w:rsidP="00247466">
            <w:pPr>
              <w:pStyle w:val="Tableheader"/>
            </w:pPr>
            <w:r w:rsidRPr="00357D85">
              <w:t>Details</w:t>
            </w:r>
          </w:p>
        </w:tc>
      </w:tr>
      <w:tr w:rsidR="00910DAD" w:rsidRPr="00357D85" w14:paraId="08A34C76" w14:textId="77777777" w:rsidTr="00E11989">
        <w:tc>
          <w:tcPr>
            <w:tcW w:w="1258" w:type="pct"/>
          </w:tcPr>
          <w:p w14:paraId="293E601D" w14:textId="77777777" w:rsidR="00910DAD" w:rsidRPr="00357D85" w:rsidRDefault="00633A3F" w:rsidP="00247466">
            <w:pPr>
              <w:pStyle w:val="Tabletext"/>
            </w:pPr>
            <w:r w:rsidRPr="00357D85">
              <w:t xml:space="preserve">TRIM </w:t>
            </w:r>
            <w:r w:rsidR="00910DAD" w:rsidRPr="00357D85">
              <w:t>ID:</w:t>
            </w:r>
          </w:p>
        </w:tc>
        <w:tc>
          <w:tcPr>
            <w:tcW w:w="3742" w:type="pct"/>
          </w:tcPr>
          <w:p w14:paraId="58F9F7C6" w14:textId="77777777" w:rsidR="00910DAD" w:rsidRPr="00357D85" w:rsidRDefault="00910DAD" w:rsidP="00247466">
            <w:pPr>
              <w:pStyle w:val="Tabletext"/>
            </w:pPr>
            <w:r w:rsidRPr="00357D85">
              <w:fldChar w:fldCharType="begin"/>
            </w:r>
            <w:r w:rsidRPr="00357D85">
              <w:instrText xml:space="preserve"> docproperty TrimId </w:instrText>
            </w:r>
            <w:r w:rsidRPr="00357D85">
              <w:fldChar w:fldCharType="end"/>
            </w:r>
          </w:p>
        </w:tc>
      </w:tr>
      <w:tr w:rsidR="00910DAD" w:rsidRPr="00357D85" w14:paraId="2CD74728" w14:textId="77777777" w:rsidTr="00E11989">
        <w:trPr>
          <w:cnfStyle w:val="000000010000" w:firstRow="0" w:lastRow="0" w:firstColumn="0" w:lastColumn="0" w:oddVBand="0" w:evenVBand="0" w:oddHBand="0" w:evenHBand="1" w:firstRowFirstColumn="0" w:firstRowLastColumn="0" w:lastRowFirstColumn="0" w:lastRowLastColumn="0"/>
        </w:trPr>
        <w:tc>
          <w:tcPr>
            <w:tcW w:w="1258" w:type="pct"/>
          </w:tcPr>
          <w:p w14:paraId="7BB9030F" w14:textId="77777777" w:rsidR="00910DAD" w:rsidRPr="00357D85" w:rsidRDefault="00910DAD" w:rsidP="00247466">
            <w:pPr>
              <w:pStyle w:val="Tabletext"/>
            </w:pPr>
            <w:r w:rsidRPr="00357D85">
              <w:t>Document title:</w:t>
            </w:r>
          </w:p>
        </w:tc>
        <w:tc>
          <w:tcPr>
            <w:tcW w:w="3742" w:type="pct"/>
          </w:tcPr>
          <w:p w14:paraId="03B75F7F" w14:textId="77777777" w:rsidR="00910DAD" w:rsidRPr="005326F4" w:rsidRDefault="007530A9" w:rsidP="00247466">
            <w:pPr>
              <w:pStyle w:val="Tabletext"/>
            </w:pPr>
            <w:r>
              <w:t xml:space="preserve">Guideline 3: Cost </w:t>
            </w:r>
            <w:r w:rsidR="007D2831">
              <w:t>e</w:t>
            </w:r>
            <w:r>
              <w:t xml:space="preserve">stimation </w:t>
            </w:r>
            <w:r w:rsidR="00EE0A4D">
              <w:t xml:space="preserve">for </w:t>
            </w:r>
            <w:r w:rsidR="007D2831">
              <w:t>e</w:t>
            </w:r>
            <w:r w:rsidR="00EE0A4D">
              <w:t xml:space="preserve">ssential </w:t>
            </w:r>
            <w:r w:rsidR="007D2831">
              <w:t>p</w:t>
            </w:r>
            <w:r w:rsidR="00EE0A4D">
              <w:t xml:space="preserve">ublic </w:t>
            </w:r>
            <w:r w:rsidR="007D2831">
              <w:t>a</w:t>
            </w:r>
            <w:r w:rsidR="00EE0A4D">
              <w:t>ssets</w:t>
            </w:r>
          </w:p>
        </w:tc>
      </w:tr>
      <w:tr w:rsidR="00910DAD" w:rsidRPr="00357D85" w14:paraId="4EAED3C8" w14:textId="77777777" w:rsidTr="00E11989">
        <w:tc>
          <w:tcPr>
            <w:tcW w:w="1258" w:type="pct"/>
          </w:tcPr>
          <w:p w14:paraId="59D18FF6" w14:textId="77777777" w:rsidR="00910DAD" w:rsidRPr="00357D85" w:rsidRDefault="00955183" w:rsidP="00247466">
            <w:pPr>
              <w:pStyle w:val="Tabletext"/>
            </w:pPr>
            <w:r w:rsidRPr="00357D85">
              <w:t>Document owner:</w:t>
            </w:r>
          </w:p>
        </w:tc>
        <w:tc>
          <w:tcPr>
            <w:tcW w:w="3742" w:type="pct"/>
          </w:tcPr>
          <w:p w14:paraId="578CC6AE" w14:textId="12D65B87" w:rsidR="00910DAD" w:rsidRPr="00357D85" w:rsidRDefault="00765149" w:rsidP="00247466">
            <w:pPr>
              <w:pStyle w:val="Tabletext"/>
            </w:pPr>
            <w:r>
              <w:t>Emergency Recovery Victoria</w:t>
            </w:r>
            <w:r w:rsidR="00002346">
              <w:t xml:space="preserve">, </w:t>
            </w:r>
            <w:r w:rsidR="00231C8B">
              <w:t xml:space="preserve">Department of </w:t>
            </w:r>
            <w:r w:rsidR="00002346">
              <w:t>Justice and Community Safety</w:t>
            </w:r>
          </w:p>
        </w:tc>
      </w:tr>
    </w:tbl>
    <w:p w14:paraId="23FF7FF1" w14:textId="77777777" w:rsidR="00910DAD" w:rsidRPr="00C1511C" w:rsidRDefault="00F16B3B" w:rsidP="00A91244">
      <w:pPr>
        <w:pStyle w:val="Heading2numbered"/>
      </w:pPr>
      <w:bookmarkStart w:id="66" w:name="_Toc170127188"/>
      <w:r>
        <w:t xml:space="preserve">Version </w:t>
      </w:r>
      <w:r w:rsidR="006B3E25">
        <w:t>c</w:t>
      </w:r>
      <w:r w:rsidR="00910DAD" w:rsidRPr="00C1511C">
        <w:t>ontrol</w:t>
      </w:r>
      <w:bookmarkEnd w:id="66"/>
    </w:p>
    <w:tbl>
      <w:tblPr>
        <w:tblStyle w:val="DTFtexttableindent"/>
        <w:tblW w:w="4552" w:type="pct"/>
        <w:tblLayout w:type="fixed"/>
        <w:tblLook w:val="0420" w:firstRow="1" w:lastRow="0" w:firstColumn="0" w:lastColumn="0" w:noHBand="0" w:noVBand="1"/>
      </w:tblPr>
      <w:tblGrid>
        <w:gridCol w:w="887"/>
        <w:gridCol w:w="1182"/>
        <w:gridCol w:w="3415"/>
        <w:gridCol w:w="2733"/>
      </w:tblGrid>
      <w:tr w:rsidR="007E3C85" w:rsidRPr="00357D85" w14:paraId="73C52D88" w14:textId="77777777" w:rsidTr="00777AF6">
        <w:trPr>
          <w:cnfStyle w:val="100000000000" w:firstRow="1" w:lastRow="0" w:firstColumn="0" w:lastColumn="0" w:oddVBand="0" w:evenVBand="0" w:oddHBand="0" w:evenHBand="0" w:firstRowFirstColumn="0" w:firstRowLastColumn="0" w:lastRowFirstColumn="0" w:lastRowLastColumn="0"/>
        </w:trPr>
        <w:tc>
          <w:tcPr>
            <w:tcW w:w="540" w:type="pct"/>
          </w:tcPr>
          <w:p w14:paraId="1BDC03B0" w14:textId="77777777" w:rsidR="00910DAD" w:rsidRPr="00357D85" w:rsidRDefault="00910DAD" w:rsidP="00247466">
            <w:pPr>
              <w:pStyle w:val="Tableheader"/>
            </w:pPr>
            <w:r w:rsidRPr="00357D85">
              <w:t>Version</w:t>
            </w:r>
          </w:p>
        </w:tc>
        <w:tc>
          <w:tcPr>
            <w:tcW w:w="719" w:type="pct"/>
          </w:tcPr>
          <w:p w14:paraId="6286472F" w14:textId="77777777" w:rsidR="00910DAD" w:rsidRPr="00357D85" w:rsidRDefault="00910DAD" w:rsidP="00247466">
            <w:pPr>
              <w:pStyle w:val="Tableheader"/>
            </w:pPr>
            <w:r w:rsidRPr="00357D85">
              <w:t>Date</w:t>
            </w:r>
          </w:p>
        </w:tc>
        <w:tc>
          <w:tcPr>
            <w:tcW w:w="2078" w:type="pct"/>
          </w:tcPr>
          <w:p w14:paraId="5465C485" w14:textId="77777777" w:rsidR="00910DAD" w:rsidRPr="00357D85" w:rsidRDefault="00910DAD" w:rsidP="00247466">
            <w:pPr>
              <w:pStyle w:val="Tableheader"/>
            </w:pPr>
            <w:r w:rsidRPr="00357D85">
              <w:t>Description</w:t>
            </w:r>
          </w:p>
        </w:tc>
        <w:tc>
          <w:tcPr>
            <w:tcW w:w="1663" w:type="pct"/>
          </w:tcPr>
          <w:p w14:paraId="5F30F21D" w14:textId="77777777" w:rsidR="00910DAD" w:rsidRPr="00357D85" w:rsidRDefault="00910DAD" w:rsidP="00247466">
            <w:pPr>
              <w:pStyle w:val="Tableheader"/>
            </w:pPr>
            <w:r w:rsidRPr="00357D85">
              <w:t>Author</w:t>
            </w:r>
          </w:p>
        </w:tc>
      </w:tr>
      <w:tr w:rsidR="00135A42" w:rsidRPr="00357D85" w14:paraId="29FD2D7F" w14:textId="77777777" w:rsidTr="00777AF6">
        <w:tc>
          <w:tcPr>
            <w:tcW w:w="540" w:type="pct"/>
          </w:tcPr>
          <w:p w14:paraId="6E70A2EE" w14:textId="77777777" w:rsidR="00D52ACA" w:rsidRPr="00357D85" w:rsidRDefault="00A27FA5" w:rsidP="00247466">
            <w:pPr>
              <w:pStyle w:val="Tabletext"/>
            </w:pPr>
            <w:r>
              <w:t>V1.0</w:t>
            </w:r>
          </w:p>
        </w:tc>
        <w:tc>
          <w:tcPr>
            <w:tcW w:w="719" w:type="pct"/>
          </w:tcPr>
          <w:p w14:paraId="72276D48" w14:textId="77777777" w:rsidR="00D52ACA" w:rsidRPr="00357D85" w:rsidRDefault="007530A9" w:rsidP="00247466">
            <w:pPr>
              <w:pStyle w:val="Tabletext"/>
            </w:pPr>
            <w:r>
              <w:t>12</w:t>
            </w:r>
            <w:r w:rsidR="00607617">
              <w:t xml:space="preserve"> </w:t>
            </w:r>
            <w:r w:rsidR="00645A41">
              <w:t>10</w:t>
            </w:r>
            <w:r w:rsidR="00607617">
              <w:t xml:space="preserve"> 18</w:t>
            </w:r>
          </w:p>
        </w:tc>
        <w:tc>
          <w:tcPr>
            <w:tcW w:w="2078" w:type="pct"/>
          </w:tcPr>
          <w:p w14:paraId="6D9867DA" w14:textId="77777777" w:rsidR="00D52ACA" w:rsidRPr="00357D85" w:rsidRDefault="007530A9" w:rsidP="00247466">
            <w:pPr>
              <w:pStyle w:val="Tabletext"/>
            </w:pPr>
            <w:r>
              <w:t xml:space="preserve">Issued for IDC </w:t>
            </w:r>
            <w:r w:rsidR="005468FF">
              <w:t>r</w:t>
            </w:r>
            <w:r>
              <w:t>eview</w:t>
            </w:r>
            <w:r w:rsidR="005C2F8D">
              <w:t xml:space="preserve"> </w:t>
            </w:r>
          </w:p>
        </w:tc>
        <w:tc>
          <w:tcPr>
            <w:tcW w:w="1663" w:type="pct"/>
          </w:tcPr>
          <w:p w14:paraId="0AD50A6A" w14:textId="77777777" w:rsidR="00D52ACA" w:rsidRPr="00357D85" w:rsidRDefault="00D52ACA" w:rsidP="00247466">
            <w:pPr>
              <w:pStyle w:val="Tabletext"/>
            </w:pPr>
          </w:p>
        </w:tc>
      </w:tr>
      <w:tr w:rsidR="007530A9" w:rsidRPr="00357D85" w14:paraId="1187AC4B"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70C72252" w14:textId="77777777" w:rsidR="007530A9" w:rsidRPr="00357D85" w:rsidRDefault="00A27FA5" w:rsidP="00247466">
            <w:pPr>
              <w:pStyle w:val="Tabletext"/>
            </w:pPr>
            <w:r>
              <w:t>V2.0</w:t>
            </w:r>
          </w:p>
        </w:tc>
        <w:tc>
          <w:tcPr>
            <w:tcW w:w="719" w:type="pct"/>
          </w:tcPr>
          <w:p w14:paraId="227CA50B" w14:textId="77777777" w:rsidR="007530A9" w:rsidRDefault="003B07F3" w:rsidP="00247466">
            <w:pPr>
              <w:pStyle w:val="Tabletext"/>
            </w:pPr>
            <w:r>
              <w:t>24 10 18</w:t>
            </w:r>
          </w:p>
        </w:tc>
        <w:tc>
          <w:tcPr>
            <w:tcW w:w="2078" w:type="pct"/>
          </w:tcPr>
          <w:p w14:paraId="22D45736" w14:textId="77777777" w:rsidR="007530A9" w:rsidRDefault="003F394A" w:rsidP="00247466">
            <w:pPr>
              <w:pStyle w:val="Tabletext"/>
            </w:pPr>
            <w:r>
              <w:t xml:space="preserve">Issued for IDC </w:t>
            </w:r>
            <w:r w:rsidR="005468FF">
              <w:t>a</w:t>
            </w:r>
            <w:r>
              <w:t>pproval</w:t>
            </w:r>
          </w:p>
        </w:tc>
        <w:tc>
          <w:tcPr>
            <w:tcW w:w="1663" w:type="pct"/>
          </w:tcPr>
          <w:p w14:paraId="47227FA5" w14:textId="77777777" w:rsidR="007530A9" w:rsidRPr="00357D85" w:rsidRDefault="007530A9" w:rsidP="00247466">
            <w:pPr>
              <w:pStyle w:val="Tabletext"/>
            </w:pPr>
          </w:p>
        </w:tc>
      </w:tr>
      <w:tr w:rsidR="00A27FA5" w:rsidRPr="00357D85" w14:paraId="2E3E7556" w14:textId="77777777" w:rsidTr="00777AF6">
        <w:tc>
          <w:tcPr>
            <w:tcW w:w="540" w:type="pct"/>
          </w:tcPr>
          <w:p w14:paraId="1CE97A70" w14:textId="77777777" w:rsidR="00A27FA5" w:rsidRDefault="00A27FA5" w:rsidP="00247466">
            <w:pPr>
              <w:pStyle w:val="Tabletext"/>
            </w:pPr>
            <w:r>
              <w:t>V2.1</w:t>
            </w:r>
          </w:p>
        </w:tc>
        <w:tc>
          <w:tcPr>
            <w:tcW w:w="719" w:type="pct"/>
          </w:tcPr>
          <w:p w14:paraId="440ACF36" w14:textId="77777777" w:rsidR="00A27FA5" w:rsidRDefault="00A27FA5" w:rsidP="00247466">
            <w:pPr>
              <w:pStyle w:val="Tabletext"/>
            </w:pPr>
            <w:r>
              <w:t xml:space="preserve">26 10 18 </w:t>
            </w:r>
          </w:p>
        </w:tc>
        <w:tc>
          <w:tcPr>
            <w:tcW w:w="2078" w:type="pct"/>
          </w:tcPr>
          <w:p w14:paraId="6DBC311E" w14:textId="77777777" w:rsidR="00A27FA5" w:rsidRDefault="00A27FA5" w:rsidP="00247466">
            <w:pPr>
              <w:pStyle w:val="Tabletext"/>
            </w:pPr>
            <w:r>
              <w:t xml:space="preserve">Minor updates to </w:t>
            </w:r>
            <w:r w:rsidR="005468FF">
              <w:t>f</w:t>
            </w:r>
            <w:r>
              <w:t xml:space="preserve">inal </w:t>
            </w:r>
            <w:r w:rsidR="005468FF">
              <w:t>i</w:t>
            </w:r>
            <w:r>
              <w:t xml:space="preserve">ssue </w:t>
            </w:r>
          </w:p>
        </w:tc>
        <w:tc>
          <w:tcPr>
            <w:tcW w:w="1663" w:type="pct"/>
          </w:tcPr>
          <w:p w14:paraId="67B53851" w14:textId="77777777" w:rsidR="00A27FA5" w:rsidRPr="00357D85" w:rsidRDefault="00A27FA5" w:rsidP="00247466">
            <w:pPr>
              <w:pStyle w:val="Tabletext"/>
            </w:pPr>
          </w:p>
        </w:tc>
      </w:tr>
      <w:tr w:rsidR="000E194E" w:rsidRPr="00357D85" w14:paraId="36DEB0EA"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2D282C06" w14:textId="77777777" w:rsidR="000E194E" w:rsidRDefault="000E194E" w:rsidP="00247466">
            <w:pPr>
              <w:pStyle w:val="Tabletext"/>
            </w:pPr>
            <w:r>
              <w:t xml:space="preserve">V2.2 </w:t>
            </w:r>
          </w:p>
        </w:tc>
        <w:tc>
          <w:tcPr>
            <w:tcW w:w="719" w:type="pct"/>
          </w:tcPr>
          <w:p w14:paraId="792DBC77" w14:textId="77777777" w:rsidR="000E194E" w:rsidRDefault="000E194E" w:rsidP="00247466">
            <w:pPr>
              <w:pStyle w:val="Tabletext"/>
            </w:pPr>
            <w:r>
              <w:t>30.10.18</w:t>
            </w:r>
          </w:p>
        </w:tc>
        <w:tc>
          <w:tcPr>
            <w:tcW w:w="2078" w:type="pct"/>
          </w:tcPr>
          <w:p w14:paraId="6AA41CB6" w14:textId="77777777" w:rsidR="000E194E" w:rsidRDefault="000E194E" w:rsidP="00247466">
            <w:pPr>
              <w:pStyle w:val="Tabletext"/>
            </w:pPr>
            <w:r>
              <w:t xml:space="preserve">Working </w:t>
            </w:r>
            <w:r w:rsidR="005468FF">
              <w:t>d</w:t>
            </w:r>
            <w:r>
              <w:t xml:space="preserve">ocument </w:t>
            </w:r>
          </w:p>
        </w:tc>
        <w:tc>
          <w:tcPr>
            <w:tcW w:w="1663" w:type="pct"/>
          </w:tcPr>
          <w:p w14:paraId="34EE5925" w14:textId="77777777" w:rsidR="000E194E" w:rsidRPr="00357D85" w:rsidRDefault="000E194E" w:rsidP="00247466">
            <w:pPr>
              <w:pStyle w:val="Tabletext"/>
            </w:pPr>
          </w:p>
        </w:tc>
      </w:tr>
      <w:tr w:rsidR="003D6BD5" w:rsidRPr="00357D85" w14:paraId="455C9E5B" w14:textId="77777777" w:rsidTr="00777AF6">
        <w:tc>
          <w:tcPr>
            <w:tcW w:w="540" w:type="pct"/>
          </w:tcPr>
          <w:p w14:paraId="1835DDFF" w14:textId="77777777" w:rsidR="003D6BD5" w:rsidRDefault="003D6BD5" w:rsidP="00247466">
            <w:pPr>
              <w:pStyle w:val="Tabletext"/>
            </w:pPr>
            <w:r>
              <w:t xml:space="preserve">V2.3 </w:t>
            </w:r>
          </w:p>
        </w:tc>
        <w:tc>
          <w:tcPr>
            <w:tcW w:w="719" w:type="pct"/>
          </w:tcPr>
          <w:p w14:paraId="65924312" w14:textId="77777777" w:rsidR="003D6BD5" w:rsidRDefault="003D6BD5" w:rsidP="00247466">
            <w:pPr>
              <w:pStyle w:val="Tabletext"/>
            </w:pPr>
            <w:r>
              <w:t>07.01.19</w:t>
            </w:r>
          </w:p>
        </w:tc>
        <w:tc>
          <w:tcPr>
            <w:tcW w:w="2078" w:type="pct"/>
          </w:tcPr>
          <w:p w14:paraId="3723F5A9" w14:textId="77777777" w:rsidR="003D6BD5" w:rsidRDefault="003D6BD5" w:rsidP="00247466">
            <w:pPr>
              <w:pStyle w:val="Tabletext"/>
            </w:pPr>
            <w:r>
              <w:t xml:space="preserve">Updates to glossary </w:t>
            </w:r>
          </w:p>
        </w:tc>
        <w:tc>
          <w:tcPr>
            <w:tcW w:w="1663" w:type="pct"/>
          </w:tcPr>
          <w:p w14:paraId="7994325A" w14:textId="77777777" w:rsidR="003D6BD5" w:rsidRPr="00357D85" w:rsidRDefault="003D6BD5" w:rsidP="00247466">
            <w:pPr>
              <w:pStyle w:val="Tabletext"/>
            </w:pPr>
          </w:p>
        </w:tc>
      </w:tr>
      <w:tr w:rsidR="00002346" w:rsidRPr="00357D85" w14:paraId="3020E615"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0D33E60C" w14:textId="77777777" w:rsidR="00002346" w:rsidRDefault="00002346" w:rsidP="00247466">
            <w:pPr>
              <w:pStyle w:val="Tabletext"/>
            </w:pPr>
            <w:r>
              <w:t>V2.4</w:t>
            </w:r>
          </w:p>
        </w:tc>
        <w:tc>
          <w:tcPr>
            <w:tcW w:w="719" w:type="pct"/>
          </w:tcPr>
          <w:p w14:paraId="1B0D1DCC" w14:textId="77777777" w:rsidR="00002346" w:rsidRDefault="00002346" w:rsidP="00247466">
            <w:pPr>
              <w:pStyle w:val="Tabletext"/>
            </w:pPr>
            <w:r>
              <w:t>31</w:t>
            </w:r>
            <w:r w:rsidR="00777AF6">
              <w:t>.</w:t>
            </w:r>
            <w:r>
              <w:t>10</w:t>
            </w:r>
            <w:r w:rsidR="00777AF6">
              <w:t>.</w:t>
            </w:r>
            <w:r>
              <w:t>19</w:t>
            </w:r>
          </w:p>
        </w:tc>
        <w:tc>
          <w:tcPr>
            <w:tcW w:w="2078" w:type="pct"/>
          </w:tcPr>
          <w:p w14:paraId="613CE0DE" w14:textId="77777777" w:rsidR="00002346" w:rsidRDefault="00002346" w:rsidP="00247466">
            <w:pPr>
              <w:pStyle w:val="Tabletext"/>
            </w:pPr>
            <w:r>
              <w:t>Update Administering Authority</w:t>
            </w:r>
          </w:p>
          <w:p w14:paraId="778B829B" w14:textId="77777777" w:rsidR="0069212A" w:rsidRDefault="0069212A" w:rsidP="00247466">
            <w:pPr>
              <w:pStyle w:val="Tabletext"/>
            </w:pPr>
            <w:r>
              <w:t>Minor update to Introduction</w:t>
            </w:r>
          </w:p>
        </w:tc>
        <w:tc>
          <w:tcPr>
            <w:tcW w:w="1663" w:type="pct"/>
          </w:tcPr>
          <w:p w14:paraId="3E1E6BF8" w14:textId="77777777" w:rsidR="00002346" w:rsidRPr="00357D85" w:rsidRDefault="00002346" w:rsidP="00247466">
            <w:pPr>
              <w:pStyle w:val="Tabletext"/>
            </w:pPr>
          </w:p>
        </w:tc>
      </w:tr>
      <w:tr w:rsidR="00777AF6" w:rsidRPr="00357D85" w14:paraId="4EF7D419" w14:textId="77777777" w:rsidTr="00777AF6">
        <w:tc>
          <w:tcPr>
            <w:tcW w:w="540" w:type="pct"/>
          </w:tcPr>
          <w:p w14:paraId="79277710" w14:textId="77777777" w:rsidR="00777AF6" w:rsidRPr="00BB5119" w:rsidRDefault="00777AF6" w:rsidP="00777AF6">
            <w:pPr>
              <w:pStyle w:val="Tabletext"/>
              <w:rPr>
                <w:color w:val="000000" w:themeColor="text1"/>
              </w:rPr>
            </w:pPr>
            <w:r w:rsidRPr="00BB5119">
              <w:rPr>
                <w:color w:val="000000" w:themeColor="text1"/>
              </w:rPr>
              <w:t>V2.5</w:t>
            </w:r>
          </w:p>
        </w:tc>
        <w:tc>
          <w:tcPr>
            <w:tcW w:w="719" w:type="pct"/>
          </w:tcPr>
          <w:p w14:paraId="7A0F8CEE" w14:textId="77777777" w:rsidR="00777AF6" w:rsidRPr="00BB5119" w:rsidRDefault="00777AF6" w:rsidP="00777AF6">
            <w:pPr>
              <w:pStyle w:val="Tabletext"/>
              <w:rPr>
                <w:color w:val="000000" w:themeColor="text1"/>
              </w:rPr>
            </w:pPr>
            <w:r w:rsidRPr="00BB5119">
              <w:rPr>
                <w:color w:val="000000" w:themeColor="text1"/>
              </w:rPr>
              <w:t>19.08.2020</w:t>
            </w:r>
          </w:p>
        </w:tc>
        <w:tc>
          <w:tcPr>
            <w:tcW w:w="2078" w:type="pct"/>
          </w:tcPr>
          <w:p w14:paraId="419E8ADC" w14:textId="77777777" w:rsidR="00777AF6" w:rsidRPr="00BB5119" w:rsidRDefault="00777AF6" w:rsidP="00777AF6">
            <w:pPr>
              <w:pStyle w:val="Tabletext"/>
              <w:rPr>
                <w:color w:val="000000" w:themeColor="text1"/>
              </w:rPr>
            </w:pPr>
            <w:r w:rsidRPr="00BB5119">
              <w:rPr>
                <w:color w:val="000000" w:themeColor="text1"/>
              </w:rPr>
              <w:t>Update Introduction to include reference to standard treatments for emergency works not included in this Guideline 3 and/or the Cost Estimation Tool or V Form C-RW</w:t>
            </w:r>
          </w:p>
        </w:tc>
        <w:tc>
          <w:tcPr>
            <w:tcW w:w="1663" w:type="pct"/>
          </w:tcPr>
          <w:p w14:paraId="7A41F242" w14:textId="77777777" w:rsidR="00777AF6" w:rsidRPr="00357D85" w:rsidRDefault="00777AF6" w:rsidP="00777AF6">
            <w:pPr>
              <w:pStyle w:val="Tabletext"/>
            </w:pPr>
          </w:p>
        </w:tc>
      </w:tr>
      <w:tr w:rsidR="00E144C9" w:rsidRPr="00357D85" w14:paraId="2A43F1F0"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1490A252" w14:textId="77777777" w:rsidR="00E144C9" w:rsidRPr="00BB5119" w:rsidRDefault="00214C67" w:rsidP="00777AF6">
            <w:pPr>
              <w:pStyle w:val="Tabletext"/>
              <w:rPr>
                <w:color w:val="000000" w:themeColor="text1"/>
              </w:rPr>
            </w:pPr>
            <w:r>
              <w:rPr>
                <w:color w:val="000000" w:themeColor="text1"/>
              </w:rPr>
              <w:t>V2.6</w:t>
            </w:r>
          </w:p>
        </w:tc>
        <w:tc>
          <w:tcPr>
            <w:tcW w:w="719" w:type="pct"/>
          </w:tcPr>
          <w:p w14:paraId="0BAFD219" w14:textId="77777777" w:rsidR="00E144C9" w:rsidRPr="00BB5119" w:rsidRDefault="009C0A99" w:rsidP="00777AF6">
            <w:pPr>
              <w:pStyle w:val="Tabletext"/>
              <w:rPr>
                <w:color w:val="000000" w:themeColor="text1"/>
              </w:rPr>
            </w:pPr>
            <w:r>
              <w:rPr>
                <w:color w:val="000000" w:themeColor="text1"/>
              </w:rPr>
              <w:t>19.04</w:t>
            </w:r>
            <w:r w:rsidR="00214C67">
              <w:rPr>
                <w:color w:val="000000" w:themeColor="text1"/>
              </w:rPr>
              <w:t>.202</w:t>
            </w:r>
            <w:r>
              <w:rPr>
                <w:color w:val="000000" w:themeColor="text1"/>
              </w:rPr>
              <w:t>1</w:t>
            </w:r>
          </w:p>
        </w:tc>
        <w:tc>
          <w:tcPr>
            <w:tcW w:w="2078" w:type="pct"/>
          </w:tcPr>
          <w:p w14:paraId="731BC64C" w14:textId="77777777" w:rsidR="00E144C9" w:rsidRPr="00BB5119" w:rsidRDefault="00214C67" w:rsidP="00777AF6">
            <w:pPr>
              <w:pStyle w:val="Tabletext"/>
              <w:rPr>
                <w:color w:val="000000" w:themeColor="text1"/>
              </w:rPr>
            </w:pPr>
            <w:r>
              <w:rPr>
                <w:color w:val="000000" w:themeColor="text1"/>
              </w:rPr>
              <w:t>Update to Indirect Costs, Contingency and Escalation</w:t>
            </w:r>
          </w:p>
        </w:tc>
        <w:tc>
          <w:tcPr>
            <w:tcW w:w="1663" w:type="pct"/>
          </w:tcPr>
          <w:p w14:paraId="0B933AD0" w14:textId="77777777" w:rsidR="00E144C9" w:rsidRPr="00357D85" w:rsidRDefault="00E144C9" w:rsidP="00777AF6">
            <w:pPr>
              <w:pStyle w:val="Tabletext"/>
            </w:pPr>
          </w:p>
        </w:tc>
      </w:tr>
      <w:tr w:rsidR="000F5FDB" w:rsidRPr="00357D85" w14:paraId="26DC9624" w14:textId="77777777" w:rsidTr="00777AF6">
        <w:tc>
          <w:tcPr>
            <w:tcW w:w="540" w:type="pct"/>
          </w:tcPr>
          <w:p w14:paraId="0BA55CC2" w14:textId="77777777" w:rsidR="000F5FDB" w:rsidRDefault="000F5FDB" w:rsidP="00777AF6">
            <w:pPr>
              <w:pStyle w:val="Tabletext"/>
              <w:rPr>
                <w:color w:val="000000" w:themeColor="text1"/>
              </w:rPr>
            </w:pPr>
            <w:r>
              <w:rPr>
                <w:color w:val="000000" w:themeColor="text1"/>
              </w:rPr>
              <w:t>V 3.0</w:t>
            </w:r>
          </w:p>
        </w:tc>
        <w:tc>
          <w:tcPr>
            <w:tcW w:w="719" w:type="pct"/>
          </w:tcPr>
          <w:p w14:paraId="61E42669" w14:textId="77777777" w:rsidR="000F5FDB" w:rsidRDefault="00FF4D21" w:rsidP="00777AF6">
            <w:pPr>
              <w:pStyle w:val="Tabletext"/>
              <w:rPr>
                <w:color w:val="000000" w:themeColor="text1"/>
              </w:rPr>
            </w:pPr>
            <w:r>
              <w:rPr>
                <w:color w:val="000000" w:themeColor="text1"/>
              </w:rPr>
              <w:t>15</w:t>
            </w:r>
            <w:r w:rsidR="000F5FDB">
              <w:rPr>
                <w:color w:val="000000" w:themeColor="text1"/>
              </w:rPr>
              <w:t>.10.21</w:t>
            </w:r>
          </w:p>
        </w:tc>
        <w:tc>
          <w:tcPr>
            <w:tcW w:w="2078" w:type="pct"/>
          </w:tcPr>
          <w:p w14:paraId="08A2833B" w14:textId="77777777" w:rsidR="000F5FDB" w:rsidRDefault="000F5FDB" w:rsidP="00777AF6">
            <w:pPr>
              <w:pStyle w:val="Tabletext"/>
              <w:rPr>
                <w:color w:val="000000" w:themeColor="text1"/>
              </w:rPr>
            </w:pPr>
            <w:r>
              <w:rPr>
                <w:color w:val="000000" w:themeColor="text1"/>
              </w:rPr>
              <w:t>Renamed Guideline 2 to be consistent with new Guideline names</w:t>
            </w:r>
          </w:p>
        </w:tc>
        <w:tc>
          <w:tcPr>
            <w:tcW w:w="1663" w:type="pct"/>
          </w:tcPr>
          <w:p w14:paraId="5D91364A" w14:textId="77777777" w:rsidR="000F5FDB" w:rsidRPr="00357D85" w:rsidRDefault="000F5FDB" w:rsidP="00777AF6">
            <w:pPr>
              <w:pStyle w:val="Tabletext"/>
            </w:pPr>
          </w:p>
        </w:tc>
      </w:tr>
      <w:tr w:rsidR="00FF4D21" w:rsidRPr="00357D85" w14:paraId="10359311"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7778B413" w14:textId="77777777" w:rsidR="00FF4D21" w:rsidRDefault="00FF4D21" w:rsidP="00777AF6">
            <w:pPr>
              <w:pStyle w:val="Tabletext"/>
              <w:rPr>
                <w:color w:val="000000" w:themeColor="text1"/>
              </w:rPr>
            </w:pPr>
            <w:r>
              <w:rPr>
                <w:color w:val="000000" w:themeColor="text1"/>
              </w:rPr>
              <w:t>V4.0</w:t>
            </w:r>
          </w:p>
        </w:tc>
        <w:tc>
          <w:tcPr>
            <w:tcW w:w="719" w:type="pct"/>
          </w:tcPr>
          <w:p w14:paraId="6CA1244D" w14:textId="77777777" w:rsidR="00FF4D21" w:rsidRDefault="00FF4D21" w:rsidP="00777AF6">
            <w:pPr>
              <w:pStyle w:val="Tabletext"/>
              <w:rPr>
                <w:color w:val="000000" w:themeColor="text1"/>
              </w:rPr>
            </w:pPr>
            <w:r>
              <w:rPr>
                <w:color w:val="000000" w:themeColor="text1"/>
              </w:rPr>
              <w:t>01.03.22</w:t>
            </w:r>
          </w:p>
        </w:tc>
        <w:tc>
          <w:tcPr>
            <w:tcW w:w="2078" w:type="pct"/>
          </w:tcPr>
          <w:p w14:paraId="7CFA9149" w14:textId="77777777" w:rsidR="00FF4D21" w:rsidRDefault="00FF4D21" w:rsidP="00777AF6">
            <w:pPr>
              <w:pStyle w:val="Tabletext"/>
              <w:rPr>
                <w:color w:val="000000" w:themeColor="text1"/>
              </w:rPr>
            </w:pPr>
            <w:r>
              <w:rPr>
                <w:color w:val="000000" w:themeColor="text1"/>
              </w:rPr>
              <w:t>Links added to Appendices (page 25)</w:t>
            </w:r>
          </w:p>
          <w:p w14:paraId="33A48C57" w14:textId="77777777" w:rsidR="00D20058" w:rsidRDefault="00D20058" w:rsidP="00777AF6">
            <w:pPr>
              <w:pStyle w:val="Tabletext"/>
              <w:rPr>
                <w:color w:val="000000" w:themeColor="text1"/>
              </w:rPr>
            </w:pPr>
            <w:r>
              <w:rPr>
                <w:color w:val="000000" w:themeColor="text1"/>
              </w:rPr>
              <w:t>Minor updates on development of a Cost escalation calculator tool, indirect cost calculator and contingency calculation tool (Page 10, 16, 20 and 22)</w:t>
            </w:r>
          </w:p>
          <w:p w14:paraId="4AA8B1F5" w14:textId="10B1CD44" w:rsidR="0002211D" w:rsidRDefault="0002211D" w:rsidP="00777AF6">
            <w:pPr>
              <w:pStyle w:val="Tabletext"/>
              <w:rPr>
                <w:color w:val="000000" w:themeColor="text1"/>
              </w:rPr>
            </w:pPr>
            <w:r>
              <w:rPr>
                <w:color w:val="000000" w:themeColor="text1"/>
              </w:rPr>
              <w:t xml:space="preserve">Reference to EMV replaced with </w:t>
            </w:r>
            <w:r w:rsidR="00765149">
              <w:rPr>
                <w:color w:val="000000" w:themeColor="text1"/>
              </w:rPr>
              <w:t>Emergency Recovery Victoria</w:t>
            </w:r>
          </w:p>
        </w:tc>
        <w:tc>
          <w:tcPr>
            <w:tcW w:w="1663" w:type="pct"/>
          </w:tcPr>
          <w:p w14:paraId="44BFE15D" w14:textId="77777777" w:rsidR="00FF4D21" w:rsidRPr="00357D85" w:rsidRDefault="00FF4D21" w:rsidP="00777AF6">
            <w:pPr>
              <w:pStyle w:val="Tabletext"/>
            </w:pPr>
          </w:p>
        </w:tc>
      </w:tr>
      <w:tr w:rsidR="005962EA" w:rsidRPr="00357D85" w14:paraId="55AA9122" w14:textId="77777777" w:rsidTr="00777AF6">
        <w:tc>
          <w:tcPr>
            <w:tcW w:w="540" w:type="pct"/>
          </w:tcPr>
          <w:p w14:paraId="7257A453" w14:textId="77777777" w:rsidR="005962EA" w:rsidRDefault="005962EA" w:rsidP="00777AF6">
            <w:pPr>
              <w:pStyle w:val="Tabletext"/>
              <w:rPr>
                <w:color w:val="000000" w:themeColor="text1"/>
              </w:rPr>
            </w:pPr>
            <w:r>
              <w:rPr>
                <w:color w:val="000000" w:themeColor="text1"/>
              </w:rPr>
              <w:lastRenderedPageBreak/>
              <w:t>V5.0</w:t>
            </w:r>
          </w:p>
        </w:tc>
        <w:tc>
          <w:tcPr>
            <w:tcW w:w="719" w:type="pct"/>
          </w:tcPr>
          <w:p w14:paraId="27480A5A" w14:textId="77777777" w:rsidR="005962EA" w:rsidRDefault="005962EA" w:rsidP="00777AF6">
            <w:pPr>
              <w:pStyle w:val="Tabletext"/>
              <w:rPr>
                <w:color w:val="000000" w:themeColor="text1"/>
              </w:rPr>
            </w:pPr>
            <w:r>
              <w:rPr>
                <w:color w:val="000000" w:themeColor="text1"/>
              </w:rPr>
              <w:t>30.08.22</w:t>
            </w:r>
          </w:p>
        </w:tc>
        <w:tc>
          <w:tcPr>
            <w:tcW w:w="2078" w:type="pct"/>
          </w:tcPr>
          <w:p w14:paraId="11C1DE76" w14:textId="101C5B62" w:rsidR="005962EA" w:rsidRDefault="005962EA" w:rsidP="00777AF6">
            <w:pPr>
              <w:pStyle w:val="Tabletext"/>
              <w:rPr>
                <w:color w:val="000000" w:themeColor="text1"/>
              </w:rPr>
            </w:pPr>
            <w:r>
              <w:rPr>
                <w:color w:val="000000" w:themeColor="text1"/>
              </w:rPr>
              <w:t xml:space="preserve">Reference to EMV replaced with </w:t>
            </w:r>
            <w:r w:rsidR="00765149">
              <w:rPr>
                <w:color w:val="000000" w:themeColor="text1"/>
              </w:rPr>
              <w:t>Emergency Recovery Victoria</w:t>
            </w:r>
            <w:r>
              <w:rPr>
                <w:color w:val="000000" w:themeColor="text1"/>
              </w:rPr>
              <w:t xml:space="preserve"> and Regional Roads Victoria to Department of Transport</w:t>
            </w:r>
          </w:p>
          <w:p w14:paraId="55801E72" w14:textId="77777777" w:rsidR="00FA3BBC" w:rsidRDefault="00FA3BBC" w:rsidP="00777AF6">
            <w:pPr>
              <w:pStyle w:val="Tabletext"/>
              <w:rPr>
                <w:color w:val="000000" w:themeColor="text1"/>
              </w:rPr>
            </w:pPr>
            <w:r w:rsidRPr="00FA3BBC">
              <w:rPr>
                <w:color w:val="000000" w:themeColor="text1"/>
              </w:rPr>
              <w:t>Update Introduction, Purpose and Scope to include reference to standard treatments for emergency works not included in this Guideline 3 and/or the Cost Estimation Tool or V Form C-RW</w:t>
            </w:r>
          </w:p>
          <w:p w14:paraId="2F1CE37E" w14:textId="77777777" w:rsidR="00C76D85" w:rsidRDefault="00C76D85" w:rsidP="00777AF6">
            <w:pPr>
              <w:pStyle w:val="Tabletext"/>
              <w:rPr>
                <w:color w:val="000000" w:themeColor="text1"/>
              </w:rPr>
            </w:pPr>
            <w:r>
              <w:rPr>
                <w:color w:val="000000" w:themeColor="text1"/>
              </w:rPr>
              <w:t xml:space="preserve">Updates to Glossary for Essential public asset reconstruction works and Estimated reconstruction costs </w:t>
            </w:r>
          </w:p>
        </w:tc>
        <w:tc>
          <w:tcPr>
            <w:tcW w:w="1663" w:type="pct"/>
          </w:tcPr>
          <w:p w14:paraId="025017B8" w14:textId="77777777" w:rsidR="005962EA" w:rsidRPr="00357D85" w:rsidRDefault="005962EA" w:rsidP="00777AF6">
            <w:pPr>
              <w:pStyle w:val="Tabletext"/>
            </w:pPr>
          </w:p>
        </w:tc>
      </w:tr>
      <w:tr w:rsidR="00603D4E" w:rsidRPr="00357D85" w14:paraId="2DC7B410"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00192A3C" w14:textId="3E2BBFB3" w:rsidR="00603D4E" w:rsidRDefault="003C0FD9" w:rsidP="00777AF6">
            <w:pPr>
              <w:pStyle w:val="Tabletext"/>
              <w:rPr>
                <w:color w:val="000000" w:themeColor="text1"/>
              </w:rPr>
            </w:pPr>
            <w:r>
              <w:rPr>
                <w:color w:val="000000" w:themeColor="text1"/>
              </w:rPr>
              <w:t>V6.0</w:t>
            </w:r>
          </w:p>
        </w:tc>
        <w:tc>
          <w:tcPr>
            <w:tcW w:w="719" w:type="pct"/>
          </w:tcPr>
          <w:p w14:paraId="6075FEF6" w14:textId="2F660BE6" w:rsidR="00603D4E" w:rsidRDefault="003C0FD9" w:rsidP="00777AF6">
            <w:pPr>
              <w:pStyle w:val="Tabletext"/>
              <w:rPr>
                <w:color w:val="000000" w:themeColor="text1"/>
              </w:rPr>
            </w:pPr>
            <w:r>
              <w:rPr>
                <w:color w:val="000000" w:themeColor="text1"/>
              </w:rPr>
              <w:t>06.07.23</w:t>
            </w:r>
          </w:p>
        </w:tc>
        <w:tc>
          <w:tcPr>
            <w:tcW w:w="2078" w:type="pct"/>
          </w:tcPr>
          <w:p w14:paraId="29C301EE" w14:textId="3EBBFBF9" w:rsidR="00603D4E" w:rsidRDefault="003C0FD9" w:rsidP="00777AF6">
            <w:pPr>
              <w:pStyle w:val="Tabletext"/>
              <w:rPr>
                <w:color w:val="000000" w:themeColor="text1"/>
              </w:rPr>
            </w:pPr>
            <w:r>
              <w:rPr>
                <w:color w:val="000000" w:themeColor="text1"/>
              </w:rPr>
              <w:t xml:space="preserve">Updates across the Guideline to remove reference to Sharefile and the </w:t>
            </w:r>
            <w:proofErr w:type="gramStart"/>
            <w:r>
              <w:rPr>
                <w:color w:val="000000" w:themeColor="text1"/>
              </w:rPr>
              <w:t>ACMS, and</w:t>
            </w:r>
            <w:proofErr w:type="gramEnd"/>
            <w:r>
              <w:rPr>
                <w:color w:val="000000" w:themeColor="text1"/>
              </w:rPr>
              <w:t xml:space="preserve"> include reference to the new online portal CMS.</w:t>
            </w:r>
          </w:p>
        </w:tc>
        <w:tc>
          <w:tcPr>
            <w:tcW w:w="1663" w:type="pct"/>
          </w:tcPr>
          <w:p w14:paraId="392DD16A" w14:textId="77777777" w:rsidR="00603D4E" w:rsidRPr="00357D85" w:rsidRDefault="00603D4E" w:rsidP="00777AF6">
            <w:pPr>
              <w:pStyle w:val="Tabletext"/>
            </w:pPr>
          </w:p>
        </w:tc>
      </w:tr>
      <w:tr w:rsidR="003A1746" w:rsidRPr="00357D85" w14:paraId="5612ECB8" w14:textId="77777777" w:rsidTr="00777AF6">
        <w:tc>
          <w:tcPr>
            <w:tcW w:w="540" w:type="pct"/>
          </w:tcPr>
          <w:p w14:paraId="2F32FA9B" w14:textId="45CF8234" w:rsidR="003A1746" w:rsidRPr="003F7B36" w:rsidRDefault="003A1746" w:rsidP="00777AF6">
            <w:pPr>
              <w:pStyle w:val="Tabletext"/>
            </w:pPr>
            <w:r w:rsidRPr="003F7B36">
              <w:t>V7.0</w:t>
            </w:r>
          </w:p>
        </w:tc>
        <w:tc>
          <w:tcPr>
            <w:tcW w:w="719" w:type="pct"/>
          </w:tcPr>
          <w:p w14:paraId="51C4D54A" w14:textId="31042F48" w:rsidR="003A1746" w:rsidRPr="003F7B36" w:rsidRDefault="003A1746" w:rsidP="00777AF6">
            <w:pPr>
              <w:pStyle w:val="Tabletext"/>
            </w:pPr>
            <w:r w:rsidRPr="003F7B36">
              <w:t>17.09.23</w:t>
            </w:r>
          </w:p>
        </w:tc>
        <w:tc>
          <w:tcPr>
            <w:tcW w:w="2078" w:type="pct"/>
          </w:tcPr>
          <w:p w14:paraId="07374E94" w14:textId="780F2205" w:rsidR="003A1746" w:rsidRPr="003F7B36" w:rsidRDefault="003A1746" w:rsidP="00777AF6">
            <w:pPr>
              <w:pStyle w:val="Tabletext"/>
            </w:pPr>
            <w:r w:rsidRPr="003F7B36">
              <w:t>Inclusion of Suitably qualified professional in Glossary</w:t>
            </w:r>
          </w:p>
        </w:tc>
        <w:tc>
          <w:tcPr>
            <w:tcW w:w="1663" w:type="pct"/>
          </w:tcPr>
          <w:p w14:paraId="6FCE3D4F" w14:textId="77777777" w:rsidR="003A1746" w:rsidRPr="003A1746" w:rsidRDefault="003A1746" w:rsidP="00777AF6">
            <w:pPr>
              <w:pStyle w:val="Tabletext"/>
            </w:pPr>
          </w:p>
        </w:tc>
      </w:tr>
      <w:tr w:rsidR="00701EBF" w:rsidRPr="00357D85" w14:paraId="66FF52AD"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2377A69F" w14:textId="11EDB25A" w:rsidR="00701EBF" w:rsidRPr="00701EBF" w:rsidRDefault="00701EBF" w:rsidP="00777AF6">
            <w:pPr>
              <w:pStyle w:val="Tabletext"/>
            </w:pPr>
            <w:r>
              <w:t>V8.0</w:t>
            </w:r>
          </w:p>
        </w:tc>
        <w:tc>
          <w:tcPr>
            <w:tcW w:w="719" w:type="pct"/>
          </w:tcPr>
          <w:p w14:paraId="403FDCF5" w14:textId="6AA89CA4" w:rsidR="00701EBF" w:rsidRPr="00701EBF" w:rsidRDefault="00701EBF" w:rsidP="00777AF6">
            <w:pPr>
              <w:pStyle w:val="Tabletext"/>
            </w:pPr>
            <w:r>
              <w:t>19.10.2023</w:t>
            </w:r>
          </w:p>
        </w:tc>
        <w:tc>
          <w:tcPr>
            <w:tcW w:w="2078" w:type="pct"/>
          </w:tcPr>
          <w:p w14:paraId="6D0C6982" w14:textId="79E957D8" w:rsidR="00701EBF" w:rsidRPr="00701EBF" w:rsidRDefault="00701EBF" w:rsidP="00777AF6">
            <w:pPr>
              <w:pStyle w:val="Tabletext"/>
            </w:pPr>
            <w:r>
              <w:t>Amendments to Page 6 &amp; 12 to clarify that market response is based on preferred tender</w:t>
            </w:r>
          </w:p>
        </w:tc>
        <w:tc>
          <w:tcPr>
            <w:tcW w:w="1663" w:type="pct"/>
          </w:tcPr>
          <w:p w14:paraId="10389D83" w14:textId="77777777" w:rsidR="00701EBF" w:rsidRPr="003A1746" w:rsidRDefault="00701EBF" w:rsidP="00777AF6">
            <w:pPr>
              <w:pStyle w:val="Tabletext"/>
            </w:pPr>
          </w:p>
        </w:tc>
      </w:tr>
      <w:tr w:rsidR="00DE13B7" w:rsidRPr="00357D85" w14:paraId="29061A5A" w14:textId="77777777" w:rsidTr="00777AF6">
        <w:tc>
          <w:tcPr>
            <w:tcW w:w="540" w:type="pct"/>
          </w:tcPr>
          <w:p w14:paraId="03AB9FA2" w14:textId="66981F23" w:rsidR="00DE13B7" w:rsidRDefault="00DE13B7" w:rsidP="00777AF6">
            <w:pPr>
              <w:pStyle w:val="Tabletext"/>
            </w:pPr>
            <w:r>
              <w:t>V9.0</w:t>
            </w:r>
          </w:p>
        </w:tc>
        <w:tc>
          <w:tcPr>
            <w:tcW w:w="719" w:type="pct"/>
          </w:tcPr>
          <w:p w14:paraId="6A17B010" w14:textId="1FBF8BE2" w:rsidR="00DE13B7" w:rsidRDefault="00DE13B7" w:rsidP="00777AF6">
            <w:pPr>
              <w:pStyle w:val="Tabletext"/>
            </w:pPr>
            <w:r>
              <w:t>26.02.2024</w:t>
            </w:r>
          </w:p>
        </w:tc>
        <w:tc>
          <w:tcPr>
            <w:tcW w:w="2078" w:type="pct"/>
          </w:tcPr>
          <w:p w14:paraId="29CA4814" w14:textId="63E778B5" w:rsidR="00DE13B7" w:rsidRDefault="00DE13B7" w:rsidP="00777AF6">
            <w:pPr>
              <w:pStyle w:val="Tabletext"/>
            </w:pPr>
            <w:r>
              <w:t>Amendments to Pages 21 – 22 for new cost escalation rates for 2023-24 onwards</w:t>
            </w:r>
          </w:p>
        </w:tc>
        <w:tc>
          <w:tcPr>
            <w:tcW w:w="1663" w:type="pct"/>
          </w:tcPr>
          <w:p w14:paraId="503C012E" w14:textId="77777777" w:rsidR="00DE13B7" w:rsidRPr="003A1746" w:rsidRDefault="00DE13B7" w:rsidP="00777AF6">
            <w:pPr>
              <w:pStyle w:val="Tabletext"/>
            </w:pPr>
          </w:p>
        </w:tc>
      </w:tr>
      <w:tr w:rsidR="0091551E" w:rsidRPr="00357D85" w14:paraId="04A8D3BC"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21B62271" w14:textId="1894414D" w:rsidR="0091551E" w:rsidRDefault="0091551E" w:rsidP="00777AF6">
            <w:pPr>
              <w:pStyle w:val="Tabletext"/>
            </w:pPr>
            <w:r>
              <w:t>V10.0</w:t>
            </w:r>
          </w:p>
        </w:tc>
        <w:tc>
          <w:tcPr>
            <w:tcW w:w="719" w:type="pct"/>
          </w:tcPr>
          <w:p w14:paraId="635414BA" w14:textId="011ED75F" w:rsidR="0091551E" w:rsidRDefault="00882CAA" w:rsidP="00777AF6">
            <w:pPr>
              <w:pStyle w:val="Tabletext"/>
            </w:pPr>
            <w:r>
              <w:t>03.06</w:t>
            </w:r>
            <w:r w:rsidR="0091551E">
              <w:t>.2024</w:t>
            </w:r>
          </w:p>
        </w:tc>
        <w:tc>
          <w:tcPr>
            <w:tcW w:w="2078" w:type="pct"/>
          </w:tcPr>
          <w:p w14:paraId="2BAC0EF2" w14:textId="1739127C" w:rsidR="0091551E" w:rsidRDefault="0091551E" w:rsidP="00777AF6">
            <w:pPr>
              <w:pStyle w:val="Tabletext"/>
            </w:pPr>
            <w:r>
              <w:t xml:space="preserve">Update to </w:t>
            </w:r>
            <w:r w:rsidR="00167A0B">
              <w:t xml:space="preserve">Pages 2, </w:t>
            </w:r>
            <w:r>
              <w:t xml:space="preserve">7-8 </w:t>
            </w:r>
            <w:r w:rsidR="00765149">
              <w:t xml:space="preserve">and 12 </w:t>
            </w:r>
            <w:r>
              <w:t>to clarify that recently tendered rates for maintenance or DRFA reconstruction works, may be used to inform the costing of a certified estimate where cost estimation is the selected method.</w:t>
            </w:r>
          </w:p>
        </w:tc>
        <w:tc>
          <w:tcPr>
            <w:tcW w:w="1663" w:type="pct"/>
          </w:tcPr>
          <w:p w14:paraId="02C6188F" w14:textId="77777777" w:rsidR="0091551E" w:rsidRPr="003A1746" w:rsidRDefault="0091551E" w:rsidP="00777AF6">
            <w:pPr>
              <w:pStyle w:val="Tabletext"/>
            </w:pPr>
          </w:p>
        </w:tc>
      </w:tr>
      <w:tr w:rsidR="00310314" w:rsidRPr="00357D85" w14:paraId="30C8F211" w14:textId="77777777" w:rsidTr="00777AF6">
        <w:tc>
          <w:tcPr>
            <w:tcW w:w="540" w:type="pct"/>
          </w:tcPr>
          <w:p w14:paraId="6835ADA1" w14:textId="65EFAA87" w:rsidR="00310314" w:rsidRDefault="00310314" w:rsidP="00777AF6">
            <w:pPr>
              <w:pStyle w:val="Tabletext"/>
            </w:pPr>
            <w:r>
              <w:t>V11.0</w:t>
            </w:r>
          </w:p>
        </w:tc>
        <w:tc>
          <w:tcPr>
            <w:tcW w:w="719" w:type="pct"/>
          </w:tcPr>
          <w:p w14:paraId="6E52D57F" w14:textId="6E870BEF" w:rsidR="00310314" w:rsidRDefault="00310314" w:rsidP="00777AF6">
            <w:pPr>
              <w:pStyle w:val="Tabletext"/>
            </w:pPr>
            <w:r>
              <w:t>01.11.24</w:t>
            </w:r>
          </w:p>
        </w:tc>
        <w:tc>
          <w:tcPr>
            <w:tcW w:w="2078" w:type="pct"/>
          </w:tcPr>
          <w:p w14:paraId="7AD56B6F" w14:textId="5861245C" w:rsidR="00310314" w:rsidRDefault="00310314" w:rsidP="00777AF6">
            <w:pPr>
              <w:pStyle w:val="Tabletext"/>
            </w:pPr>
            <w:r>
              <w:t xml:space="preserve">Update of Page 3 to clarify that the Market Response definition includes those costs </w:t>
            </w:r>
            <w:r>
              <w:rPr>
                <w:szCs w:val="17"/>
              </w:rPr>
              <w:t xml:space="preserve">incurred outside the allowable </w:t>
            </w:r>
            <w:proofErr w:type="gramStart"/>
            <w:r>
              <w:rPr>
                <w:szCs w:val="17"/>
              </w:rPr>
              <w:t>time period</w:t>
            </w:r>
            <w:proofErr w:type="gramEnd"/>
            <w:r>
              <w:rPr>
                <w:szCs w:val="17"/>
              </w:rPr>
              <w:t xml:space="preserve"> for either emergency </w:t>
            </w:r>
            <w:proofErr w:type="gramStart"/>
            <w:r>
              <w:rPr>
                <w:szCs w:val="17"/>
              </w:rPr>
              <w:t>works</w:t>
            </w:r>
            <w:proofErr w:type="gramEnd"/>
            <w:r>
              <w:rPr>
                <w:szCs w:val="17"/>
              </w:rPr>
              <w:t xml:space="preserve"> or immediate reconstruction works, where an extension request has not been approved.</w:t>
            </w:r>
          </w:p>
        </w:tc>
        <w:tc>
          <w:tcPr>
            <w:tcW w:w="1663" w:type="pct"/>
          </w:tcPr>
          <w:p w14:paraId="68877CBB" w14:textId="77777777" w:rsidR="00310314" w:rsidRPr="003A1746" w:rsidRDefault="00310314" w:rsidP="00777AF6">
            <w:pPr>
              <w:pStyle w:val="Tabletext"/>
            </w:pPr>
          </w:p>
        </w:tc>
      </w:tr>
      <w:tr w:rsidR="003C1814" w:rsidRPr="00357D85" w14:paraId="7D266054"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5BA07040" w14:textId="47432BE4" w:rsidR="003C1814" w:rsidRDefault="003C1814" w:rsidP="00777AF6">
            <w:pPr>
              <w:pStyle w:val="Tabletext"/>
            </w:pPr>
            <w:r>
              <w:t>V12.0</w:t>
            </w:r>
          </w:p>
        </w:tc>
        <w:tc>
          <w:tcPr>
            <w:tcW w:w="719" w:type="pct"/>
          </w:tcPr>
          <w:p w14:paraId="34FF1DDE" w14:textId="65E098B8" w:rsidR="003C1814" w:rsidRDefault="003C1814" w:rsidP="00777AF6">
            <w:pPr>
              <w:pStyle w:val="Tabletext"/>
            </w:pPr>
            <w:r>
              <w:t>26.08.25</w:t>
            </w:r>
          </w:p>
        </w:tc>
        <w:tc>
          <w:tcPr>
            <w:tcW w:w="2078" w:type="pct"/>
          </w:tcPr>
          <w:p w14:paraId="3A29A697" w14:textId="1514A465" w:rsidR="003C1814" w:rsidRDefault="003C1814" w:rsidP="00777AF6">
            <w:pPr>
              <w:pStyle w:val="Tabletext"/>
            </w:pPr>
            <w:r>
              <w:t>Update of Page</w:t>
            </w:r>
            <w:r w:rsidR="00EB5B3F">
              <w:t xml:space="preserve">s 3 and 5 to include advice from NEMA that </w:t>
            </w:r>
            <w:r w:rsidR="00E868AB">
              <w:t>should essential public asset reconstruction not proceed under Category B</w:t>
            </w:r>
            <w:r w:rsidR="00AE7178">
              <w:t>, any costs, including indirect costs, are ineligible for claiming under the DRFA.</w:t>
            </w:r>
          </w:p>
        </w:tc>
        <w:tc>
          <w:tcPr>
            <w:tcW w:w="1663" w:type="pct"/>
          </w:tcPr>
          <w:p w14:paraId="6AE8B9A2" w14:textId="77777777" w:rsidR="003C1814" w:rsidRPr="003A1746" w:rsidRDefault="003C1814" w:rsidP="00777AF6">
            <w:pPr>
              <w:pStyle w:val="Tabletext"/>
            </w:pPr>
          </w:p>
        </w:tc>
      </w:tr>
    </w:tbl>
    <w:p w14:paraId="0B8EB467" w14:textId="77777777" w:rsidR="00910DAD" w:rsidRPr="00C1511C" w:rsidRDefault="00910DAD" w:rsidP="00A91244">
      <w:pPr>
        <w:pStyle w:val="Heading2numbered"/>
      </w:pPr>
      <w:bookmarkStart w:id="67" w:name="_Toc170127189"/>
      <w:r w:rsidRPr="00C1511C">
        <w:t xml:space="preserve">Document </w:t>
      </w:r>
      <w:r w:rsidR="006B3E25">
        <w:t>a</w:t>
      </w:r>
      <w:r w:rsidRPr="00C1511C">
        <w:t>pproval</w:t>
      </w:r>
      <w:bookmarkEnd w:id="67"/>
    </w:p>
    <w:p w14:paraId="7CAB7EDF" w14:textId="77777777" w:rsidR="00910DAD" w:rsidRPr="00E33112" w:rsidRDefault="00910DAD" w:rsidP="000A288F">
      <w:pPr>
        <w:pStyle w:val="NormalIndent"/>
      </w:pPr>
      <w:r w:rsidRPr="00E33112">
        <w:t>This document requires the following approval:</w:t>
      </w:r>
    </w:p>
    <w:tbl>
      <w:tblPr>
        <w:tblStyle w:val="DTFtexttableindent"/>
        <w:tblW w:w="4552" w:type="pct"/>
        <w:tblLayout w:type="fixed"/>
        <w:tblLook w:val="0220" w:firstRow="1" w:lastRow="0" w:firstColumn="0" w:lastColumn="0" w:noHBand="1" w:noVBand="0"/>
      </w:tblPr>
      <w:tblGrid>
        <w:gridCol w:w="2069"/>
        <w:gridCol w:w="3412"/>
        <w:gridCol w:w="2736"/>
      </w:tblGrid>
      <w:tr w:rsidR="00135A42" w:rsidRPr="00357D85" w14:paraId="5BCFF810" w14:textId="77777777" w:rsidTr="00E119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9" w:type="pct"/>
          </w:tcPr>
          <w:p w14:paraId="5A2F3EB3" w14:textId="77777777" w:rsidR="00910DAD" w:rsidRPr="00357D85" w:rsidRDefault="00910DAD" w:rsidP="00247466">
            <w:pPr>
              <w:pStyle w:val="Tableheader"/>
            </w:pPr>
            <w:r w:rsidRPr="00357D85">
              <w:t>Name</w:t>
            </w:r>
          </w:p>
        </w:tc>
        <w:tc>
          <w:tcPr>
            <w:cnfStyle w:val="000001000000" w:firstRow="0" w:lastRow="0" w:firstColumn="0" w:lastColumn="0" w:oddVBand="0" w:evenVBand="1" w:oddHBand="0" w:evenHBand="0" w:firstRowFirstColumn="0" w:firstRowLastColumn="0" w:lastRowFirstColumn="0" w:lastRowLastColumn="0"/>
            <w:tcW w:w="2076" w:type="pct"/>
          </w:tcPr>
          <w:p w14:paraId="61854572" w14:textId="77777777" w:rsidR="00910DAD" w:rsidRPr="00357D85" w:rsidRDefault="00910DAD" w:rsidP="00247466">
            <w:pPr>
              <w:pStyle w:val="Tableheader"/>
            </w:pPr>
            <w:r w:rsidRPr="00357D85">
              <w:t>Title</w:t>
            </w:r>
          </w:p>
        </w:tc>
        <w:tc>
          <w:tcPr>
            <w:cnfStyle w:val="000010000000" w:firstRow="0" w:lastRow="0" w:firstColumn="0" w:lastColumn="0" w:oddVBand="1" w:evenVBand="0" w:oddHBand="0" w:evenHBand="0" w:firstRowFirstColumn="0" w:firstRowLastColumn="0" w:lastRowFirstColumn="0" w:lastRowLastColumn="0"/>
            <w:tcW w:w="1665" w:type="pct"/>
          </w:tcPr>
          <w:p w14:paraId="50C6203F" w14:textId="77777777" w:rsidR="00910DAD" w:rsidRPr="00357D85" w:rsidRDefault="00910DAD" w:rsidP="00247466">
            <w:pPr>
              <w:pStyle w:val="Tableheader"/>
            </w:pPr>
            <w:r w:rsidRPr="00357D85">
              <w:t>Organisation</w:t>
            </w:r>
          </w:p>
        </w:tc>
      </w:tr>
      <w:tr w:rsidR="00910DAD" w:rsidRPr="00357D85" w14:paraId="7C99863A" w14:textId="77777777" w:rsidTr="00E11989">
        <w:tc>
          <w:tcPr>
            <w:cnfStyle w:val="000010000000" w:firstRow="0" w:lastRow="0" w:firstColumn="0" w:lastColumn="0" w:oddVBand="1" w:evenVBand="0" w:oddHBand="0" w:evenHBand="0" w:firstRowFirstColumn="0" w:firstRowLastColumn="0" w:lastRowFirstColumn="0" w:lastRowLastColumn="0"/>
            <w:tcW w:w="1259" w:type="pct"/>
          </w:tcPr>
          <w:p w14:paraId="546C5C39" w14:textId="77777777" w:rsidR="00910DAD" w:rsidRPr="00357D85" w:rsidRDefault="00910DAD" w:rsidP="00247466">
            <w:pPr>
              <w:pStyle w:val="Tabletext"/>
            </w:pPr>
          </w:p>
        </w:tc>
        <w:tc>
          <w:tcPr>
            <w:cnfStyle w:val="000001000000" w:firstRow="0" w:lastRow="0" w:firstColumn="0" w:lastColumn="0" w:oddVBand="0" w:evenVBand="1" w:oddHBand="0" w:evenHBand="0" w:firstRowFirstColumn="0" w:firstRowLastColumn="0" w:lastRowFirstColumn="0" w:lastRowLastColumn="0"/>
            <w:tcW w:w="2076" w:type="pct"/>
          </w:tcPr>
          <w:p w14:paraId="5C1ACB73" w14:textId="77777777" w:rsidR="00910DAD" w:rsidRPr="00357D85" w:rsidRDefault="00910DAD" w:rsidP="00247466">
            <w:pPr>
              <w:pStyle w:val="Tabletext"/>
            </w:pPr>
          </w:p>
        </w:tc>
        <w:tc>
          <w:tcPr>
            <w:cnfStyle w:val="000010000000" w:firstRow="0" w:lastRow="0" w:firstColumn="0" w:lastColumn="0" w:oddVBand="1" w:evenVBand="0" w:oddHBand="0" w:evenHBand="0" w:firstRowFirstColumn="0" w:firstRowLastColumn="0" w:lastRowFirstColumn="0" w:lastRowLastColumn="0"/>
            <w:tcW w:w="1665" w:type="pct"/>
          </w:tcPr>
          <w:p w14:paraId="0AFBE554" w14:textId="77777777" w:rsidR="00910DAD" w:rsidRPr="00357D85" w:rsidRDefault="00910DAD" w:rsidP="00247466">
            <w:pPr>
              <w:pStyle w:val="Tabletext"/>
            </w:pPr>
          </w:p>
        </w:tc>
      </w:tr>
      <w:tr w:rsidR="00EE16F3" w:rsidRPr="00357D85" w14:paraId="2B1C1B6A" w14:textId="77777777" w:rsidTr="00E11989">
        <w:tc>
          <w:tcPr>
            <w:cnfStyle w:val="000010000000" w:firstRow="0" w:lastRow="0" w:firstColumn="0" w:lastColumn="0" w:oddVBand="1" w:evenVBand="0" w:oddHBand="0" w:evenHBand="0" w:firstRowFirstColumn="0" w:firstRowLastColumn="0" w:lastRowFirstColumn="0" w:lastRowLastColumn="0"/>
            <w:tcW w:w="1259" w:type="pct"/>
          </w:tcPr>
          <w:p w14:paraId="28BF608C" w14:textId="77777777" w:rsidR="00EE16F3" w:rsidRPr="00357D85" w:rsidRDefault="00EE16F3" w:rsidP="00247466">
            <w:pPr>
              <w:pStyle w:val="Tabletext"/>
            </w:pPr>
          </w:p>
        </w:tc>
        <w:tc>
          <w:tcPr>
            <w:cnfStyle w:val="000001000000" w:firstRow="0" w:lastRow="0" w:firstColumn="0" w:lastColumn="0" w:oddVBand="0" w:evenVBand="1" w:oddHBand="0" w:evenHBand="0" w:firstRowFirstColumn="0" w:firstRowLastColumn="0" w:lastRowFirstColumn="0" w:lastRowLastColumn="0"/>
            <w:tcW w:w="2076" w:type="pct"/>
          </w:tcPr>
          <w:p w14:paraId="50E7AFE7" w14:textId="77777777" w:rsidR="00EE16F3" w:rsidRPr="00357D85" w:rsidRDefault="00EE16F3" w:rsidP="00247466">
            <w:pPr>
              <w:pStyle w:val="Tabletext"/>
            </w:pPr>
          </w:p>
        </w:tc>
        <w:tc>
          <w:tcPr>
            <w:cnfStyle w:val="000010000000" w:firstRow="0" w:lastRow="0" w:firstColumn="0" w:lastColumn="0" w:oddVBand="1" w:evenVBand="0" w:oddHBand="0" w:evenHBand="0" w:firstRowFirstColumn="0" w:firstRowLastColumn="0" w:lastRowFirstColumn="0" w:lastRowLastColumn="0"/>
            <w:tcW w:w="1665" w:type="pct"/>
          </w:tcPr>
          <w:p w14:paraId="635410F9" w14:textId="77777777" w:rsidR="00EE16F3" w:rsidRPr="00357D85" w:rsidRDefault="00EE16F3" w:rsidP="00247466">
            <w:pPr>
              <w:pStyle w:val="Tabletext"/>
            </w:pPr>
          </w:p>
        </w:tc>
      </w:tr>
    </w:tbl>
    <w:p w14:paraId="70548E1E" w14:textId="77777777" w:rsidR="00910DAD" w:rsidRPr="00C1511C" w:rsidRDefault="00F16B3B" w:rsidP="00A91244">
      <w:pPr>
        <w:pStyle w:val="Heading2numbered"/>
      </w:pPr>
      <w:bookmarkStart w:id="68" w:name="_Toc170127190"/>
      <w:r>
        <w:lastRenderedPageBreak/>
        <w:t xml:space="preserve">Reference </w:t>
      </w:r>
      <w:r w:rsidR="006B3E25">
        <w:t>m</w:t>
      </w:r>
      <w:r w:rsidR="00910DAD" w:rsidRPr="00C1511C">
        <w:t>aterial</w:t>
      </w:r>
      <w:bookmarkEnd w:id="68"/>
    </w:p>
    <w:tbl>
      <w:tblPr>
        <w:tblStyle w:val="DTFtexttableindent"/>
        <w:tblW w:w="4553" w:type="pct"/>
        <w:tblLayout w:type="fixed"/>
        <w:tblLook w:val="0220" w:firstRow="1" w:lastRow="0" w:firstColumn="0" w:lastColumn="0" w:noHBand="1" w:noVBand="0"/>
      </w:tblPr>
      <w:tblGrid>
        <w:gridCol w:w="5482"/>
        <w:gridCol w:w="2737"/>
      </w:tblGrid>
      <w:tr w:rsidR="00BA5901" w:rsidRPr="00357D85" w14:paraId="1516F3CA" w14:textId="77777777" w:rsidTr="00E119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35" w:type="pct"/>
          </w:tcPr>
          <w:p w14:paraId="76DD0237" w14:textId="77777777" w:rsidR="00910DAD" w:rsidRPr="00357D85" w:rsidRDefault="00910DAD" w:rsidP="00247466">
            <w:pPr>
              <w:pStyle w:val="Tableheader"/>
            </w:pPr>
            <w:r w:rsidRPr="00357D85">
              <w:t>Attached references</w:t>
            </w:r>
          </w:p>
        </w:tc>
        <w:tc>
          <w:tcPr>
            <w:cnfStyle w:val="000001000000" w:firstRow="0" w:lastRow="0" w:firstColumn="0" w:lastColumn="0" w:oddVBand="0" w:evenVBand="1" w:oddHBand="0" w:evenHBand="0" w:firstRowFirstColumn="0" w:firstRowLastColumn="0" w:lastRowFirstColumn="0" w:lastRowLastColumn="0"/>
            <w:tcW w:w="1665" w:type="pct"/>
          </w:tcPr>
          <w:p w14:paraId="17AAF8C9" w14:textId="77777777" w:rsidR="00910DAD" w:rsidRPr="00357D85" w:rsidRDefault="00910DAD" w:rsidP="00247466">
            <w:pPr>
              <w:pStyle w:val="Tableheader"/>
            </w:pPr>
            <w:r w:rsidRPr="00357D85">
              <w:t>TRIM</w:t>
            </w:r>
            <w:r w:rsidR="00633A3F" w:rsidRPr="00357D85">
              <w:t xml:space="preserve"> ID</w:t>
            </w:r>
            <w:r w:rsidR="00955183" w:rsidRPr="00357D85">
              <w:t>/Location</w:t>
            </w:r>
          </w:p>
        </w:tc>
      </w:tr>
      <w:tr w:rsidR="00BA5901" w:rsidRPr="00357D85" w14:paraId="7A76E138" w14:textId="77777777" w:rsidTr="00E11989">
        <w:tc>
          <w:tcPr>
            <w:cnfStyle w:val="000010000000" w:firstRow="0" w:lastRow="0" w:firstColumn="0" w:lastColumn="0" w:oddVBand="1" w:evenVBand="0" w:oddHBand="0" w:evenHBand="0" w:firstRowFirstColumn="0" w:firstRowLastColumn="0" w:lastRowFirstColumn="0" w:lastRowLastColumn="0"/>
            <w:tcW w:w="3335" w:type="pct"/>
          </w:tcPr>
          <w:p w14:paraId="2C934BC6" w14:textId="77777777" w:rsidR="00910DAD" w:rsidRPr="00E82136" w:rsidRDefault="00910DAD" w:rsidP="00247466">
            <w:pPr>
              <w:pStyle w:val="Tabletext"/>
            </w:pPr>
          </w:p>
        </w:tc>
        <w:tc>
          <w:tcPr>
            <w:cnfStyle w:val="000001000000" w:firstRow="0" w:lastRow="0" w:firstColumn="0" w:lastColumn="0" w:oddVBand="0" w:evenVBand="1" w:oddHBand="0" w:evenHBand="0" w:firstRowFirstColumn="0" w:firstRowLastColumn="0" w:lastRowFirstColumn="0" w:lastRowLastColumn="0"/>
            <w:tcW w:w="1665" w:type="pct"/>
          </w:tcPr>
          <w:p w14:paraId="29CEB808" w14:textId="77777777" w:rsidR="00910DAD" w:rsidRPr="00044BF1" w:rsidRDefault="00910DAD" w:rsidP="00247466">
            <w:pPr>
              <w:pStyle w:val="Tabletext"/>
            </w:pPr>
          </w:p>
        </w:tc>
      </w:tr>
    </w:tbl>
    <w:p w14:paraId="3DAB2B23" w14:textId="77777777" w:rsidR="00910DAD" w:rsidRPr="00044BF1" w:rsidRDefault="00910DAD" w:rsidP="00910DAD">
      <w:pPr>
        <w:pStyle w:val="Spacer"/>
      </w:pPr>
    </w:p>
    <w:tbl>
      <w:tblPr>
        <w:tblStyle w:val="DTFtexttableindent"/>
        <w:tblW w:w="4552" w:type="pct"/>
        <w:tblLayout w:type="fixed"/>
        <w:tblLook w:val="0220" w:firstRow="1" w:lastRow="0" w:firstColumn="0" w:lastColumn="0" w:noHBand="1" w:noVBand="0"/>
      </w:tblPr>
      <w:tblGrid>
        <w:gridCol w:w="2739"/>
        <w:gridCol w:w="2740"/>
        <w:gridCol w:w="2738"/>
      </w:tblGrid>
      <w:tr w:rsidR="00BA5901" w:rsidRPr="00357D85" w14:paraId="3EC20581" w14:textId="77777777" w:rsidTr="00E119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6AA2B90D" w14:textId="77777777" w:rsidR="00910DAD" w:rsidRPr="00044BF1" w:rsidRDefault="00910DAD" w:rsidP="00247466">
            <w:pPr>
              <w:pStyle w:val="Tableheader"/>
            </w:pPr>
            <w:r w:rsidRPr="00044BF1">
              <w:t>Bibliography</w:t>
            </w:r>
          </w:p>
        </w:tc>
        <w:tc>
          <w:tcPr>
            <w:cnfStyle w:val="000001000000" w:firstRow="0" w:lastRow="0" w:firstColumn="0" w:lastColumn="0" w:oddVBand="0" w:evenVBand="1" w:oddHBand="0" w:evenHBand="0" w:firstRowFirstColumn="0" w:firstRowLastColumn="0" w:lastRowFirstColumn="0" w:lastRowLastColumn="0"/>
            <w:tcW w:w="1667" w:type="pct"/>
          </w:tcPr>
          <w:p w14:paraId="7FA211AB" w14:textId="77777777" w:rsidR="00910DAD" w:rsidRPr="00357D85" w:rsidRDefault="00910DAD" w:rsidP="00247466">
            <w:pPr>
              <w:pStyle w:val="Tableheader"/>
            </w:pPr>
            <w:r w:rsidRPr="00044BF1">
              <w:t>Author</w:t>
            </w:r>
          </w:p>
        </w:tc>
        <w:tc>
          <w:tcPr>
            <w:cnfStyle w:val="000010000000" w:firstRow="0" w:lastRow="0" w:firstColumn="0" w:lastColumn="0" w:oddVBand="1" w:evenVBand="0" w:oddHBand="0" w:evenHBand="0" w:firstRowFirstColumn="0" w:firstRowLastColumn="0" w:lastRowFirstColumn="0" w:lastRowLastColumn="0"/>
            <w:tcW w:w="1666" w:type="pct"/>
          </w:tcPr>
          <w:p w14:paraId="078CC72F" w14:textId="77777777" w:rsidR="00910DAD" w:rsidRPr="00044BF1" w:rsidRDefault="00910DAD" w:rsidP="00247466">
            <w:pPr>
              <w:pStyle w:val="Tableheader"/>
            </w:pPr>
            <w:r w:rsidRPr="00044BF1">
              <w:t>TRIM</w:t>
            </w:r>
            <w:r w:rsidR="00633A3F" w:rsidRPr="00044BF1">
              <w:t xml:space="preserve"> ID</w:t>
            </w:r>
            <w:r w:rsidR="00955183" w:rsidRPr="00044BF1">
              <w:t>/Location</w:t>
            </w:r>
          </w:p>
        </w:tc>
      </w:tr>
      <w:tr w:rsidR="00BA5901" w:rsidRPr="00357D85" w14:paraId="38C86809" w14:textId="77777777" w:rsidTr="00E11989">
        <w:tc>
          <w:tcPr>
            <w:cnfStyle w:val="000010000000" w:firstRow="0" w:lastRow="0" w:firstColumn="0" w:lastColumn="0" w:oddVBand="1" w:evenVBand="0" w:oddHBand="0" w:evenHBand="0" w:firstRowFirstColumn="0" w:firstRowLastColumn="0" w:lastRowFirstColumn="0" w:lastRowLastColumn="0"/>
            <w:tcW w:w="1667" w:type="pct"/>
          </w:tcPr>
          <w:p w14:paraId="3459FEE1" w14:textId="77777777" w:rsidR="00910DAD" w:rsidRPr="00357D85" w:rsidRDefault="009F2AD7" w:rsidP="00247466">
            <w:pPr>
              <w:pStyle w:val="Tabletext"/>
            </w:pPr>
            <w:r>
              <w:t xml:space="preserve">Disaster </w:t>
            </w:r>
            <w:r w:rsidR="006B3E25">
              <w:t>r</w:t>
            </w:r>
            <w:r>
              <w:t xml:space="preserve">ecovery </w:t>
            </w:r>
            <w:r w:rsidR="006B3E25">
              <w:t>f</w:t>
            </w:r>
            <w:r>
              <w:t xml:space="preserve">unding </w:t>
            </w:r>
            <w:r w:rsidR="006B3E25">
              <w:t>a</w:t>
            </w:r>
            <w:r>
              <w:t>rrangements 2018</w:t>
            </w:r>
          </w:p>
        </w:tc>
        <w:tc>
          <w:tcPr>
            <w:cnfStyle w:val="000001000000" w:firstRow="0" w:lastRow="0" w:firstColumn="0" w:lastColumn="0" w:oddVBand="0" w:evenVBand="1" w:oddHBand="0" w:evenHBand="0" w:firstRowFirstColumn="0" w:firstRowLastColumn="0" w:lastRowFirstColumn="0" w:lastRowLastColumn="0"/>
            <w:tcW w:w="1667" w:type="pct"/>
          </w:tcPr>
          <w:p w14:paraId="7B93CF7B" w14:textId="77777777" w:rsidR="00910DAD" w:rsidRPr="00357D85" w:rsidRDefault="009F2AD7" w:rsidP="00247466">
            <w:pPr>
              <w:pStyle w:val="Tabletext"/>
            </w:pPr>
            <w:r>
              <w:t xml:space="preserve">The </w:t>
            </w:r>
            <w:r w:rsidR="005F7C4F">
              <w:t>Australian Government</w:t>
            </w:r>
          </w:p>
        </w:tc>
        <w:tc>
          <w:tcPr>
            <w:cnfStyle w:val="000010000000" w:firstRow="0" w:lastRow="0" w:firstColumn="0" w:lastColumn="0" w:oddVBand="1" w:evenVBand="0" w:oddHBand="0" w:evenHBand="0" w:firstRowFirstColumn="0" w:firstRowLastColumn="0" w:lastRowFirstColumn="0" w:lastRowLastColumn="0"/>
            <w:tcW w:w="1666" w:type="pct"/>
          </w:tcPr>
          <w:p w14:paraId="708BA867" w14:textId="77777777" w:rsidR="00910DAD" w:rsidRPr="00357D85" w:rsidRDefault="00910DAD" w:rsidP="00247466">
            <w:pPr>
              <w:pStyle w:val="Tabletext"/>
            </w:pPr>
          </w:p>
        </w:tc>
      </w:tr>
    </w:tbl>
    <w:p w14:paraId="7B4BFB68" w14:textId="77777777" w:rsidR="00983F1B" w:rsidRDefault="00983F1B" w:rsidP="00910DAD">
      <w:pPr>
        <w:pStyle w:val="Spacer"/>
      </w:pPr>
    </w:p>
    <w:p w14:paraId="2CF8B254" w14:textId="77777777" w:rsidR="007530A9" w:rsidRPr="00C1511C" w:rsidRDefault="007530A9" w:rsidP="00A91244">
      <w:pPr>
        <w:pStyle w:val="Heading2numbered"/>
      </w:pPr>
      <w:bookmarkStart w:id="69" w:name="_Toc170127191"/>
      <w:r w:rsidRPr="00C1511C">
        <w:t>Acronyms</w:t>
      </w:r>
      <w:bookmarkEnd w:id="69"/>
    </w:p>
    <w:tbl>
      <w:tblPr>
        <w:tblStyle w:val="DTFtexttableindent"/>
        <w:tblW w:w="4482" w:type="pct"/>
        <w:tblLayout w:type="fixed"/>
        <w:tblLook w:val="0220" w:firstRow="1" w:lastRow="0" w:firstColumn="0" w:lastColumn="0" w:noHBand="1" w:noVBand="0"/>
      </w:tblPr>
      <w:tblGrid>
        <w:gridCol w:w="2243"/>
        <w:gridCol w:w="5832"/>
        <w:gridCol w:w="16"/>
      </w:tblGrid>
      <w:tr w:rsidR="00BA5901" w:rsidRPr="00357D85" w14:paraId="63F4C5D0" w14:textId="77777777" w:rsidTr="00E119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6" w:type="pct"/>
          </w:tcPr>
          <w:p w14:paraId="5BDE0992" w14:textId="77777777" w:rsidR="00910DAD" w:rsidRPr="00357D85" w:rsidRDefault="00910DAD" w:rsidP="00247466">
            <w:pPr>
              <w:pStyle w:val="Tableheader"/>
            </w:pPr>
            <w:r w:rsidRPr="00044BF1">
              <w:t>Acronyms</w:t>
            </w:r>
          </w:p>
        </w:tc>
        <w:tc>
          <w:tcPr>
            <w:cnfStyle w:val="000001000000" w:firstRow="0" w:lastRow="0" w:firstColumn="0" w:lastColumn="0" w:oddVBand="0" w:evenVBand="1" w:oddHBand="0" w:evenHBand="0" w:firstRowFirstColumn="0" w:firstRowLastColumn="0" w:lastRowFirstColumn="0" w:lastRowLastColumn="0"/>
            <w:tcW w:w="3614" w:type="pct"/>
            <w:gridSpan w:val="2"/>
          </w:tcPr>
          <w:p w14:paraId="702203B2" w14:textId="77777777" w:rsidR="00910DAD" w:rsidRPr="00044BF1" w:rsidRDefault="00910DAD" w:rsidP="00247466">
            <w:pPr>
              <w:pStyle w:val="Tableheader"/>
            </w:pPr>
            <w:r w:rsidRPr="00044BF1">
              <w:t>Description</w:t>
            </w:r>
          </w:p>
        </w:tc>
      </w:tr>
      <w:tr w:rsidR="0087764D" w:rsidRPr="00357D85" w14:paraId="1EFB0E1A"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4055AA08" w14:textId="77777777" w:rsidR="0087764D" w:rsidRDefault="0087764D" w:rsidP="00247466">
            <w:pPr>
              <w:pStyle w:val="Tabletext"/>
            </w:pPr>
            <w:r>
              <w:t>CMA</w:t>
            </w:r>
          </w:p>
        </w:tc>
        <w:tc>
          <w:tcPr>
            <w:cnfStyle w:val="000001000000" w:firstRow="0" w:lastRow="0" w:firstColumn="0" w:lastColumn="0" w:oddVBand="0" w:evenVBand="1" w:oddHBand="0" w:evenHBand="0" w:firstRowFirstColumn="0" w:firstRowLastColumn="0" w:lastRowFirstColumn="0" w:lastRowLastColumn="0"/>
            <w:tcW w:w="3604" w:type="pct"/>
          </w:tcPr>
          <w:p w14:paraId="3168DD35" w14:textId="77777777" w:rsidR="0087764D" w:rsidRDefault="0087764D" w:rsidP="00247466">
            <w:pPr>
              <w:pStyle w:val="Tabletext"/>
            </w:pPr>
            <w:r>
              <w:t xml:space="preserve">Catchment Management Authority </w:t>
            </w:r>
          </w:p>
        </w:tc>
      </w:tr>
      <w:tr w:rsidR="0087764D" w:rsidRPr="00357D85" w14:paraId="40B64FD9"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2058B8BD" w14:textId="77777777" w:rsidR="0087764D" w:rsidRDefault="0087764D" w:rsidP="00247466">
            <w:pPr>
              <w:pStyle w:val="Tabletext"/>
            </w:pPr>
            <w:r>
              <w:t xml:space="preserve">DRFA </w:t>
            </w:r>
          </w:p>
        </w:tc>
        <w:tc>
          <w:tcPr>
            <w:cnfStyle w:val="000001000000" w:firstRow="0" w:lastRow="0" w:firstColumn="0" w:lastColumn="0" w:oddVBand="0" w:evenVBand="1" w:oddHBand="0" w:evenHBand="0" w:firstRowFirstColumn="0" w:firstRowLastColumn="0" w:lastRowFirstColumn="0" w:lastRowLastColumn="0"/>
            <w:tcW w:w="3604" w:type="pct"/>
          </w:tcPr>
          <w:p w14:paraId="06B3F478" w14:textId="77777777" w:rsidR="0087764D" w:rsidRDefault="0087764D" w:rsidP="00247466">
            <w:pPr>
              <w:pStyle w:val="Tabletext"/>
            </w:pPr>
            <w:r>
              <w:t xml:space="preserve">Disaster Recovery Funding Arrangements </w:t>
            </w:r>
          </w:p>
        </w:tc>
      </w:tr>
      <w:tr w:rsidR="0087764D" w:rsidRPr="00357D85" w14:paraId="4CA7723B"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2D2210C6" w14:textId="77777777" w:rsidR="0087764D" w:rsidRPr="00044BF1" w:rsidRDefault="0087764D" w:rsidP="00247466">
            <w:pPr>
              <w:pStyle w:val="Tabletext"/>
            </w:pPr>
            <w:r>
              <w:t>DTF</w:t>
            </w:r>
          </w:p>
        </w:tc>
        <w:tc>
          <w:tcPr>
            <w:cnfStyle w:val="000001000000" w:firstRow="0" w:lastRow="0" w:firstColumn="0" w:lastColumn="0" w:oddVBand="0" w:evenVBand="1" w:oddHBand="0" w:evenHBand="0" w:firstRowFirstColumn="0" w:firstRowLastColumn="0" w:lastRowFirstColumn="0" w:lastRowLastColumn="0"/>
            <w:tcW w:w="3604" w:type="pct"/>
          </w:tcPr>
          <w:p w14:paraId="0EEA46B6" w14:textId="77777777" w:rsidR="0087764D" w:rsidRPr="00044BF1" w:rsidRDefault="0087764D" w:rsidP="00247466">
            <w:pPr>
              <w:pStyle w:val="Tabletext"/>
            </w:pPr>
            <w:r>
              <w:t xml:space="preserve">Department of Treasury and Finance </w:t>
            </w:r>
          </w:p>
        </w:tc>
      </w:tr>
      <w:tr w:rsidR="008F3975" w:rsidRPr="00357D85" w14:paraId="74FD7E5C"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4ED63187" w14:textId="1E6FD8CF" w:rsidR="008F3975" w:rsidRDefault="00183B80" w:rsidP="008F3975">
            <w:pPr>
              <w:pStyle w:val="Tabletext"/>
            </w:pPr>
            <w:r>
              <w:t>ERV</w:t>
            </w:r>
          </w:p>
        </w:tc>
        <w:tc>
          <w:tcPr>
            <w:cnfStyle w:val="000001000000" w:firstRow="0" w:lastRow="0" w:firstColumn="0" w:lastColumn="0" w:oddVBand="0" w:evenVBand="1" w:oddHBand="0" w:evenHBand="0" w:firstRowFirstColumn="0" w:firstRowLastColumn="0" w:lastRowFirstColumn="0" w:lastRowLastColumn="0"/>
            <w:tcW w:w="3604" w:type="pct"/>
          </w:tcPr>
          <w:p w14:paraId="0A36D7B2" w14:textId="2AEA827D" w:rsidR="008F3975" w:rsidRDefault="00765149" w:rsidP="008F3975">
            <w:pPr>
              <w:pStyle w:val="Tabletext"/>
            </w:pPr>
            <w:r>
              <w:t>Emergency Recovery Victoria</w:t>
            </w:r>
          </w:p>
        </w:tc>
      </w:tr>
      <w:tr w:rsidR="008F3975" w:rsidRPr="00357D85" w14:paraId="63D51BE4"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3BE58031" w14:textId="77777777" w:rsidR="008F3975" w:rsidRDefault="008F3975" w:rsidP="008F3975">
            <w:pPr>
              <w:pStyle w:val="Tabletext"/>
            </w:pPr>
            <w:r>
              <w:t>GST</w:t>
            </w:r>
          </w:p>
        </w:tc>
        <w:tc>
          <w:tcPr>
            <w:cnfStyle w:val="000001000000" w:firstRow="0" w:lastRow="0" w:firstColumn="0" w:lastColumn="0" w:oddVBand="0" w:evenVBand="1" w:oddHBand="0" w:evenHBand="0" w:firstRowFirstColumn="0" w:firstRowLastColumn="0" w:lastRowFirstColumn="0" w:lastRowLastColumn="0"/>
            <w:tcW w:w="3604" w:type="pct"/>
          </w:tcPr>
          <w:p w14:paraId="6E739983" w14:textId="77777777" w:rsidR="008F3975" w:rsidRDefault="008F3975" w:rsidP="008F3975">
            <w:pPr>
              <w:pStyle w:val="Tabletext"/>
            </w:pPr>
            <w:r>
              <w:t>Goods and services tax</w:t>
            </w:r>
          </w:p>
        </w:tc>
      </w:tr>
      <w:tr w:rsidR="008F3975" w:rsidRPr="00357D85" w14:paraId="69726CC5"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019BE9DA" w14:textId="77777777" w:rsidR="008F3975" w:rsidRDefault="008F3975" w:rsidP="008F3975">
            <w:pPr>
              <w:pStyle w:val="Tabletext"/>
            </w:pPr>
            <w:r>
              <w:t>OH&amp;S</w:t>
            </w:r>
          </w:p>
        </w:tc>
        <w:tc>
          <w:tcPr>
            <w:cnfStyle w:val="000001000000" w:firstRow="0" w:lastRow="0" w:firstColumn="0" w:lastColumn="0" w:oddVBand="0" w:evenVBand="1" w:oddHBand="0" w:evenHBand="0" w:firstRowFirstColumn="0" w:firstRowLastColumn="0" w:lastRowFirstColumn="0" w:lastRowLastColumn="0"/>
            <w:tcW w:w="3604" w:type="pct"/>
          </w:tcPr>
          <w:p w14:paraId="5566F283" w14:textId="77777777" w:rsidR="008F3975" w:rsidRDefault="008F3975" w:rsidP="008F3975">
            <w:pPr>
              <w:pStyle w:val="Tabletext"/>
            </w:pPr>
            <w:r>
              <w:t>Occupational health and safety</w:t>
            </w:r>
          </w:p>
        </w:tc>
      </w:tr>
      <w:tr w:rsidR="008F3975" w:rsidRPr="00357D85" w14:paraId="319D23E4"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65C3BD6C" w14:textId="77777777" w:rsidR="008F3975" w:rsidRDefault="008F3975" w:rsidP="008F3975">
            <w:pPr>
              <w:pStyle w:val="Tabletext"/>
            </w:pPr>
            <w:r>
              <w:t>RCBC</w:t>
            </w:r>
          </w:p>
        </w:tc>
        <w:tc>
          <w:tcPr>
            <w:cnfStyle w:val="000001000000" w:firstRow="0" w:lastRow="0" w:firstColumn="0" w:lastColumn="0" w:oddVBand="0" w:evenVBand="1" w:oddHBand="0" w:evenHBand="0" w:firstRowFirstColumn="0" w:firstRowLastColumn="0" w:lastRowFirstColumn="0" w:lastRowLastColumn="0"/>
            <w:tcW w:w="3604" w:type="pct"/>
          </w:tcPr>
          <w:p w14:paraId="2146BBBE" w14:textId="77777777" w:rsidR="008F3975" w:rsidRDefault="008F3975" w:rsidP="008F3975">
            <w:pPr>
              <w:pStyle w:val="Tabletext"/>
            </w:pPr>
            <w:r>
              <w:t>Reinforced concrete box culvert</w:t>
            </w:r>
          </w:p>
        </w:tc>
      </w:tr>
      <w:tr w:rsidR="008F3975" w:rsidRPr="00357D85" w14:paraId="279DDBE3"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7476C0AF" w14:textId="77777777" w:rsidR="008F3975" w:rsidRDefault="008F3975" w:rsidP="008F3975">
            <w:pPr>
              <w:pStyle w:val="Tabletext"/>
            </w:pPr>
            <w:r>
              <w:t>RCCEF</w:t>
            </w:r>
          </w:p>
        </w:tc>
        <w:tc>
          <w:tcPr>
            <w:cnfStyle w:val="000001000000" w:firstRow="0" w:lastRow="0" w:firstColumn="0" w:lastColumn="0" w:oddVBand="0" w:evenVBand="1" w:oddHBand="0" w:evenHBand="0" w:firstRowFirstColumn="0" w:firstRowLastColumn="0" w:lastRowFirstColumn="0" w:lastRowLastColumn="0"/>
            <w:tcW w:w="3604" w:type="pct"/>
          </w:tcPr>
          <w:p w14:paraId="0ACAF822" w14:textId="77777777" w:rsidR="008F3975" w:rsidRDefault="008F3975" w:rsidP="008F3975">
            <w:pPr>
              <w:pStyle w:val="Tabletext"/>
            </w:pPr>
            <w:r>
              <w:t>Road construction cost escalation forecasts</w:t>
            </w:r>
          </w:p>
        </w:tc>
      </w:tr>
      <w:tr w:rsidR="008F3975" w:rsidRPr="00357D85" w14:paraId="50631952"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6E095B65" w14:textId="77777777" w:rsidR="008F3975" w:rsidRDefault="008F3975" w:rsidP="008F3975">
            <w:pPr>
              <w:pStyle w:val="Tabletext"/>
            </w:pPr>
            <w:r>
              <w:t>REPA</w:t>
            </w:r>
          </w:p>
        </w:tc>
        <w:tc>
          <w:tcPr>
            <w:cnfStyle w:val="000001000000" w:firstRow="0" w:lastRow="0" w:firstColumn="0" w:lastColumn="0" w:oddVBand="0" w:evenVBand="1" w:oddHBand="0" w:evenHBand="0" w:firstRowFirstColumn="0" w:firstRowLastColumn="0" w:lastRowFirstColumn="0" w:lastRowLastColumn="0"/>
            <w:tcW w:w="3604" w:type="pct"/>
          </w:tcPr>
          <w:p w14:paraId="780419EA" w14:textId="77777777" w:rsidR="008F3975" w:rsidRDefault="008F3975" w:rsidP="008F3975">
            <w:pPr>
              <w:pStyle w:val="Tabletext"/>
            </w:pPr>
            <w:r>
              <w:t>Reconstruction of essential public assets</w:t>
            </w:r>
          </w:p>
        </w:tc>
      </w:tr>
      <w:tr w:rsidR="008F3975" w:rsidRPr="00357D85" w14:paraId="1B79B1AC"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04CF4D9D" w14:textId="77777777" w:rsidR="008F3975" w:rsidRDefault="008F3975" w:rsidP="008F3975">
            <w:pPr>
              <w:pStyle w:val="Tabletext"/>
            </w:pPr>
            <w:r>
              <w:t>WBS</w:t>
            </w:r>
          </w:p>
        </w:tc>
        <w:tc>
          <w:tcPr>
            <w:cnfStyle w:val="000001000000" w:firstRow="0" w:lastRow="0" w:firstColumn="0" w:lastColumn="0" w:oddVBand="0" w:evenVBand="1" w:oddHBand="0" w:evenHBand="0" w:firstRowFirstColumn="0" w:firstRowLastColumn="0" w:lastRowFirstColumn="0" w:lastRowLastColumn="0"/>
            <w:tcW w:w="3604" w:type="pct"/>
          </w:tcPr>
          <w:p w14:paraId="1FE125F3" w14:textId="77777777" w:rsidR="008F3975" w:rsidRDefault="008F3975" w:rsidP="008F3975">
            <w:pPr>
              <w:pStyle w:val="Tabletext"/>
            </w:pPr>
            <w:r>
              <w:t>Work breakdown structure</w:t>
            </w:r>
          </w:p>
        </w:tc>
      </w:tr>
    </w:tbl>
    <w:p w14:paraId="26A1D785" w14:textId="77777777" w:rsidR="00910DAD" w:rsidRDefault="00910DAD" w:rsidP="004F6924">
      <w:pPr>
        <w:pStyle w:val="Spacer"/>
      </w:pPr>
    </w:p>
    <w:p w14:paraId="29D5E076" w14:textId="77777777" w:rsidR="005C2F8D" w:rsidRDefault="005C2F8D" w:rsidP="00AF7BDB">
      <w:pPr>
        <w:pStyle w:val="Heading1numbered"/>
      </w:pPr>
      <w:bookmarkStart w:id="70" w:name="_Toc170127192"/>
      <w:r>
        <w:t>Appendices</w:t>
      </w:r>
      <w:bookmarkEnd w:id="70"/>
    </w:p>
    <w:p w14:paraId="0D10CBDD" w14:textId="77777777" w:rsidR="0087764D" w:rsidRDefault="0087764D" w:rsidP="005C2F8D">
      <w:pPr>
        <w:pStyle w:val="Heading2"/>
      </w:pPr>
      <w:bookmarkStart w:id="71" w:name="_Toc170127193"/>
      <w:r>
        <w:t>Appendix A</w:t>
      </w:r>
      <w:r w:rsidR="00C43D19">
        <w:t>:</w:t>
      </w:r>
      <w:r w:rsidR="00E1768E">
        <w:t xml:space="preserve"> </w:t>
      </w:r>
      <w:r w:rsidR="007530A9">
        <w:t xml:space="preserve">Cost </w:t>
      </w:r>
      <w:r w:rsidR="004A3385">
        <w:t>e</w:t>
      </w:r>
      <w:r w:rsidR="007530A9">
        <w:t xml:space="preserve">stimation </w:t>
      </w:r>
      <w:r w:rsidR="004A3385">
        <w:t>s</w:t>
      </w:r>
      <w:r w:rsidR="007530A9">
        <w:t xml:space="preserve">tandard </w:t>
      </w:r>
      <w:r w:rsidR="004A3385">
        <w:t>f</w:t>
      </w:r>
      <w:r w:rsidR="007530A9">
        <w:t xml:space="preserve">orms and </w:t>
      </w:r>
      <w:r w:rsidR="004A3385">
        <w:t>t</w:t>
      </w:r>
      <w:r w:rsidR="007530A9">
        <w:t>emplates</w:t>
      </w:r>
      <w:bookmarkEnd w:id="71"/>
      <w:r>
        <w:t xml:space="preserve"> </w:t>
      </w:r>
    </w:p>
    <w:tbl>
      <w:tblPr>
        <w:tblStyle w:val="DTFtexttable"/>
        <w:tblW w:w="5000" w:type="pct"/>
        <w:tblLayout w:type="fixed"/>
        <w:tblLook w:val="0420" w:firstRow="1" w:lastRow="0" w:firstColumn="0" w:lastColumn="0" w:noHBand="0" w:noVBand="1"/>
      </w:tblPr>
      <w:tblGrid>
        <w:gridCol w:w="1052"/>
        <w:gridCol w:w="6237"/>
        <w:gridCol w:w="1737"/>
      </w:tblGrid>
      <w:tr w:rsidR="007530A9" w:rsidRPr="00357D85" w14:paraId="09FF3868" w14:textId="77777777" w:rsidTr="00E11989">
        <w:trPr>
          <w:cnfStyle w:val="100000000000" w:firstRow="1" w:lastRow="0" w:firstColumn="0" w:lastColumn="0" w:oddVBand="0" w:evenVBand="0" w:oddHBand="0" w:evenHBand="0" w:firstRowFirstColumn="0" w:firstRowLastColumn="0" w:lastRowFirstColumn="0" w:lastRowLastColumn="0"/>
        </w:trPr>
        <w:tc>
          <w:tcPr>
            <w:tcW w:w="583" w:type="pct"/>
          </w:tcPr>
          <w:p w14:paraId="58698B37" w14:textId="77777777" w:rsidR="007530A9" w:rsidRPr="00044BF1" w:rsidRDefault="007530A9" w:rsidP="00247466">
            <w:pPr>
              <w:pStyle w:val="Tableheader"/>
            </w:pPr>
            <w:r>
              <w:br w:type="page"/>
              <w:t>Item</w:t>
            </w:r>
          </w:p>
        </w:tc>
        <w:tc>
          <w:tcPr>
            <w:tcW w:w="3455" w:type="pct"/>
          </w:tcPr>
          <w:p w14:paraId="640EA414" w14:textId="77777777" w:rsidR="007530A9" w:rsidRPr="00C31093" w:rsidRDefault="007530A9" w:rsidP="00247466">
            <w:pPr>
              <w:pStyle w:val="Tableheader"/>
              <w:rPr>
                <w:lang w:val="en-US"/>
              </w:rPr>
            </w:pPr>
            <w:r w:rsidRPr="00044BF1">
              <w:t>Description</w:t>
            </w:r>
          </w:p>
        </w:tc>
        <w:tc>
          <w:tcPr>
            <w:tcW w:w="962" w:type="pct"/>
          </w:tcPr>
          <w:p w14:paraId="20B99113" w14:textId="77777777" w:rsidR="007530A9" w:rsidRPr="00044BF1" w:rsidRDefault="00E11989" w:rsidP="00247466">
            <w:pPr>
              <w:pStyle w:val="Tableheader"/>
            </w:pPr>
            <w:r>
              <w:br w:type="page"/>
              <w:t>Form/</w:t>
            </w:r>
            <w:r w:rsidR="007530A9">
              <w:t>Doc ID</w:t>
            </w:r>
          </w:p>
        </w:tc>
      </w:tr>
      <w:tr w:rsidR="007530A9" w:rsidRPr="00E11989" w14:paraId="183D3E18" w14:textId="77777777" w:rsidTr="00E11989">
        <w:trPr>
          <w:cantSplit w:val="0"/>
        </w:trPr>
        <w:tc>
          <w:tcPr>
            <w:tcW w:w="583" w:type="pct"/>
          </w:tcPr>
          <w:p w14:paraId="1F23B198" w14:textId="77777777" w:rsidR="007530A9" w:rsidRPr="00E11989" w:rsidRDefault="007530A9" w:rsidP="00E11989">
            <w:pPr>
              <w:pStyle w:val="Tabletext"/>
            </w:pPr>
            <w:r w:rsidRPr="00E11989">
              <w:t>1</w:t>
            </w:r>
          </w:p>
        </w:tc>
        <w:tc>
          <w:tcPr>
            <w:tcW w:w="3455" w:type="pct"/>
          </w:tcPr>
          <w:p w14:paraId="3760D675" w14:textId="77777777" w:rsidR="007530A9" w:rsidRPr="00E11989" w:rsidRDefault="00A27FA5" w:rsidP="003D6BD5">
            <w:pPr>
              <w:pStyle w:val="Tabletext"/>
            </w:pPr>
            <w:r w:rsidRPr="00E11989">
              <w:t xml:space="preserve">Victorian </w:t>
            </w:r>
            <w:r w:rsidR="007530A9" w:rsidRPr="00E11989">
              <w:t xml:space="preserve">DRFA </w:t>
            </w:r>
            <w:r w:rsidR="002B28D0">
              <w:t>G</w:t>
            </w:r>
            <w:r w:rsidR="007530A9" w:rsidRPr="00E11989">
              <w:t>uideline</w:t>
            </w:r>
            <w:r w:rsidR="00FF4D21">
              <w:t xml:space="preserve"> 2</w:t>
            </w:r>
            <w:r w:rsidR="0003354D" w:rsidRPr="00E11989">
              <w:t xml:space="preserve"> – C</w:t>
            </w:r>
            <w:r w:rsidR="007530A9" w:rsidRPr="00E11989">
              <w:t xml:space="preserve">ost </w:t>
            </w:r>
            <w:r w:rsidR="003D6BD5" w:rsidRPr="00E11989">
              <w:t>estimation</w:t>
            </w:r>
            <w:r w:rsidR="003D6BD5">
              <w:t xml:space="preserve"> for essential public assets </w:t>
            </w:r>
          </w:p>
        </w:tc>
        <w:tc>
          <w:tcPr>
            <w:tcW w:w="962" w:type="pct"/>
          </w:tcPr>
          <w:p w14:paraId="19100FDD" w14:textId="77777777" w:rsidR="007530A9" w:rsidRPr="00E11989" w:rsidRDefault="007530A9" w:rsidP="00E11989">
            <w:pPr>
              <w:pStyle w:val="Tabletext"/>
            </w:pPr>
            <w:hyperlink r:id="rId28" w:history="1">
              <w:r w:rsidRPr="00FF4D21">
                <w:rPr>
                  <w:rStyle w:val="Hyperlink"/>
                </w:rPr>
                <w:t>GL-</w:t>
              </w:r>
              <w:r w:rsidR="00FF4D21" w:rsidRPr="00FF4D21">
                <w:rPr>
                  <w:rStyle w:val="Hyperlink"/>
                </w:rPr>
                <w:t>2</w:t>
              </w:r>
            </w:hyperlink>
          </w:p>
        </w:tc>
      </w:tr>
      <w:tr w:rsidR="00B755FB" w:rsidRPr="00E11989" w14:paraId="04F91286" w14:textId="77777777" w:rsidTr="00E11989">
        <w:trPr>
          <w:cnfStyle w:val="000000010000" w:firstRow="0" w:lastRow="0" w:firstColumn="0" w:lastColumn="0" w:oddVBand="0" w:evenVBand="0" w:oddHBand="0" w:evenHBand="1" w:firstRowFirstColumn="0" w:firstRowLastColumn="0" w:lastRowFirstColumn="0" w:lastRowLastColumn="0"/>
          <w:cantSplit w:val="0"/>
        </w:trPr>
        <w:tc>
          <w:tcPr>
            <w:tcW w:w="583" w:type="pct"/>
          </w:tcPr>
          <w:p w14:paraId="0083EA07" w14:textId="77777777" w:rsidR="00B755FB" w:rsidRPr="00E11989" w:rsidRDefault="00B755FB" w:rsidP="00E11989">
            <w:pPr>
              <w:pStyle w:val="Tabletext"/>
            </w:pPr>
            <w:r w:rsidRPr="00E11989">
              <w:t>2</w:t>
            </w:r>
          </w:p>
        </w:tc>
        <w:tc>
          <w:tcPr>
            <w:tcW w:w="3455" w:type="pct"/>
          </w:tcPr>
          <w:p w14:paraId="5FB5B0B5" w14:textId="77777777" w:rsidR="00B755FB" w:rsidRPr="00E11989" w:rsidRDefault="00A27FA5" w:rsidP="003D6BD5">
            <w:pPr>
              <w:pStyle w:val="Tabletext"/>
            </w:pPr>
            <w:r w:rsidRPr="00E11989">
              <w:t xml:space="preserve">Victorian </w:t>
            </w:r>
            <w:r w:rsidR="00B755FB" w:rsidRPr="00E11989">
              <w:t xml:space="preserve">DRFA Fact Sheet </w:t>
            </w:r>
            <w:r w:rsidR="00FF4D21">
              <w:t>2</w:t>
            </w:r>
            <w:r w:rsidR="00B755FB" w:rsidRPr="00E11989">
              <w:t xml:space="preserve"> – Cost </w:t>
            </w:r>
            <w:r w:rsidR="003D6BD5">
              <w:t>estimation for essential public assets</w:t>
            </w:r>
          </w:p>
        </w:tc>
        <w:tc>
          <w:tcPr>
            <w:tcW w:w="962" w:type="pct"/>
          </w:tcPr>
          <w:p w14:paraId="5849095D" w14:textId="77777777" w:rsidR="00B755FB" w:rsidRPr="00E11989" w:rsidRDefault="00B755FB" w:rsidP="00E11989">
            <w:pPr>
              <w:pStyle w:val="Tabletext"/>
            </w:pPr>
            <w:hyperlink r:id="rId29" w:history="1">
              <w:r w:rsidRPr="00FF4D21">
                <w:rPr>
                  <w:rStyle w:val="Hyperlink"/>
                </w:rPr>
                <w:t>FS-</w:t>
              </w:r>
              <w:r w:rsidR="00FF4D21" w:rsidRPr="00FF4D21">
                <w:rPr>
                  <w:rStyle w:val="Hyperlink"/>
                </w:rPr>
                <w:t>2</w:t>
              </w:r>
            </w:hyperlink>
          </w:p>
        </w:tc>
      </w:tr>
      <w:tr w:rsidR="007530A9" w:rsidRPr="00E11989" w14:paraId="61375E82" w14:textId="77777777" w:rsidTr="00E11989">
        <w:trPr>
          <w:cantSplit w:val="0"/>
        </w:trPr>
        <w:tc>
          <w:tcPr>
            <w:tcW w:w="583" w:type="pct"/>
          </w:tcPr>
          <w:p w14:paraId="62485B12" w14:textId="77777777" w:rsidR="007530A9" w:rsidRPr="00E11989" w:rsidRDefault="00B755FB" w:rsidP="00E11989">
            <w:pPr>
              <w:pStyle w:val="Tabletext"/>
            </w:pPr>
            <w:r w:rsidRPr="00E11989">
              <w:t>3</w:t>
            </w:r>
          </w:p>
        </w:tc>
        <w:tc>
          <w:tcPr>
            <w:tcW w:w="3455" w:type="pct"/>
          </w:tcPr>
          <w:p w14:paraId="0CDAAAD1" w14:textId="77777777" w:rsidR="007530A9" w:rsidRPr="00E11989" w:rsidRDefault="007530A9" w:rsidP="003D6BD5">
            <w:pPr>
              <w:pStyle w:val="Tabletext"/>
            </w:pPr>
            <w:r w:rsidRPr="00E11989">
              <w:t xml:space="preserve">Standard </w:t>
            </w:r>
            <w:r w:rsidR="003D6BD5">
              <w:t>treatment guidelines for cost estimation</w:t>
            </w:r>
            <w:r w:rsidRPr="00E11989">
              <w:t xml:space="preserve"> </w:t>
            </w:r>
          </w:p>
        </w:tc>
        <w:tc>
          <w:tcPr>
            <w:tcW w:w="962" w:type="pct"/>
          </w:tcPr>
          <w:p w14:paraId="3BD7CF45" w14:textId="77777777" w:rsidR="007530A9" w:rsidRPr="00E11989" w:rsidRDefault="007530A9" w:rsidP="00E11989">
            <w:pPr>
              <w:pStyle w:val="Tabletext"/>
            </w:pPr>
            <w:hyperlink r:id="rId30" w:history="1">
              <w:r w:rsidRPr="00FF4D21">
                <w:rPr>
                  <w:rStyle w:val="Hyperlink"/>
                </w:rPr>
                <w:t>GL-</w:t>
              </w:r>
              <w:r w:rsidR="00FF4D21" w:rsidRPr="00FF4D21">
                <w:rPr>
                  <w:rStyle w:val="Hyperlink"/>
                </w:rPr>
                <w:t>2</w:t>
              </w:r>
              <w:r w:rsidRPr="00FF4D21">
                <w:rPr>
                  <w:rStyle w:val="Hyperlink"/>
                </w:rPr>
                <w:t xml:space="preserve"> App B</w:t>
              </w:r>
            </w:hyperlink>
          </w:p>
        </w:tc>
      </w:tr>
      <w:tr w:rsidR="002B28D0" w:rsidRPr="00E11989" w14:paraId="1B82A48A" w14:textId="77777777" w:rsidTr="00E11989">
        <w:trPr>
          <w:cnfStyle w:val="000000010000" w:firstRow="0" w:lastRow="0" w:firstColumn="0" w:lastColumn="0" w:oddVBand="0" w:evenVBand="0" w:oddHBand="0" w:evenHBand="1" w:firstRowFirstColumn="0" w:firstRowLastColumn="0" w:lastRowFirstColumn="0" w:lastRowLastColumn="0"/>
          <w:cantSplit w:val="0"/>
        </w:trPr>
        <w:tc>
          <w:tcPr>
            <w:tcW w:w="583" w:type="pct"/>
          </w:tcPr>
          <w:p w14:paraId="24319644" w14:textId="77777777" w:rsidR="002B28D0" w:rsidRPr="00E11989" w:rsidRDefault="002B28D0" w:rsidP="00E11989">
            <w:pPr>
              <w:pStyle w:val="Tabletext"/>
            </w:pPr>
            <w:r>
              <w:t>4</w:t>
            </w:r>
          </w:p>
        </w:tc>
        <w:tc>
          <w:tcPr>
            <w:tcW w:w="3455" w:type="pct"/>
          </w:tcPr>
          <w:p w14:paraId="1D5E7DE8" w14:textId="77777777" w:rsidR="002B28D0" w:rsidRPr="00E11989" w:rsidRDefault="002B28D0" w:rsidP="00E11989">
            <w:pPr>
              <w:pStyle w:val="Tabletext"/>
            </w:pPr>
            <w:r>
              <w:t>Standard Deterministic Risk Matrix – Victoria</w:t>
            </w:r>
          </w:p>
        </w:tc>
        <w:tc>
          <w:tcPr>
            <w:tcW w:w="962" w:type="pct"/>
          </w:tcPr>
          <w:p w14:paraId="4D10E088" w14:textId="77777777" w:rsidR="002B28D0" w:rsidRPr="00E11989" w:rsidRDefault="002B28D0" w:rsidP="00E11989">
            <w:pPr>
              <w:pStyle w:val="Tabletext"/>
            </w:pPr>
            <w:hyperlink r:id="rId31" w:history="1">
              <w:r w:rsidRPr="00FF4D21">
                <w:rPr>
                  <w:rStyle w:val="Hyperlink"/>
                </w:rPr>
                <w:t>GL-</w:t>
              </w:r>
              <w:r w:rsidR="00FF4D21" w:rsidRPr="00FF4D21">
                <w:rPr>
                  <w:rStyle w:val="Hyperlink"/>
                </w:rPr>
                <w:t>2</w:t>
              </w:r>
              <w:r w:rsidRPr="00FF4D21">
                <w:rPr>
                  <w:rStyle w:val="Hyperlink"/>
                </w:rPr>
                <w:t xml:space="preserve"> App C</w:t>
              </w:r>
            </w:hyperlink>
            <w:r>
              <w:t xml:space="preserve"> </w:t>
            </w:r>
          </w:p>
        </w:tc>
      </w:tr>
      <w:tr w:rsidR="002B28D0" w:rsidRPr="00E11989" w14:paraId="47B697C2" w14:textId="77777777" w:rsidTr="00E11989">
        <w:trPr>
          <w:cantSplit w:val="0"/>
        </w:trPr>
        <w:tc>
          <w:tcPr>
            <w:tcW w:w="583" w:type="pct"/>
          </w:tcPr>
          <w:p w14:paraId="7DEF0185" w14:textId="77777777" w:rsidR="002B28D0" w:rsidRPr="00E11989" w:rsidRDefault="002B28D0" w:rsidP="00E11989">
            <w:pPr>
              <w:pStyle w:val="Tabletext"/>
            </w:pPr>
            <w:r>
              <w:t>5</w:t>
            </w:r>
          </w:p>
        </w:tc>
        <w:tc>
          <w:tcPr>
            <w:tcW w:w="3455" w:type="pct"/>
          </w:tcPr>
          <w:p w14:paraId="551A3EC8" w14:textId="77777777" w:rsidR="002B28D0" w:rsidRDefault="002B28D0" w:rsidP="002B28D0">
            <w:pPr>
              <w:pStyle w:val="Tabletext"/>
            </w:pPr>
            <w:r>
              <w:t>Guidance Note 3A</w:t>
            </w:r>
          </w:p>
        </w:tc>
        <w:tc>
          <w:tcPr>
            <w:tcW w:w="962" w:type="pct"/>
          </w:tcPr>
          <w:p w14:paraId="6AE7550C" w14:textId="77777777" w:rsidR="002B28D0" w:rsidRPr="00E11989" w:rsidRDefault="002B28D0" w:rsidP="00E11989">
            <w:pPr>
              <w:pStyle w:val="Tabletext"/>
            </w:pPr>
            <w:hyperlink r:id="rId32" w:history="1">
              <w:r w:rsidRPr="00FF4D21">
                <w:rPr>
                  <w:rStyle w:val="Hyperlink"/>
                </w:rPr>
                <w:t>GL-</w:t>
              </w:r>
              <w:r w:rsidR="00FF4D21" w:rsidRPr="00FF4D21">
                <w:rPr>
                  <w:rStyle w:val="Hyperlink"/>
                </w:rPr>
                <w:t>2</w:t>
              </w:r>
              <w:r w:rsidRPr="00FF4D21">
                <w:rPr>
                  <w:rStyle w:val="Hyperlink"/>
                </w:rPr>
                <w:t xml:space="preserve"> App D</w:t>
              </w:r>
            </w:hyperlink>
            <w:r>
              <w:t xml:space="preserve"> </w:t>
            </w:r>
          </w:p>
        </w:tc>
      </w:tr>
      <w:tr w:rsidR="007530A9" w:rsidRPr="00E11989" w14:paraId="1D7820F6" w14:textId="77777777" w:rsidTr="00E11989">
        <w:trPr>
          <w:cnfStyle w:val="000000010000" w:firstRow="0" w:lastRow="0" w:firstColumn="0" w:lastColumn="0" w:oddVBand="0" w:evenVBand="0" w:oddHBand="0" w:evenHBand="1" w:firstRowFirstColumn="0" w:firstRowLastColumn="0" w:lastRowFirstColumn="0" w:lastRowLastColumn="0"/>
          <w:cantSplit w:val="0"/>
        </w:trPr>
        <w:tc>
          <w:tcPr>
            <w:tcW w:w="583" w:type="pct"/>
          </w:tcPr>
          <w:p w14:paraId="42E8C49E" w14:textId="77777777" w:rsidR="007530A9" w:rsidRPr="00E11989" w:rsidRDefault="002B28D0" w:rsidP="00E11989">
            <w:pPr>
              <w:pStyle w:val="Tabletext"/>
            </w:pPr>
            <w:r>
              <w:t>6</w:t>
            </w:r>
          </w:p>
        </w:tc>
        <w:tc>
          <w:tcPr>
            <w:tcW w:w="3455" w:type="pct"/>
          </w:tcPr>
          <w:p w14:paraId="76CBC4C0" w14:textId="77777777" w:rsidR="007530A9" w:rsidRPr="00E11989" w:rsidRDefault="00A27FA5" w:rsidP="003D6BD5">
            <w:pPr>
              <w:pStyle w:val="Tabletext"/>
            </w:pPr>
            <w:r w:rsidRPr="00E11989">
              <w:t xml:space="preserve">Victorian </w:t>
            </w:r>
            <w:r w:rsidR="007530A9" w:rsidRPr="00E11989">
              <w:t xml:space="preserve">DRFA </w:t>
            </w:r>
            <w:r w:rsidR="003D6BD5">
              <w:t>Cost estimation tool</w:t>
            </w:r>
            <w:r w:rsidR="007530A9" w:rsidRPr="00E11989">
              <w:t xml:space="preserve"> </w:t>
            </w:r>
          </w:p>
        </w:tc>
        <w:tc>
          <w:tcPr>
            <w:tcW w:w="962" w:type="pct"/>
          </w:tcPr>
          <w:p w14:paraId="0247F469" w14:textId="77777777" w:rsidR="007530A9" w:rsidRPr="00E11989" w:rsidRDefault="007530A9" w:rsidP="00E11989">
            <w:pPr>
              <w:pStyle w:val="Tabletext"/>
            </w:pPr>
            <w:hyperlink r:id="rId33" w:history="1">
              <w:r w:rsidRPr="007B5B08">
                <w:rPr>
                  <w:rStyle w:val="Hyperlink"/>
                </w:rPr>
                <w:t>VT-CE</w:t>
              </w:r>
            </w:hyperlink>
          </w:p>
        </w:tc>
      </w:tr>
      <w:tr w:rsidR="00E96CBA" w:rsidRPr="00E11989" w14:paraId="04E808A0" w14:textId="77777777" w:rsidTr="00E11989">
        <w:trPr>
          <w:cantSplit w:val="0"/>
        </w:trPr>
        <w:tc>
          <w:tcPr>
            <w:tcW w:w="583" w:type="pct"/>
          </w:tcPr>
          <w:p w14:paraId="2495356B" w14:textId="77777777" w:rsidR="00E96CBA" w:rsidRDefault="00E96CBA" w:rsidP="00E11989">
            <w:pPr>
              <w:pStyle w:val="Tabletext"/>
            </w:pPr>
            <w:r>
              <w:t>7</w:t>
            </w:r>
          </w:p>
        </w:tc>
        <w:tc>
          <w:tcPr>
            <w:tcW w:w="3455" w:type="pct"/>
          </w:tcPr>
          <w:p w14:paraId="0B2F0F42" w14:textId="77777777" w:rsidR="00E96CBA" w:rsidRPr="00E11989" w:rsidRDefault="00E96CBA" w:rsidP="003D6BD5">
            <w:pPr>
              <w:pStyle w:val="Tabletext"/>
            </w:pPr>
            <w:r>
              <w:t>Victorian DRFA C</w:t>
            </w:r>
            <w:r w:rsidRPr="00E554EF">
              <w:t xml:space="preserve">ost </w:t>
            </w:r>
            <w:r>
              <w:t>E</w:t>
            </w:r>
            <w:r w:rsidRPr="00E554EF">
              <w:t>scalation calculation tool</w:t>
            </w:r>
          </w:p>
        </w:tc>
        <w:tc>
          <w:tcPr>
            <w:tcW w:w="962" w:type="pct"/>
          </w:tcPr>
          <w:p w14:paraId="27691219" w14:textId="0D839139" w:rsidR="00E96CBA" w:rsidRPr="00E11989" w:rsidRDefault="00E96CBA" w:rsidP="00E11989">
            <w:pPr>
              <w:pStyle w:val="Tabletext"/>
            </w:pPr>
            <w:r>
              <w:t>VT-C</w:t>
            </w:r>
            <w:r w:rsidR="00603D4E">
              <w:t>e</w:t>
            </w:r>
            <w:r>
              <w:t>sc</w:t>
            </w:r>
          </w:p>
        </w:tc>
      </w:tr>
    </w:tbl>
    <w:p w14:paraId="549F96CC" w14:textId="77777777" w:rsidR="00E11989" w:rsidRDefault="00E11989" w:rsidP="00E11989"/>
    <w:p w14:paraId="0969048D" w14:textId="77777777" w:rsidR="00173786" w:rsidRDefault="0087764D" w:rsidP="005C2F8D">
      <w:pPr>
        <w:pStyle w:val="Heading2"/>
      </w:pPr>
      <w:r>
        <w:br w:type="page"/>
      </w:r>
      <w:bookmarkStart w:id="72" w:name="_Toc170127194"/>
      <w:r w:rsidR="00D75495">
        <w:lastRenderedPageBreak/>
        <w:t xml:space="preserve">Appendix </w:t>
      </w:r>
      <w:r w:rsidR="007530A9">
        <w:t>B</w:t>
      </w:r>
      <w:r w:rsidR="00C43D19">
        <w:t>:</w:t>
      </w:r>
      <w:r w:rsidR="009965E6">
        <w:t xml:space="preserve"> Standard </w:t>
      </w:r>
      <w:r w:rsidR="004A3385">
        <w:t>t</w:t>
      </w:r>
      <w:r w:rsidR="003037F1">
        <w:t xml:space="preserve">reatment </w:t>
      </w:r>
      <w:r w:rsidR="004A3385">
        <w:t>g</w:t>
      </w:r>
      <w:r w:rsidR="003037F1">
        <w:t>uide</w:t>
      </w:r>
      <w:r w:rsidR="00DC4478">
        <w:t>line</w:t>
      </w:r>
      <w:r w:rsidR="009965E6">
        <w:t>s</w:t>
      </w:r>
      <w:bookmarkEnd w:id="72"/>
    </w:p>
    <w:p w14:paraId="1CE0530A" w14:textId="77777777" w:rsidR="00395249" w:rsidRDefault="00DC4478" w:rsidP="0087764D">
      <w:r>
        <w:t xml:space="preserve">Reference </w:t>
      </w:r>
      <w:r w:rsidR="00D75495">
        <w:t xml:space="preserve">Appendix </w:t>
      </w:r>
      <w:r w:rsidR="007530A9">
        <w:t>B</w:t>
      </w:r>
      <w:r w:rsidR="00C43D19">
        <w:t>:</w:t>
      </w:r>
      <w:r>
        <w:t xml:space="preserve"> </w:t>
      </w:r>
      <w:r w:rsidR="00395249">
        <w:t xml:space="preserve">Victorian DRFA guideline 2 </w:t>
      </w:r>
      <w:r>
        <w:t xml:space="preserve">Standard </w:t>
      </w:r>
      <w:r w:rsidR="004A3385">
        <w:t>t</w:t>
      </w:r>
      <w:r>
        <w:t xml:space="preserve">reatment </w:t>
      </w:r>
      <w:r w:rsidR="00395249">
        <w:t xml:space="preserve">– available on the website </w:t>
      </w:r>
    </w:p>
    <w:p w14:paraId="64DE7ADA" w14:textId="77777777" w:rsidR="00395249" w:rsidRDefault="00395249" w:rsidP="0087764D">
      <w:hyperlink r:id="rId34" w:history="1">
        <w:r w:rsidRPr="007A4E48">
          <w:rPr>
            <w:rStyle w:val="Hyperlink"/>
          </w:rPr>
          <w:t>https://www.emv.vic.gov.au/natural-disaster-financial-assistance/events-post-1-november-2018</w:t>
        </w:r>
      </w:hyperlink>
    </w:p>
    <w:p w14:paraId="461BDD54" w14:textId="77777777" w:rsidR="00395249" w:rsidRDefault="00395249" w:rsidP="0087764D"/>
    <w:p w14:paraId="3606BB14" w14:textId="77777777" w:rsidR="00395249" w:rsidRDefault="00395249" w:rsidP="0087764D"/>
    <w:p w14:paraId="3B43C6C2" w14:textId="77777777" w:rsidR="00E11989" w:rsidRDefault="00E11989" w:rsidP="0087764D"/>
    <w:p w14:paraId="322CC7CF" w14:textId="77777777" w:rsidR="00C53DB0" w:rsidRDefault="00C53DB0" w:rsidP="00C53DB0"/>
    <w:p w14:paraId="7AFA270A" w14:textId="77777777" w:rsidR="00C53DB0" w:rsidRDefault="00395249" w:rsidP="00C53DB0">
      <w:pPr>
        <w:sectPr w:rsidR="00C53DB0" w:rsidSect="00AA033A">
          <w:headerReference w:type="even" r:id="rId35"/>
          <w:headerReference w:type="default" r:id="rId36"/>
          <w:footerReference w:type="even" r:id="rId37"/>
          <w:footerReference w:type="default" r:id="rId38"/>
          <w:type w:val="oddPage"/>
          <w:pgSz w:w="11906" w:h="16838" w:code="9"/>
          <w:pgMar w:top="2160" w:right="1440" w:bottom="1134" w:left="1440" w:header="706" w:footer="461" w:gutter="0"/>
          <w:pgNumType w:start="1"/>
          <w:cols w:space="708"/>
          <w:docGrid w:linePitch="360"/>
        </w:sectPr>
      </w:pPr>
      <w:r>
        <w:rPr>
          <w:noProof/>
        </w:rPr>
        <w:drawing>
          <wp:anchor distT="0" distB="0" distL="114300" distR="114300" simplePos="0" relativeHeight="251658240" behindDoc="0" locked="0" layoutInCell="1" allowOverlap="1" wp14:anchorId="7ED305D0" wp14:editId="00930A08">
            <wp:simplePos x="0" y="0"/>
            <wp:positionH relativeFrom="column">
              <wp:posOffset>1098550</wp:posOffset>
            </wp:positionH>
            <wp:positionV relativeFrom="paragraph">
              <wp:posOffset>42545</wp:posOffset>
            </wp:positionV>
            <wp:extent cx="2863850" cy="4112699"/>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3850" cy="4112699"/>
                    </a:xfrm>
                    <a:prstGeom prst="rect">
                      <a:avLst/>
                    </a:prstGeom>
                  </pic:spPr>
                </pic:pic>
              </a:graphicData>
            </a:graphic>
          </wp:anchor>
        </w:drawing>
      </w:r>
    </w:p>
    <w:p w14:paraId="69B8987A" w14:textId="77777777" w:rsidR="00C53DB0" w:rsidRPr="0087764D" w:rsidRDefault="00C53DB0" w:rsidP="005C2F8D">
      <w:pPr>
        <w:pStyle w:val="Heading2"/>
      </w:pPr>
      <w:bookmarkStart w:id="73" w:name="_Toc170127195"/>
      <w:r>
        <w:lastRenderedPageBreak/>
        <w:t>Appendix C: Standard deterministic risk matrix – Victoria</w:t>
      </w:r>
      <w:bookmarkEnd w:id="73"/>
    </w:p>
    <w:p w14:paraId="69BE653F" w14:textId="77777777" w:rsidR="00C53DB0" w:rsidRDefault="00C53DB0" w:rsidP="00C53DB0">
      <w:pPr>
        <w:pStyle w:val="Tablechartdiagramheading"/>
      </w:pPr>
      <w:r>
        <w:t>Table C.1:</w:t>
      </w:r>
      <w:r w:rsidR="005C2F8D">
        <w:t xml:space="preserve"> </w:t>
      </w:r>
      <w:r>
        <w:t>Standard deterministic risk matrix – Victoria</w:t>
      </w:r>
    </w:p>
    <w:tbl>
      <w:tblPr>
        <w:tblStyle w:val="DTFtexttable"/>
        <w:tblW w:w="5000" w:type="pct"/>
        <w:tblLook w:val="06A0" w:firstRow="1" w:lastRow="0" w:firstColumn="1" w:lastColumn="0" w:noHBand="1" w:noVBand="1"/>
      </w:tblPr>
      <w:tblGrid>
        <w:gridCol w:w="1695"/>
        <w:gridCol w:w="2420"/>
        <w:gridCol w:w="2398"/>
        <w:gridCol w:w="2652"/>
        <w:gridCol w:w="2395"/>
        <w:gridCol w:w="2398"/>
      </w:tblGrid>
      <w:tr w:rsidR="00C53DB0" w:rsidRPr="00D45222" w14:paraId="18C8371E" w14:textId="77777777" w:rsidTr="005536EC">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607" w:type="pct"/>
            <w:vMerge w:val="restart"/>
            <w:hideMark/>
          </w:tcPr>
          <w:p w14:paraId="483F156D" w14:textId="77777777" w:rsidR="00C53DB0" w:rsidRPr="00C53DB0" w:rsidRDefault="00C53DB0" w:rsidP="00C53DB0">
            <w:pPr>
              <w:pStyle w:val="Tableheader"/>
              <w:jc w:val="center"/>
            </w:pPr>
          </w:p>
        </w:tc>
        <w:tc>
          <w:tcPr>
            <w:tcW w:w="867" w:type="pct"/>
            <w:vMerge w:val="restart"/>
            <w:hideMark/>
          </w:tcPr>
          <w:p w14:paraId="3725D3E2" w14:textId="77777777" w:rsidR="00C53DB0" w:rsidRPr="00D45222" w:rsidRDefault="00C53DB0" w:rsidP="00C53DB0">
            <w:pPr>
              <w:pStyle w:val="Tableheader"/>
              <w:cnfStyle w:val="100000000000" w:firstRow="1" w:lastRow="0" w:firstColumn="0" w:lastColumn="0" w:oddVBand="0" w:evenVBand="0" w:oddHBand="0" w:evenHBand="0" w:firstRowFirstColumn="0" w:firstRowLastColumn="0" w:lastRowFirstColumn="0" w:lastRowLastColumn="0"/>
            </w:pPr>
            <w:r w:rsidRPr="00D45222">
              <w:t>Available information on which the estimate is based</w:t>
            </w:r>
          </w:p>
        </w:tc>
        <w:tc>
          <w:tcPr>
            <w:tcW w:w="859" w:type="pct"/>
            <w:vMerge w:val="restart"/>
            <w:hideMark/>
          </w:tcPr>
          <w:p w14:paraId="413E6469" w14:textId="77777777" w:rsidR="00C53DB0" w:rsidRPr="00D45222" w:rsidRDefault="00C53DB0" w:rsidP="00C53DB0">
            <w:pPr>
              <w:pStyle w:val="Tableheader"/>
              <w:cnfStyle w:val="100000000000" w:firstRow="1" w:lastRow="0" w:firstColumn="0" w:lastColumn="0" w:oddVBand="0" w:evenVBand="0" w:oddHBand="0" w:evenHBand="0" w:firstRowFirstColumn="0" w:firstRowLastColumn="0" w:lastRowFirstColumn="0" w:lastRowLastColumn="0"/>
            </w:pPr>
            <w:r w:rsidRPr="00D45222">
              <w:t>Questions as relevant to works</w:t>
            </w:r>
          </w:p>
        </w:tc>
        <w:tc>
          <w:tcPr>
            <w:tcW w:w="2667" w:type="pct"/>
            <w:gridSpan w:val="3"/>
            <w:tcBorders>
              <w:top w:val="nil"/>
              <w:bottom w:val="single" w:sz="6" w:space="0" w:color="FFFFFF" w:themeColor="background1"/>
            </w:tcBorders>
            <w:hideMark/>
          </w:tcPr>
          <w:p w14:paraId="119EEBC9" w14:textId="77777777" w:rsidR="00C53DB0" w:rsidRPr="00D45222" w:rsidRDefault="00C53DB0" w:rsidP="00C53DB0">
            <w:pPr>
              <w:pStyle w:val="Tableheader"/>
              <w:jc w:val="center"/>
              <w:cnfStyle w:val="100000000000" w:firstRow="1" w:lastRow="0" w:firstColumn="0" w:lastColumn="0" w:oddVBand="0" w:evenVBand="0" w:oddHBand="0" w:evenHBand="0" w:firstRowFirstColumn="0" w:firstRowLastColumn="0" w:lastRowFirstColumn="0" w:lastRowLastColumn="0"/>
            </w:pPr>
            <w:r w:rsidRPr="00D45222">
              <w:t>Confidence and reliability</w:t>
            </w:r>
          </w:p>
        </w:tc>
      </w:tr>
      <w:tr w:rsidR="00C53DB0" w:rsidRPr="00D45222" w14:paraId="1A46EAFE" w14:textId="77777777" w:rsidTr="001955E4">
        <w:trPr>
          <w:trHeight w:val="511"/>
        </w:trPr>
        <w:tc>
          <w:tcPr>
            <w:cnfStyle w:val="001000000000" w:firstRow="0" w:lastRow="0" w:firstColumn="1" w:lastColumn="0" w:oddVBand="0" w:evenVBand="0" w:oddHBand="0" w:evenHBand="0" w:firstRowFirstColumn="0" w:firstRowLastColumn="0" w:lastRowFirstColumn="0" w:lastRowLastColumn="0"/>
            <w:tcW w:w="607" w:type="pct"/>
            <w:vMerge/>
            <w:hideMark/>
          </w:tcPr>
          <w:p w14:paraId="53F73D1C" w14:textId="77777777" w:rsidR="00C53DB0" w:rsidRPr="00C53DB0" w:rsidRDefault="00C53DB0" w:rsidP="00C53DB0">
            <w:pPr>
              <w:pStyle w:val="Tableheader"/>
              <w:jc w:val="center"/>
            </w:pPr>
          </w:p>
        </w:tc>
        <w:tc>
          <w:tcPr>
            <w:tcW w:w="867" w:type="pct"/>
            <w:vMerge/>
            <w:hideMark/>
          </w:tcPr>
          <w:p w14:paraId="4EF03263" w14:textId="77777777" w:rsidR="00C53DB0" w:rsidRPr="00D45222" w:rsidRDefault="00C53DB0" w:rsidP="00C53DB0">
            <w:pPr>
              <w:pStyle w:val="Tableheader"/>
              <w:jc w:val="center"/>
              <w:cnfStyle w:val="000000000000" w:firstRow="0" w:lastRow="0" w:firstColumn="0" w:lastColumn="0" w:oddVBand="0" w:evenVBand="0" w:oddHBand="0" w:evenHBand="0" w:firstRowFirstColumn="0" w:firstRowLastColumn="0" w:lastRowFirstColumn="0" w:lastRowLastColumn="0"/>
            </w:pPr>
          </w:p>
        </w:tc>
        <w:tc>
          <w:tcPr>
            <w:tcW w:w="859" w:type="pct"/>
            <w:vMerge/>
            <w:hideMark/>
          </w:tcPr>
          <w:p w14:paraId="6FC9EA49" w14:textId="77777777" w:rsidR="00C53DB0" w:rsidRPr="00D45222" w:rsidRDefault="00C53DB0" w:rsidP="00C53DB0">
            <w:pPr>
              <w:pStyle w:val="Tableheader"/>
              <w:jc w:val="center"/>
              <w:cnfStyle w:val="000000000000" w:firstRow="0" w:lastRow="0" w:firstColumn="0" w:lastColumn="0" w:oddVBand="0" w:evenVBand="0" w:oddHBand="0" w:evenHBand="0" w:firstRowFirstColumn="0" w:firstRowLastColumn="0" w:lastRowFirstColumn="0" w:lastRowLastColumn="0"/>
            </w:pPr>
          </w:p>
        </w:tc>
        <w:tc>
          <w:tcPr>
            <w:tcW w:w="950" w:type="pct"/>
            <w:tcBorders>
              <w:top w:val="single" w:sz="6" w:space="0" w:color="FFFFFF" w:themeColor="background1"/>
            </w:tcBorders>
            <w:shd w:val="clear" w:color="auto" w:fill="0063A6"/>
            <w:hideMark/>
          </w:tcPr>
          <w:p w14:paraId="302DE90F" w14:textId="77777777" w:rsidR="00C53DB0" w:rsidRPr="001955E4" w:rsidRDefault="00C53DB0" w:rsidP="001955E4">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1955E4">
              <w:rPr>
                <w:b/>
              </w:rPr>
              <w:t>Highly confident and reliable</w:t>
            </w:r>
          </w:p>
        </w:tc>
        <w:tc>
          <w:tcPr>
            <w:tcW w:w="858" w:type="pct"/>
            <w:tcBorders>
              <w:top w:val="single" w:sz="6" w:space="0" w:color="FFFFFF" w:themeColor="background1"/>
            </w:tcBorders>
            <w:shd w:val="clear" w:color="auto" w:fill="0063A6"/>
            <w:hideMark/>
          </w:tcPr>
          <w:p w14:paraId="6C52A5B6" w14:textId="77777777" w:rsidR="00C53DB0" w:rsidRPr="001955E4" w:rsidRDefault="00C53DB0" w:rsidP="001955E4">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1955E4">
              <w:rPr>
                <w:b/>
              </w:rPr>
              <w:t>Reasonably confident and reliable</w:t>
            </w:r>
          </w:p>
        </w:tc>
        <w:tc>
          <w:tcPr>
            <w:tcW w:w="859" w:type="pct"/>
            <w:tcBorders>
              <w:top w:val="single" w:sz="6" w:space="0" w:color="FFFFFF" w:themeColor="background1"/>
            </w:tcBorders>
            <w:shd w:val="clear" w:color="auto" w:fill="0063A6"/>
            <w:hideMark/>
          </w:tcPr>
          <w:p w14:paraId="39AC18F9" w14:textId="77777777" w:rsidR="00C53DB0" w:rsidRPr="001955E4" w:rsidRDefault="00C53DB0" w:rsidP="001955E4">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1955E4">
              <w:rPr>
                <w:b/>
              </w:rPr>
              <w:t>Not confident and not reliable</w:t>
            </w:r>
          </w:p>
        </w:tc>
      </w:tr>
      <w:tr w:rsidR="00C53DB0" w:rsidRPr="00C53DB0" w14:paraId="36B08CB9"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2DB1C048" w14:textId="77777777" w:rsidR="00C53DB0" w:rsidRPr="00C53DB0" w:rsidRDefault="00C53DB0" w:rsidP="00C53DB0">
            <w:pPr>
              <w:pStyle w:val="Tabletext"/>
              <w:rPr>
                <w:b/>
              </w:rPr>
            </w:pPr>
            <w:r w:rsidRPr="00C53DB0">
              <w:rPr>
                <w:b/>
              </w:rPr>
              <w:t>Project scope</w:t>
            </w:r>
          </w:p>
        </w:tc>
        <w:tc>
          <w:tcPr>
            <w:tcW w:w="867" w:type="pct"/>
            <w:vMerge w:val="restart"/>
            <w:hideMark/>
          </w:tcPr>
          <w:p w14:paraId="172A51DE"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A set of well-defined project objectives and related performance criteria.</w:t>
            </w:r>
          </w:p>
        </w:tc>
        <w:tc>
          <w:tcPr>
            <w:tcW w:w="859" w:type="pct"/>
            <w:vMerge w:val="restart"/>
            <w:hideMark/>
          </w:tcPr>
          <w:p w14:paraId="4D935E9B"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What is the level of confidence and reliability in the scope and quantities inherent to this treatment?</w:t>
            </w:r>
          </w:p>
        </w:tc>
        <w:tc>
          <w:tcPr>
            <w:tcW w:w="950" w:type="pct"/>
            <w:hideMark/>
          </w:tcPr>
          <w:p w14:paraId="29A1398D"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6%</w:t>
            </w:r>
          </w:p>
        </w:tc>
        <w:tc>
          <w:tcPr>
            <w:tcW w:w="858" w:type="pct"/>
            <w:hideMark/>
          </w:tcPr>
          <w:p w14:paraId="29299683"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7%</w:t>
            </w:r>
          </w:p>
        </w:tc>
        <w:tc>
          <w:tcPr>
            <w:tcW w:w="859" w:type="pct"/>
            <w:hideMark/>
          </w:tcPr>
          <w:p w14:paraId="3B7FF396"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9%</w:t>
            </w:r>
          </w:p>
        </w:tc>
      </w:tr>
      <w:tr w:rsidR="00C53DB0" w:rsidRPr="00C53DB0" w14:paraId="70EB6E5F" w14:textId="77777777" w:rsidTr="00C53DB0">
        <w:trPr>
          <w:trHeight w:val="607"/>
        </w:trPr>
        <w:tc>
          <w:tcPr>
            <w:cnfStyle w:val="001000000000" w:firstRow="0" w:lastRow="0" w:firstColumn="1" w:lastColumn="0" w:oddVBand="0" w:evenVBand="0" w:oddHBand="0" w:evenHBand="0" w:firstRowFirstColumn="0" w:firstRowLastColumn="0" w:lastRowFirstColumn="0" w:lastRowLastColumn="0"/>
            <w:tcW w:w="607" w:type="pct"/>
            <w:vMerge/>
            <w:hideMark/>
          </w:tcPr>
          <w:p w14:paraId="2E1356C5" w14:textId="77777777" w:rsidR="00C53DB0" w:rsidRPr="00C53DB0" w:rsidRDefault="00C53DB0" w:rsidP="00C53DB0">
            <w:pPr>
              <w:pStyle w:val="Tabletext"/>
              <w:rPr>
                <w:b/>
              </w:rPr>
            </w:pPr>
          </w:p>
        </w:tc>
        <w:tc>
          <w:tcPr>
            <w:tcW w:w="867" w:type="pct"/>
            <w:vMerge/>
            <w:hideMark/>
          </w:tcPr>
          <w:p w14:paraId="36F49AEF"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859" w:type="pct"/>
            <w:vMerge/>
            <w:hideMark/>
          </w:tcPr>
          <w:p w14:paraId="60E894B8"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950" w:type="pct"/>
            <w:hideMark/>
          </w:tcPr>
          <w:p w14:paraId="559E4523"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Precast items and discreet elements (e.g. headwalls, culvert units and aprons).</w:t>
            </w:r>
          </w:p>
        </w:tc>
        <w:tc>
          <w:tcPr>
            <w:tcW w:w="858" w:type="pct"/>
            <w:hideMark/>
          </w:tcPr>
          <w:p w14:paraId="33CF37F1"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Scope and quantities defined by road chainage and length and depth.</w:t>
            </w:r>
          </w:p>
        </w:tc>
        <w:tc>
          <w:tcPr>
            <w:tcW w:w="859" w:type="pct"/>
            <w:hideMark/>
          </w:tcPr>
          <w:p w14:paraId="2FA1E56E"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Scope and quantities cannot be readily measured (e.g. scour holes, debris blockage).</w:t>
            </w:r>
          </w:p>
        </w:tc>
      </w:tr>
      <w:tr w:rsidR="00C53DB0" w:rsidRPr="00C53DB0" w14:paraId="71654A4A" w14:textId="77777777" w:rsidTr="00C53DB0">
        <w:trPr>
          <w:trHeight w:val="618"/>
        </w:trPr>
        <w:tc>
          <w:tcPr>
            <w:cnfStyle w:val="001000000000" w:firstRow="0" w:lastRow="0" w:firstColumn="1" w:lastColumn="0" w:oddVBand="0" w:evenVBand="0" w:oddHBand="0" w:evenHBand="0" w:firstRowFirstColumn="0" w:firstRowLastColumn="0" w:lastRowFirstColumn="0" w:lastRowLastColumn="0"/>
            <w:tcW w:w="607" w:type="pct"/>
            <w:vMerge/>
            <w:hideMark/>
          </w:tcPr>
          <w:p w14:paraId="12F6224F" w14:textId="77777777" w:rsidR="00C53DB0" w:rsidRPr="00C53DB0" w:rsidRDefault="00C53DB0" w:rsidP="00C53DB0">
            <w:pPr>
              <w:pStyle w:val="Tabletext"/>
              <w:rPr>
                <w:b/>
              </w:rPr>
            </w:pPr>
          </w:p>
        </w:tc>
        <w:tc>
          <w:tcPr>
            <w:tcW w:w="867" w:type="pct"/>
            <w:hideMark/>
          </w:tcPr>
          <w:p w14:paraId="078EE47A"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Investigations or test results, design report and design drawings.</w:t>
            </w:r>
          </w:p>
        </w:tc>
        <w:tc>
          <w:tcPr>
            <w:tcW w:w="859" w:type="pct"/>
            <w:vMerge/>
            <w:hideMark/>
          </w:tcPr>
          <w:p w14:paraId="0FDFE381"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950" w:type="pct"/>
            <w:hideMark/>
          </w:tcPr>
          <w:p w14:paraId="1B2794C5"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Scope and quantities relate to elements that are both easily quantifiable and distinct from the surrounding environment.</w:t>
            </w:r>
          </w:p>
        </w:tc>
        <w:tc>
          <w:tcPr>
            <w:tcW w:w="858" w:type="pct"/>
            <w:hideMark/>
          </w:tcPr>
          <w:p w14:paraId="5883194A"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 xml:space="preserve">Investigation and design </w:t>
            </w:r>
            <w:r w:rsidR="005A3225" w:rsidRPr="00C53DB0">
              <w:t>undertaken;</w:t>
            </w:r>
            <w:r w:rsidRPr="00C53DB0">
              <w:t xml:space="preserve"> </w:t>
            </w:r>
            <w:r w:rsidR="00A07138" w:rsidRPr="00C53DB0">
              <w:t>however,</w:t>
            </w:r>
            <w:r w:rsidRPr="00C53DB0">
              <w:t xml:space="preserve"> uncertainties exist with subgrade or subsurface conditions.</w:t>
            </w:r>
          </w:p>
        </w:tc>
        <w:tc>
          <w:tcPr>
            <w:tcW w:w="859" w:type="pct"/>
            <w:hideMark/>
          </w:tcPr>
          <w:p w14:paraId="386E0FEA"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Conditions and materials are variable. Ongoing investigations and design anticipated.</w:t>
            </w:r>
          </w:p>
        </w:tc>
      </w:tr>
      <w:tr w:rsidR="00C53DB0" w:rsidRPr="00C53DB0" w14:paraId="3461347A"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55DFE142" w14:textId="77777777" w:rsidR="00C53DB0" w:rsidRPr="00C53DB0" w:rsidRDefault="00C53DB0" w:rsidP="00C53DB0">
            <w:pPr>
              <w:pStyle w:val="Tabletext"/>
              <w:rPr>
                <w:b/>
              </w:rPr>
            </w:pPr>
            <w:r w:rsidRPr="00C53DB0">
              <w:rPr>
                <w:b/>
              </w:rPr>
              <w:t>Risk identification</w:t>
            </w:r>
          </w:p>
        </w:tc>
        <w:tc>
          <w:tcPr>
            <w:tcW w:w="867" w:type="pct"/>
            <w:vMerge w:val="restart"/>
            <w:hideMark/>
          </w:tcPr>
          <w:p w14:paraId="08D17BDE"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Risk analysis of significant risks (political, community, technical, financial, environmental, labour and materials).</w:t>
            </w:r>
          </w:p>
        </w:tc>
        <w:tc>
          <w:tcPr>
            <w:tcW w:w="859" w:type="pct"/>
            <w:vMerge w:val="restart"/>
            <w:hideMark/>
          </w:tcPr>
          <w:p w14:paraId="6789B3C9" w14:textId="77777777" w:rsid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 xml:space="preserve">What is the level of confidence with: </w:t>
            </w:r>
          </w:p>
          <w:p w14:paraId="28C31271" w14:textId="77777777" w:rsidR="00C53DB0" w:rsidRDefault="00C53DB0" w:rsidP="005536EC">
            <w:pPr>
              <w:pStyle w:val="Tablenum1"/>
              <w:cnfStyle w:val="000000000000" w:firstRow="0" w:lastRow="0" w:firstColumn="0" w:lastColumn="0" w:oddVBand="0" w:evenVBand="0" w:oddHBand="0" w:evenHBand="0" w:firstRowFirstColumn="0" w:firstRowLastColumn="0" w:lastRowFirstColumn="0" w:lastRowLastColumn="0"/>
            </w:pPr>
            <w:r w:rsidRPr="005536EC">
              <w:t>the</w:t>
            </w:r>
            <w:r w:rsidRPr="00C53DB0">
              <w:t xml:space="preserve"> availability of</w:t>
            </w:r>
            <w:r>
              <w:t xml:space="preserve"> labour to undertake the works?</w:t>
            </w:r>
          </w:p>
          <w:p w14:paraId="5EA74C85" w14:textId="77777777" w:rsidR="00C53DB0" w:rsidRPr="00C53DB0" w:rsidRDefault="00C53DB0" w:rsidP="005536EC">
            <w:pPr>
              <w:pStyle w:val="Tablenum1"/>
              <w:cnfStyle w:val="000000000000" w:firstRow="0" w:lastRow="0" w:firstColumn="0" w:lastColumn="0" w:oddVBand="0" w:evenVBand="0" w:oddHBand="0" w:evenHBand="0" w:firstRowFirstColumn="0" w:firstRowLastColumn="0" w:lastRowFirstColumn="0" w:lastRowLastColumn="0"/>
            </w:pPr>
            <w:r w:rsidRPr="00C53DB0">
              <w:t>the availability of the materials to undertake the works?</w:t>
            </w:r>
          </w:p>
        </w:tc>
        <w:tc>
          <w:tcPr>
            <w:tcW w:w="950" w:type="pct"/>
            <w:hideMark/>
          </w:tcPr>
          <w:p w14:paraId="532F717E"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6%</w:t>
            </w:r>
          </w:p>
        </w:tc>
        <w:tc>
          <w:tcPr>
            <w:tcW w:w="858" w:type="pct"/>
            <w:hideMark/>
          </w:tcPr>
          <w:p w14:paraId="5E21CD2E"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7%</w:t>
            </w:r>
          </w:p>
        </w:tc>
        <w:tc>
          <w:tcPr>
            <w:tcW w:w="859" w:type="pct"/>
            <w:hideMark/>
          </w:tcPr>
          <w:p w14:paraId="51C958D1"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9%</w:t>
            </w:r>
          </w:p>
        </w:tc>
      </w:tr>
      <w:tr w:rsidR="00C53DB0" w:rsidRPr="00C53DB0" w14:paraId="489C1A35" w14:textId="77777777" w:rsidTr="00C53DB0">
        <w:trPr>
          <w:trHeight w:val="403"/>
        </w:trPr>
        <w:tc>
          <w:tcPr>
            <w:cnfStyle w:val="001000000000" w:firstRow="0" w:lastRow="0" w:firstColumn="1" w:lastColumn="0" w:oddVBand="0" w:evenVBand="0" w:oddHBand="0" w:evenHBand="0" w:firstRowFirstColumn="0" w:firstRowLastColumn="0" w:lastRowFirstColumn="0" w:lastRowLastColumn="0"/>
            <w:tcW w:w="607" w:type="pct"/>
            <w:vMerge/>
            <w:hideMark/>
          </w:tcPr>
          <w:p w14:paraId="1026EB0A" w14:textId="77777777" w:rsidR="00C53DB0" w:rsidRPr="00C53DB0" w:rsidRDefault="00C53DB0" w:rsidP="00C53DB0">
            <w:pPr>
              <w:pStyle w:val="Tabletext"/>
              <w:rPr>
                <w:b/>
              </w:rPr>
            </w:pPr>
          </w:p>
        </w:tc>
        <w:tc>
          <w:tcPr>
            <w:tcW w:w="867" w:type="pct"/>
            <w:vMerge/>
            <w:hideMark/>
          </w:tcPr>
          <w:p w14:paraId="40139362"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859" w:type="pct"/>
            <w:vMerge/>
            <w:hideMark/>
          </w:tcPr>
          <w:p w14:paraId="4A09EBA5"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950" w:type="pct"/>
            <w:hideMark/>
          </w:tcPr>
          <w:p w14:paraId="79A1F8FF"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The treatment is not reliant on materials supply.</w:t>
            </w:r>
          </w:p>
        </w:tc>
        <w:tc>
          <w:tcPr>
            <w:tcW w:w="858" w:type="pct"/>
            <w:hideMark/>
          </w:tcPr>
          <w:p w14:paraId="55DA4998"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Regional areas with variable availability of labour.</w:t>
            </w:r>
          </w:p>
        </w:tc>
        <w:tc>
          <w:tcPr>
            <w:tcW w:w="859" w:type="pct"/>
            <w:hideMark/>
          </w:tcPr>
          <w:p w14:paraId="324628E8"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Region consists of predominantly remote areas with limited suppliers</w:t>
            </w:r>
          </w:p>
        </w:tc>
      </w:tr>
      <w:tr w:rsidR="00C53DB0" w:rsidRPr="00C53DB0" w14:paraId="6646782C" w14:textId="77777777" w:rsidTr="00C53DB0">
        <w:trPr>
          <w:trHeight w:val="1501"/>
        </w:trPr>
        <w:tc>
          <w:tcPr>
            <w:cnfStyle w:val="001000000000" w:firstRow="0" w:lastRow="0" w:firstColumn="1" w:lastColumn="0" w:oddVBand="0" w:evenVBand="0" w:oddHBand="0" w:evenHBand="0" w:firstRowFirstColumn="0" w:firstRowLastColumn="0" w:lastRowFirstColumn="0" w:lastRowLastColumn="0"/>
            <w:tcW w:w="607" w:type="pct"/>
            <w:vMerge/>
            <w:hideMark/>
          </w:tcPr>
          <w:p w14:paraId="27A63980" w14:textId="77777777" w:rsidR="00C53DB0" w:rsidRPr="00C53DB0" w:rsidRDefault="00C53DB0" w:rsidP="00C53DB0">
            <w:pPr>
              <w:pStyle w:val="Tabletext"/>
              <w:rPr>
                <w:b/>
              </w:rPr>
            </w:pPr>
          </w:p>
        </w:tc>
        <w:tc>
          <w:tcPr>
            <w:tcW w:w="867" w:type="pct"/>
            <w:vMerge/>
            <w:hideMark/>
          </w:tcPr>
          <w:p w14:paraId="2EF89999"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859" w:type="pct"/>
            <w:vMerge/>
            <w:hideMark/>
          </w:tcPr>
          <w:p w14:paraId="122961F8"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950" w:type="pct"/>
            <w:hideMark/>
          </w:tcPr>
          <w:p w14:paraId="58A02356"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Good materials supply throughout the region.</w:t>
            </w:r>
          </w:p>
        </w:tc>
        <w:tc>
          <w:tcPr>
            <w:tcW w:w="858" w:type="pct"/>
            <w:hideMark/>
          </w:tcPr>
          <w:p w14:paraId="12787595"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Materials supply occasionally affected by environmental conditions (e.g. drought affecting water supply.</w:t>
            </w:r>
          </w:p>
        </w:tc>
        <w:tc>
          <w:tcPr>
            <w:tcW w:w="859" w:type="pct"/>
            <w:hideMark/>
          </w:tcPr>
          <w:p w14:paraId="324398B7"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Materials supply frequently affected by environmental conditions (e.g. drought affecting water supply).</w:t>
            </w:r>
          </w:p>
        </w:tc>
      </w:tr>
      <w:tr w:rsidR="00C53DB0" w:rsidRPr="00C53DB0" w14:paraId="3EAE7FE7"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387D2C11" w14:textId="77777777" w:rsidR="00C53DB0" w:rsidRPr="00C53DB0" w:rsidRDefault="00C53DB0" w:rsidP="005536EC">
            <w:pPr>
              <w:pStyle w:val="Tabletext"/>
              <w:keepNext/>
              <w:rPr>
                <w:b/>
              </w:rPr>
            </w:pPr>
            <w:r w:rsidRPr="00C53DB0">
              <w:rPr>
                <w:b/>
              </w:rPr>
              <w:lastRenderedPageBreak/>
              <w:t>Constructability</w:t>
            </w:r>
          </w:p>
        </w:tc>
        <w:tc>
          <w:tcPr>
            <w:tcW w:w="867" w:type="pct"/>
            <w:vMerge w:val="restart"/>
            <w:hideMark/>
          </w:tcPr>
          <w:p w14:paraId="35105A39"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A constructability, staging and construction access review and construction program.</w:t>
            </w:r>
          </w:p>
        </w:tc>
        <w:tc>
          <w:tcPr>
            <w:tcW w:w="859" w:type="pct"/>
            <w:vMerge w:val="restart"/>
            <w:hideMark/>
          </w:tcPr>
          <w:p w14:paraId="4F621293"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What is the level of confidence and reliability in the treatment cost with respect to constructability or complexity?</w:t>
            </w:r>
          </w:p>
        </w:tc>
        <w:tc>
          <w:tcPr>
            <w:tcW w:w="950" w:type="pct"/>
            <w:hideMark/>
          </w:tcPr>
          <w:p w14:paraId="006F7164"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3%</w:t>
            </w:r>
          </w:p>
        </w:tc>
        <w:tc>
          <w:tcPr>
            <w:tcW w:w="858" w:type="pct"/>
            <w:hideMark/>
          </w:tcPr>
          <w:p w14:paraId="4E5DB097"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4%</w:t>
            </w:r>
          </w:p>
        </w:tc>
        <w:tc>
          <w:tcPr>
            <w:tcW w:w="859" w:type="pct"/>
            <w:hideMark/>
          </w:tcPr>
          <w:p w14:paraId="7B4C7196"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5%</w:t>
            </w:r>
          </w:p>
        </w:tc>
      </w:tr>
      <w:tr w:rsidR="00C53DB0" w:rsidRPr="00D45222" w14:paraId="31D7BD29" w14:textId="77777777" w:rsidTr="00C53DB0">
        <w:trPr>
          <w:trHeight w:val="2270"/>
        </w:trPr>
        <w:tc>
          <w:tcPr>
            <w:cnfStyle w:val="001000000000" w:firstRow="0" w:lastRow="0" w:firstColumn="1" w:lastColumn="0" w:oddVBand="0" w:evenVBand="0" w:oddHBand="0" w:evenHBand="0" w:firstRowFirstColumn="0" w:firstRowLastColumn="0" w:lastRowFirstColumn="0" w:lastRowLastColumn="0"/>
            <w:tcW w:w="607" w:type="pct"/>
            <w:vMerge/>
            <w:hideMark/>
          </w:tcPr>
          <w:p w14:paraId="476D96DC" w14:textId="77777777" w:rsidR="00C53DB0" w:rsidRPr="00C53DB0" w:rsidRDefault="00C53DB0" w:rsidP="00C53DB0">
            <w:pPr>
              <w:pStyle w:val="Tabletext"/>
              <w:rPr>
                <w:b/>
                <w:bCs/>
                <w:color w:val="FFFFFF"/>
              </w:rPr>
            </w:pPr>
          </w:p>
        </w:tc>
        <w:tc>
          <w:tcPr>
            <w:tcW w:w="867" w:type="pct"/>
            <w:vMerge/>
            <w:hideMark/>
          </w:tcPr>
          <w:p w14:paraId="52415CDF"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59" w:type="pct"/>
            <w:vMerge/>
            <w:hideMark/>
          </w:tcPr>
          <w:p w14:paraId="3094C6E2"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950" w:type="pct"/>
            <w:hideMark/>
          </w:tcPr>
          <w:p w14:paraId="569E86D8"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D45222">
              <w:t>The treatment is typically undertaken in isolation to other activities.</w:t>
            </w:r>
          </w:p>
        </w:tc>
        <w:tc>
          <w:tcPr>
            <w:tcW w:w="858" w:type="pct"/>
            <w:hideMark/>
          </w:tcPr>
          <w:p w14:paraId="1AA7F5E5"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D45222">
              <w:t>The treatment is typically delivered concurrently with other construction activities where there is minimal likelihood of one activity significantly impacting the other.</w:t>
            </w:r>
          </w:p>
        </w:tc>
        <w:tc>
          <w:tcPr>
            <w:tcW w:w="859" w:type="pct"/>
            <w:hideMark/>
          </w:tcPr>
          <w:p w14:paraId="38911B79"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D45222">
              <w:t>The treatment is typically delivered concurrently with other construction activities with the potential for interrelated delays due to conflicts.</w:t>
            </w:r>
          </w:p>
        </w:tc>
      </w:tr>
      <w:tr w:rsidR="00C53DB0" w:rsidRPr="00D45222" w14:paraId="3D13D423"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3C809D52" w14:textId="77777777" w:rsidR="00C53DB0" w:rsidRPr="00C53DB0" w:rsidRDefault="00C53DB0" w:rsidP="00C53DB0">
            <w:pPr>
              <w:pStyle w:val="Tabletext"/>
              <w:rPr>
                <w:b/>
              </w:rPr>
            </w:pPr>
            <w:r w:rsidRPr="00C53DB0">
              <w:rPr>
                <w:b/>
              </w:rPr>
              <w:t>Key dates</w:t>
            </w:r>
          </w:p>
        </w:tc>
        <w:tc>
          <w:tcPr>
            <w:tcW w:w="867" w:type="pct"/>
            <w:vMerge w:val="restart"/>
            <w:hideMark/>
          </w:tcPr>
          <w:p w14:paraId="2D201AF2"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A set of project dates (to enable outturn cost to be assessed)</w:t>
            </w:r>
            <w:r>
              <w:rPr>
                <w:color w:val="000000"/>
                <w:sz w:val="18"/>
                <w:szCs w:val="18"/>
              </w:rPr>
              <w:t>.</w:t>
            </w:r>
          </w:p>
        </w:tc>
        <w:tc>
          <w:tcPr>
            <w:tcW w:w="859" w:type="pct"/>
            <w:vMerge w:val="restart"/>
            <w:hideMark/>
          </w:tcPr>
          <w:p w14:paraId="43B68CAE" w14:textId="77777777" w:rsidR="00C53DB0" w:rsidRPr="00445091"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445091">
              <w:rPr>
                <w:color w:val="000000"/>
                <w:sz w:val="18"/>
                <w:szCs w:val="18"/>
              </w:rPr>
              <w:t>What is the level of confidence and reliability that the works be completed within the required timeframe?</w:t>
            </w:r>
          </w:p>
        </w:tc>
        <w:tc>
          <w:tcPr>
            <w:tcW w:w="950" w:type="pct"/>
            <w:hideMark/>
          </w:tcPr>
          <w:p w14:paraId="4D3FD616"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1%</w:t>
            </w:r>
          </w:p>
        </w:tc>
        <w:tc>
          <w:tcPr>
            <w:tcW w:w="858" w:type="pct"/>
            <w:hideMark/>
          </w:tcPr>
          <w:p w14:paraId="2504F2E5"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2%</w:t>
            </w:r>
          </w:p>
        </w:tc>
        <w:tc>
          <w:tcPr>
            <w:tcW w:w="859" w:type="pct"/>
            <w:hideMark/>
          </w:tcPr>
          <w:p w14:paraId="49E6FA0E"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3%</w:t>
            </w:r>
          </w:p>
        </w:tc>
      </w:tr>
      <w:tr w:rsidR="00C53DB0" w:rsidRPr="00D45222" w14:paraId="6AB50F88" w14:textId="77777777" w:rsidTr="00C53DB0">
        <w:trPr>
          <w:trHeight w:val="1316"/>
        </w:trPr>
        <w:tc>
          <w:tcPr>
            <w:cnfStyle w:val="001000000000" w:firstRow="0" w:lastRow="0" w:firstColumn="1" w:lastColumn="0" w:oddVBand="0" w:evenVBand="0" w:oddHBand="0" w:evenHBand="0" w:firstRowFirstColumn="0" w:firstRowLastColumn="0" w:lastRowFirstColumn="0" w:lastRowLastColumn="0"/>
            <w:tcW w:w="607" w:type="pct"/>
            <w:vMerge/>
            <w:hideMark/>
          </w:tcPr>
          <w:p w14:paraId="3CBE0F84" w14:textId="77777777" w:rsidR="00C53DB0" w:rsidRPr="00C53DB0" w:rsidRDefault="00C53DB0" w:rsidP="00C53DB0">
            <w:pPr>
              <w:pStyle w:val="Tabletext"/>
              <w:rPr>
                <w:b/>
              </w:rPr>
            </w:pPr>
          </w:p>
        </w:tc>
        <w:tc>
          <w:tcPr>
            <w:tcW w:w="867" w:type="pct"/>
            <w:vMerge/>
            <w:hideMark/>
          </w:tcPr>
          <w:p w14:paraId="62661BC2"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59" w:type="pct"/>
            <w:vMerge/>
            <w:hideMark/>
          </w:tcPr>
          <w:p w14:paraId="0243D565" w14:textId="77777777" w:rsidR="00C53DB0" w:rsidRPr="00445091"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50" w:type="pct"/>
            <w:hideMark/>
          </w:tcPr>
          <w:p w14:paraId="7F5E3717" w14:textId="77777777" w:rsidR="00C53DB0" w:rsidRPr="00445091"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The region’s construction period is typically independent of seasonal weather patterns.</w:t>
            </w:r>
          </w:p>
        </w:tc>
        <w:tc>
          <w:tcPr>
            <w:tcW w:w="858" w:type="pct"/>
            <w:hideMark/>
          </w:tcPr>
          <w:p w14:paraId="5C745E6C"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The region’s construction period is somewhat influenced by seasonal weather patterns.</w:t>
            </w:r>
          </w:p>
        </w:tc>
        <w:tc>
          <w:tcPr>
            <w:tcW w:w="859" w:type="pct"/>
            <w:hideMark/>
          </w:tcPr>
          <w:p w14:paraId="775749BF"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The region’s construction period is heavily influenced by seasonal weather patterns.</w:t>
            </w:r>
          </w:p>
        </w:tc>
      </w:tr>
      <w:tr w:rsidR="00C53DB0" w:rsidRPr="00D45222" w14:paraId="0D8B77DD"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3F21CB05" w14:textId="77777777" w:rsidR="00C53DB0" w:rsidRPr="00C53DB0" w:rsidRDefault="00C53DB0" w:rsidP="00C53DB0">
            <w:pPr>
              <w:pStyle w:val="Tabletext"/>
              <w:rPr>
                <w:b/>
              </w:rPr>
            </w:pPr>
            <w:r w:rsidRPr="00C53DB0">
              <w:rPr>
                <w:b/>
              </w:rPr>
              <w:t>Site specific information</w:t>
            </w:r>
          </w:p>
        </w:tc>
        <w:tc>
          <w:tcPr>
            <w:tcW w:w="867" w:type="pct"/>
            <w:vMerge w:val="restart"/>
            <w:hideMark/>
          </w:tcPr>
          <w:p w14:paraId="0E7646E7"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Sufficient and documented investigation of concept design (</w:t>
            </w:r>
            <w:r>
              <w:rPr>
                <w:color w:val="000000"/>
                <w:sz w:val="18"/>
                <w:szCs w:val="18"/>
              </w:rPr>
              <w:t>g</w:t>
            </w:r>
            <w:r w:rsidRPr="00D45222">
              <w:rPr>
                <w:color w:val="000000"/>
                <w:sz w:val="18"/>
                <w:szCs w:val="18"/>
              </w:rPr>
              <w:t xml:space="preserve">eotechnical, </w:t>
            </w:r>
            <w:r>
              <w:rPr>
                <w:color w:val="000000"/>
                <w:sz w:val="18"/>
                <w:szCs w:val="18"/>
              </w:rPr>
              <w:t>h</w:t>
            </w:r>
            <w:r w:rsidRPr="00D45222">
              <w:rPr>
                <w:color w:val="000000"/>
                <w:sz w:val="18"/>
                <w:szCs w:val="18"/>
              </w:rPr>
              <w:t xml:space="preserve">eritage, </w:t>
            </w:r>
            <w:r>
              <w:rPr>
                <w:color w:val="000000"/>
                <w:sz w:val="18"/>
                <w:szCs w:val="18"/>
              </w:rPr>
              <w:t>e</w:t>
            </w:r>
            <w:r w:rsidRPr="00D45222">
              <w:rPr>
                <w:color w:val="000000"/>
                <w:sz w:val="18"/>
                <w:szCs w:val="18"/>
              </w:rPr>
              <w:t xml:space="preserve">nvironmental, </w:t>
            </w:r>
            <w:r>
              <w:rPr>
                <w:color w:val="000000"/>
                <w:sz w:val="18"/>
                <w:szCs w:val="18"/>
              </w:rPr>
              <w:t>t</w:t>
            </w:r>
            <w:r w:rsidRPr="00D45222">
              <w:rPr>
                <w:color w:val="000000"/>
                <w:sz w:val="18"/>
                <w:szCs w:val="18"/>
              </w:rPr>
              <w:t xml:space="preserve">echnical, </w:t>
            </w:r>
            <w:r>
              <w:rPr>
                <w:color w:val="000000"/>
                <w:sz w:val="18"/>
                <w:szCs w:val="18"/>
              </w:rPr>
              <w:t>h</w:t>
            </w:r>
            <w:r w:rsidRPr="00D45222">
              <w:rPr>
                <w:color w:val="000000"/>
                <w:sz w:val="18"/>
                <w:szCs w:val="18"/>
              </w:rPr>
              <w:t>ydraulic)</w:t>
            </w:r>
            <w:r>
              <w:rPr>
                <w:color w:val="000000"/>
                <w:sz w:val="18"/>
                <w:szCs w:val="18"/>
              </w:rPr>
              <w:t>.</w:t>
            </w:r>
          </w:p>
        </w:tc>
        <w:tc>
          <w:tcPr>
            <w:tcW w:w="859" w:type="pct"/>
            <w:vMerge w:val="restart"/>
            <w:hideMark/>
          </w:tcPr>
          <w:p w14:paraId="6A8AB55A"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45222">
              <w:rPr>
                <w:sz w:val="18"/>
                <w:szCs w:val="18"/>
              </w:rPr>
              <w:t>What level of confidence</w:t>
            </w:r>
            <w:r>
              <w:rPr>
                <w:sz w:val="18"/>
                <w:szCs w:val="18"/>
              </w:rPr>
              <w:t xml:space="preserve"> </w:t>
            </w:r>
            <w:r w:rsidRPr="00D45222">
              <w:rPr>
                <w:sz w:val="18"/>
                <w:szCs w:val="18"/>
              </w:rPr>
              <w:t>is there in the treatment cost with respect to statutory approvals?</w:t>
            </w:r>
          </w:p>
        </w:tc>
        <w:tc>
          <w:tcPr>
            <w:tcW w:w="950" w:type="pct"/>
            <w:hideMark/>
          </w:tcPr>
          <w:p w14:paraId="665C28B1"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5%</w:t>
            </w:r>
          </w:p>
        </w:tc>
        <w:tc>
          <w:tcPr>
            <w:tcW w:w="858" w:type="pct"/>
            <w:hideMark/>
          </w:tcPr>
          <w:p w14:paraId="7891F6D3"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6%</w:t>
            </w:r>
          </w:p>
        </w:tc>
        <w:tc>
          <w:tcPr>
            <w:tcW w:w="859" w:type="pct"/>
            <w:hideMark/>
          </w:tcPr>
          <w:p w14:paraId="12B6E568"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9%</w:t>
            </w:r>
          </w:p>
        </w:tc>
      </w:tr>
      <w:tr w:rsidR="00C53DB0" w:rsidRPr="00D45222" w14:paraId="5225F548" w14:textId="77777777" w:rsidTr="00C53DB0">
        <w:trPr>
          <w:trHeight w:val="822"/>
        </w:trPr>
        <w:tc>
          <w:tcPr>
            <w:cnfStyle w:val="001000000000" w:firstRow="0" w:lastRow="0" w:firstColumn="1" w:lastColumn="0" w:oddVBand="0" w:evenVBand="0" w:oddHBand="0" w:evenHBand="0" w:firstRowFirstColumn="0" w:firstRowLastColumn="0" w:lastRowFirstColumn="0" w:lastRowLastColumn="0"/>
            <w:tcW w:w="607" w:type="pct"/>
            <w:vMerge/>
            <w:hideMark/>
          </w:tcPr>
          <w:p w14:paraId="3A820BCA" w14:textId="77777777" w:rsidR="00C53DB0" w:rsidRPr="00C53DB0" w:rsidRDefault="00C53DB0" w:rsidP="00C53DB0">
            <w:pPr>
              <w:pStyle w:val="Tabletext"/>
              <w:rPr>
                <w:b/>
              </w:rPr>
            </w:pPr>
          </w:p>
        </w:tc>
        <w:tc>
          <w:tcPr>
            <w:tcW w:w="867" w:type="pct"/>
            <w:vMerge/>
            <w:hideMark/>
          </w:tcPr>
          <w:p w14:paraId="2A0B0832"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59" w:type="pct"/>
            <w:vMerge/>
            <w:hideMark/>
          </w:tcPr>
          <w:p w14:paraId="04462868"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950" w:type="pct"/>
            <w:hideMark/>
          </w:tcPr>
          <w:p w14:paraId="1288C0C7"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are unlikely to be associated with statutory approvals or require additional investigations</w:t>
            </w:r>
            <w:r>
              <w:rPr>
                <w:color w:val="000000"/>
                <w:sz w:val="18"/>
                <w:szCs w:val="18"/>
              </w:rPr>
              <w:t>.</w:t>
            </w:r>
          </w:p>
        </w:tc>
        <w:tc>
          <w:tcPr>
            <w:tcW w:w="858" w:type="pct"/>
            <w:hideMark/>
          </w:tcPr>
          <w:p w14:paraId="23583F1A"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may require statutory approvals and additional investigations</w:t>
            </w:r>
            <w:r>
              <w:rPr>
                <w:color w:val="000000"/>
                <w:sz w:val="18"/>
                <w:szCs w:val="18"/>
              </w:rPr>
              <w:t>.</w:t>
            </w:r>
          </w:p>
        </w:tc>
        <w:tc>
          <w:tcPr>
            <w:tcW w:w="859" w:type="pct"/>
            <w:hideMark/>
          </w:tcPr>
          <w:p w14:paraId="0B7993C0"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are likely to require statutory approvals and additional investigations</w:t>
            </w:r>
            <w:r>
              <w:rPr>
                <w:color w:val="000000"/>
                <w:sz w:val="18"/>
                <w:szCs w:val="18"/>
              </w:rPr>
              <w:t>.</w:t>
            </w:r>
          </w:p>
        </w:tc>
      </w:tr>
      <w:tr w:rsidR="00C53DB0" w:rsidRPr="00D45222" w14:paraId="1272478F"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153F9E68" w14:textId="77777777" w:rsidR="00C53DB0" w:rsidRPr="00C53DB0" w:rsidRDefault="00C53DB0" w:rsidP="00C53DB0">
            <w:pPr>
              <w:pStyle w:val="Tabletext"/>
              <w:rPr>
                <w:b/>
              </w:rPr>
            </w:pPr>
            <w:r w:rsidRPr="00C53DB0">
              <w:rPr>
                <w:b/>
              </w:rPr>
              <w:t>Project interfaces</w:t>
            </w:r>
          </w:p>
        </w:tc>
        <w:tc>
          <w:tcPr>
            <w:tcW w:w="867" w:type="pct"/>
            <w:vMerge w:val="restart"/>
            <w:hideMark/>
          </w:tcPr>
          <w:p w14:paraId="44ACA7B0"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External interfaces (identified and defined in terms of scope, access and risk)</w:t>
            </w:r>
            <w:r>
              <w:rPr>
                <w:color w:val="000000"/>
                <w:sz w:val="18"/>
                <w:szCs w:val="18"/>
              </w:rPr>
              <w:t>.</w:t>
            </w:r>
          </w:p>
        </w:tc>
        <w:tc>
          <w:tcPr>
            <w:tcW w:w="859" w:type="pct"/>
            <w:vMerge w:val="restart"/>
            <w:hideMark/>
          </w:tcPr>
          <w:p w14:paraId="2EA9F5B6"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45222">
              <w:rPr>
                <w:sz w:val="18"/>
                <w:szCs w:val="18"/>
              </w:rPr>
              <w:t>What level of confidence and reliability is there in the treatment cost with respect to interfaces with adjacent assets?</w:t>
            </w:r>
          </w:p>
        </w:tc>
        <w:tc>
          <w:tcPr>
            <w:tcW w:w="950" w:type="pct"/>
            <w:hideMark/>
          </w:tcPr>
          <w:p w14:paraId="49441ABD"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3%</w:t>
            </w:r>
          </w:p>
        </w:tc>
        <w:tc>
          <w:tcPr>
            <w:tcW w:w="858" w:type="pct"/>
            <w:hideMark/>
          </w:tcPr>
          <w:p w14:paraId="54C29369"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4%</w:t>
            </w:r>
          </w:p>
        </w:tc>
        <w:tc>
          <w:tcPr>
            <w:tcW w:w="859" w:type="pct"/>
            <w:hideMark/>
          </w:tcPr>
          <w:p w14:paraId="479DF950"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5%</w:t>
            </w:r>
          </w:p>
        </w:tc>
      </w:tr>
      <w:tr w:rsidR="00C53DB0" w:rsidRPr="00D45222" w14:paraId="13AF82D1" w14:textId="77777777" w:rsidTr="00C53DB0">
        <w:trPr>
          <w:trHeight w:val="822"/>
        </w:trPr>
        <w:tc>
          <w:tcPr>
            <w:cnfStyle w:val="001000000000" w:firstRow="0" w:lastRow="0" w:firstColumn="1" w:lastColumn="0" w:oddVBand="0" w:evenVBand="0" w:oddHBand="0" w:evenHBand="0" w:firstRowFirstColumn="0" w:firstRowLastColumn="0" w:lastRowFirstColumn="0" w:lastRowLastColumn="0"/>
            <w:tcW w:w="607" w:type="pct"/>
            <w:vMerge/>
            <w:hideMark/>
          </w:tcPr>
          <w:p w14:paraId="452FF617" w14:textId="77777777" w:rsidR="00C53DB0" w:rsidRPr="00C53DB0" w:rsidRDefault="00C53DB0" w:rsidP="00C53DB0">
            <w:pPr>
              <w:pStyle w:val="Tabletext"/>
              <w:rPr>
                <w:b/>
                <w:sz w:val="18"/>
                <w:szCs w:val="18"/>
              </w:rPr>
            </w:pPr>
          </w:p>
        </w:tc>
        <w:tc>
          <w:tcPr>
            <w:tcW w:w="867" w:type="pct"/>
            <w:vMerge/>
            <w:hideMark/>
          </w:tcPr>
          <w:p w14:paraId="5C00B296"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59" w:type="pct"/>
            <w:vMerge/>
            <w:hideMark/>
          </w:tcPr>
          <w:p w14:paraId="21D0035B"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950" w:type="pct"/>
            <w:hideMark/>
          </w:tcPr>
          <w:p w14:paraId="441D6BE3"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can be undertaken with little to no disruption to asset operations during construction.</w:t>
            </w:r>
          </w:p>
        </w:tc>
        <w:tc>
          <w:tcPr>
            <w:tcW w:w="858" w:type="pct"/>
            <w:hideMark/>
          </w:tcPr>
          <w:p w14:paraId="37C0B54A"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typically involve moderate complexity in maintaining existing asset operations during construction.</w:t>
            </w:r>
          </w:p>
        </w:tc>
        <w:tc>
          <w:tcPr>
            <w:tcW w:w="859" w:type="pct"/>
            <w:hideMark/>
          </w:tcPr>
          <w:p w14:paraId="76F798D8"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typically involve significant complexity in maintaining existing asset operations during construction</w:t>
            </w:r>
            <w:r>
              <w:rPr>
                <w:color w:val="000000"/>
                <w:sz w:val="18"/>
                <w:szCs w:val="18"/>
              </w:rPr>
              <w:t>.</w:t>
            </w:r>
          </w:p>
        </w:tc>
      </w:tr>
    </w:tbl>
    <w:p w14:paraId="4F3A5894" w14:textId="77777777" w:rsidR="00E1768E" w:rsidRDefault="00E1768E" w:rsidP="005536EC">
      <w:pPr>
        <w:pStyle w:val="Spacer"/>
      </w:pPr>
    </w:p>
    <w:p w14:paraId="0C64F8A4" w14:textId="77777777" w:rsidR="009607BC" w:rsidRDefault="009607BC" w:rsidP="009607BC">
      <w:pPr>
        <w:pStyle w:val="Heading1"/>
        <w:ind w:left="794" w:hanging="794"/>
        <w:sectPr w:rsidR="009607BC" w:rsidSect="00AA033A">
          <w:headerReference w:type="even" r:id="rId40"/>
          <w:headerReference w:type="default" r:id="rId41"/>
          <w:footerReference w:type="even" r:id="rId42"/>
          <w:footerReference w:type="default" r:id="rId43"/>
          <w:headerReference w:type="first" r:id="rId44"/>
          <w:pgSz w:w="16838" w:h="11906" w:orient="landscape" w:code="9"/>
          <w:pgMar w:top="1267" w:right="1440" w:bottom="1354" w:left="1440" w:header="446" w:footer="461" w:gutter="0"/>
          <w:cols w:space="708"/>
          <w:docGrid w:linePitch="381"/>
        </w:sectPr>
      </w:pPr>
    </w:p>
    <w:p w14:paraId="18A35B03" w14:textId="77777777" w:rsidR="005536EC" w:rsidRDefault="0038405A">
      <w:pPr>
        <w:spacing w:before="0" w:after="0" w:line="240" w:lineRule="auto"/>
        <w:rPr>
          <w:rFonts w:asciiTheme="majorHAnsi" w:eastAsiaTheme="majorEastAsia" w:hAnsiTheme="majorHAnsi" w:cstheme="majorBidi"/>
          <w:b/>
          <w:bCs/>
          <w:color w:val="201547"/>
          <w:spacing w:val="-1"/>
          <w:sz w:val="36"/>
          <w:szCs w:val="28"/>
        </w:rPr>
      </w:pPr>
      <w:r>
        <w:lastRenderedPageBreak/>
        <w:t>\</w:t>
      </w:r>
    </w:p>
    <w:p w14:paraId="4DE734BE" w14:textId="77777777" w:rsidR="009607BC" w:rsidRDefault="00C43D19" w:rsidP="005C2F8D">
      <w:pPr>
        <w:pStyle w:val="Heading2"/>
      </w:pPr>
      <w:bookmarkStart w:id="74" w:name="_Toc170127196"/>
      <w:r>
        <w:t>Appendix D:</w:t>
      </w:r>
      <w:r w:rsidR="009607BC">
        <w:t xml:space="preserve"> Guidance </w:t>
      </w:r>
      <w:r w:rsidR="002E3BA2">
        <w:t>n</w:t>
      </w:r>
      <w:r w:rsidR="009607BC">
        <w:t>ote 3A</w:t>
      </w:r>
      <w:bookmarkEnd w:id="74"/>
    </w:p>
    <w:p w14:paraId="39DF2EC5" w14:textId="77777777" w:rsidR="009607BC" w:rsidRDefault="00AA033A" w:rsidP="0003354D">
      <w:r>
        <w:rPr>
          <w:noProof/>
        </w:rPr>
        <w:object w:dxaOrig="5949" w:dyaOrig="8419" w14:anchorId="23F48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4.2pt;height:421.8pt;mso-width-percent:0;mso-height-percent:0;mso-width-percent:0;mso-height-percent:0" o:ole="">
            <v:imagedata r:id="rId45" o:title=""/>
          </v:shape>
          <o:OLEObject Type="Embed" ProgID="Acrobat.Document.DC" ShapeID="_x0000_i1025" DrawAspect="Content" ObjectID="_1817716502" r:id="rId46"/>
        </w:object>
      </w:r>
    </w:p>
    <w:p w14:paraId="42121BED" w14:textId="77777777" w:rsidR="00A27FA5" w:rsidRDefault="009607BC" w:rsidP="005536EC">
      <w:pPr>
        <w:pStyle w:val="NoteNormal"/>
      </w:pPr>
      <w:r>
        <w:t>Note: This is an embedded document</w:t>
      </w:r>
      <w:r w:rsidR="0090519C">
        <w:t>.</w:t>
      </w:r>
      <w:r w:rsidR="0003354D">
        <w:t xml:space="preserve"> </w:t>
      </w:r>
      <w:r w:rsidR="0090519C">
        <w:t>P</w:t>
      </w:r>
      <w:r>
        <w:t xml:space="preserve">lease </w:t>
      </w:r>
      <w:r w:rsidR="000D4390">
        <w:t xml:space="preserve">double </w:t>
      </w:r>
      <w:r>
        <w:t>click on the image to access document.</w:t>
      </w:r>
    </w:p>
    <w:p w14:paraId="4BC61D34" w14:textId="0D36747B" w:rsidR="00A27FA5" w:rsidRDefault="00A27FA5" w:rsidP="00A27FA5"/>
    <w:p w14:paraId="7D1F591D" w14:textId="7096971E" w:rsidR="00302A33" w:rsidRDefault="00302A33" w:rsidP="00A27FA5"/>
    <w:p w14:paraId="5C30536E" w14:textId="1BF63FD8" w:rsidR="00302A33" w:rsidRDefault="00302A33" w:rsidP="00A27FA5"/>
    <w:p w14:paraId="50FC147D" w14:textId="6A6BF9D7" w:rsidR="00302A33" w:rsidRDefault="00302A33" w:rsidP="00A27FA5"/>
    <w:p w14:paraId="395DD1B5" w14:textId="77777777" w:rsidR="005536EC" w:rsidRPr="00A27FA5" w:rsidRDefault="005536EC" w:rsidP="00A27FA5"/>
    <w:sectPr w:rsidR="005536EC" w:rsidRPr="00A27FA5" w:rsidSect="00AA033A">
      <w:headerReference w:type="even" r:id="rId47"/>
      <w:footerReference w:type="even" r:id="rId48"/>
      <w:type w:val="evenPage"/>
      <w:pgSz w:w="11906" w:h="16838" w:code="9"/>
      <w:pgMar w:top="2160" w:right="1440" w:bottom="1138" w:left="1440" w:header="605" w:footer="562"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7804B" w14:textId="77777777" w:rsidR="004D3D7C" w:rsidRDefault="004D3D7C">
      <w:r>
        <w:separator/>
      </w:r>
    </w:p>
  </w:endnote>
  <w:endnote w:type="continuationSeparator" w:id="0">
    <w:p w14:paraId="10D4CC1F" w14:textId="77777777" w:rsidR="004D3D7C" w:rsidRDefault="004D3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DF164" w14:textId="77777777" w:rsidR="00E850A4" w:rsidRDefault="00E850A4" w:rsidP="00A91244">
    <w:pPr>
      <w:pStyle w:val="Spacer"/>
    </w:pPr>
  </w:p>
  <w:p w14:paraId="765260EB" w14:textId="77777777" w:rsidR="00E850A4" w:rsidRPr="00C022F9" w:rsidRDefault="00E850A4" w:rsidP="00A91244">
    <w:pPr>
      <w:pStyle w:val="Footer"/>
    </w:pPr>
    <w:r w:rsidRPr="00C022F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454E3" w14:textId="77777777" w:rsidR="00E850A4" w:rsidRDefault="00E850A4">
    <w:pPr>
      <w:pStyle w:val="Footer"/>
    </w:pPr>
    <w:r w:rsidRPr="00A91244">
      <w:drawing>
        <wp:anchor distT="0" distB="0" distL="114300" distR="114300" simplePos="0" relativeHeight="251717120" behindDoc="0" locked="0" layoutInCell="1" allowOverlap="1" wp14:anchorId="64CFA74C" wp14:editId="0D52024D">
          <wp:simplePos x="0" y="0"/>
          <wp:positionH relativeFrom="column">
            <wp:posOffset>4685030</wp:posOffset>
          </wp:positionH>
          <wp:positionV relativeFrom="page">
            <wp:posOffset>9551202</wp:posOffset>
          </wp:positionV>
          <wp:extent cx="878740" cy="502920"/>
          <wp:effectExtent l="0" t="0" r="0" b="0"/>
          <wp:wrapNone/>
          <wp:docPr id="14064866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878740" cy="50292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6F697" w14:textId="77777777" w:rsidR="00E850A4" w:rsidRDefault="00E850A4" w:rsidP="00117CDF">
    <w:pPr>
      <w:pStyle w:val="Spacer"/>
    </w:pPr>
  </w:p>
  <w:p w14:paraId="2E8EF1A6" w14:textId="77777777" w:rsidR="009B365A" w:rsidRPr="009B365A" w:rsidRDefault="00E850A4" w:rsidP="009B365A">
    <w:pPr>
      <w:pStyle w:val="Subtitle"/>
      <w:spacing w:line="240" w:lineRule="auto"/>
      <w:jc w:val="right"/>
      <w:rPr>
        <w:rStyle w:val="PageNumber"/>
        <w:rFonts w:asciiTheme="minorHAnsi" w:hAnsiTheme="minorHAnsi" w:cstheme="minorHAnsi"/>
        <w:sz w:val="16"/>
        <w:szCs w:val="16"/>
      </w:rPr>
    </w:pPr>
    <w:r w:rsidRPr="009B365A">
      <w:rPr>
        <w:rStyle w:val="PageNumber"/>
        <w:rFonts w:asciiTheme="minorHAnsi" w:hAnsiTheme="minorHAnsi" w:cstheme="minorHAnsi"/>
        <w:sz w:val="16"/>
        <w:szCs w:val="16"/>
      </w:rPr>
      <w:fldChar w:fldCharType="begin"/>
    </w:r>
    <w:r w:rsidRPr="009B365A">
      <w:rPr>
        <w:rStyle w:val="PageNumber"/>
        <w:rFonts w:asciiTheme="minorHAnsi" w:hAnsiTheme="minorHAnsi" w:cstheme="minorHAnsi"/>
        <w:sz w:val="16"/>
        <w:szCs w:val="16"/>
      </w:rPr>
      <w:instrText xml:space="preserve"> Page </w:instrText>
    </w:r>
    <w:r w:rsidRPr="009B365A">
      <w:rPr>
        <w:rStyle w:val="PageNumber"/>
        <w:rFonts w:asciiTheme="minorHAnsi" w:hAnsiTheme="minorHAnsi" w:cstheme="minorHAnsi"/>
        <w:sz w:val="16"/>
        <w:szCs w:val="16"/>
      </w:rPr>
      <w:fldChar w:fldCharType="separate"/>
    </w:r>
    <w:r w:rsidRPr="009B365A">
      <w:rPr>
        <w:rStyle w:val="PageNumber"/>
        <w:rFonts w:asciiTheme="minorHAnsi" w:hAnsiTheme="minorHAnsi" w:cstheme="minorHAnsi"/>
        <w:sz w:val="16"/>
        <w:szCs w:val="16"/>
      </w:rPr>
      <w:t>ii</w:t>
    </w:r>
    <w:r w:rsidRPr="009B365A">
      <w:rPr>
        <w:rStyle w:val="PageNumber"/>
        <w:rFonts w:asciiTheme="minorHAnsi" w:hAnsiTheme="minorHAnsi" w:cstheme="minorHAnsi"/>
        <w:sz w:val="16"/>
        <w:szCs w:val="16"/>
      </w:rPr>
      <w:fldChar w:fldCharType="end"/>
    </w:r>
  </w:p>
  <w:p w14:paraId="3CD92B45" w14:textId="77777777" w:rsidR="009B365A" w:rsidRPr="00361ADA" w:rsidRDefault="009B365A" w:rsidP="009B365A">
    <w:pPr>
      <w:pStyle w:val="Subtitle"/>
      <w:spacing w:line="240" w:lineRule="auto"/>
      <w:rPr>
        <w:rFonts w:asciiTheme="minorHAnsi" w:hAnsiTheme="minorHAnsi" w:cstheme="minorHAnsi"/>
        <w:color w:val="auto"/>
        <w:sz w:val="18"/>
        <w:szCs w:val="18"/>
      </w:rPr>
    </w:pPr>
    <w:r w:rsidRPr="00361ADA">
      <w:rPr>
        <w:rFonts w:asciiTheme="minorHAnsi" w:hAnsiTheme="minorHAnsi" w:cstheme="minorHAnsi"/>
        <w:color w:val="auto"/>
        <w:sz w:val="18"/>
        <w:szCs w:val="18"/>
      </w:rPr>
      <w:t xml:space="preserve">Guideline 2: </w:t>
    </w:r>
    <w:r w:rsidRPr="00361ADA">
      <w:rPr>
        <w:color w:val="auto"/>
        <w:sz w:val="18"/>
        <w:szCs w:val="18"/>
      </w:rPr>
      <w:t>Cost estimation for essential public assets</w:t>
    </w:r>
  </w:p>
  <w:p w14:paraId="153CDA9A" w14:textId="23CE2B40" w:rsidR="009B365A" w:rsidRPr="00361ADA" w:rsidRDefault="009B365A" w:rsidP="00361ADA">
    <w:pPr>
      <w:pStyle w:val="Subtitle"/>
      <w:spacing w:line="240" w:lineRule="auto"/>
      <w:rPr>
        <w:rFonts w:cstheme="minorHAnsi"/>
        <w:color w:val="0070C0"/>
        <w:sz w:val="18"/>
        <w:szCs w:val="18"/>
      </w:rPr>
    </w:pPr>
    <w:r w:rsidRPr="00361ADA">
      <w:rPr>
        <w:rFonts w:cstheme="minorHAnsi"/>
        <w:color w:val="0070C0"/>
        <w:sz w:val="18"/>
        <w:szCs w:val="18"/>
      </w:rPr>
      <w:t>Victorian Disaster Recovery Funding Arrangements</w:t>
    </w:r>
  </w:p>
  <w:p w14:paraId="5A9AFBF8" w14:textId="77777777" w:rsidR="00E850A4" w:rsidRPr="00302A33" w:rsidRDefault="00E850A4" w:rsidP="00117C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52EF4" w14:textId="77777777" w:rsidR="009B365A" w:rsidRPr="009B365A" w:rsidRDefault="009B365A" w:rsidP="009B365A">
    <w:pPr>
      <w:pStyle w:val="Subtitle"/>
      <w:rPr>
        <w:rFonts w:asciiTheme="minorHAnsi" w:hAnsiTheme="minorHAnsi" w:cstheme="minorHAnsi"/>
        <w:color w:val="auto"/>
        <w:sz w:val="16"/>
        <w:szCs w:val="16"/>
      </w:rPr>
    </w:pPr>
    <w:r w:rsidRPr="009B365A">
      <w:rPr>
        <w:rFonts w:asciiTheme="minorHAnsi" w:hAnsiTheme="minorHAnsi" w:cstheme="minorHAnsi"/>
        <w:color w:val="auto"/>
        <w:sz w:val="16"/>
        <w:szCs w:val="16"/>
      </w:rPr>
      <w:t>Guideline 2</w:t>
    </w:r>
    <w:r>
      <w:rPr>
        <w:rFonts w:asciiTheme="minorHAnsi" w:hAnsiTheme="minorHAnsi" w:cstheme="minorHAnsi"/>
        <w:color w:val="auto"/>
        <w:sz w:val="16"/>
        <w:szCs w:val="16"/>
      </w:rPr>
      <w:t>:</w:t>
    </w:r>
    <w:r w:rsidRPr="009B365A">
      <w:rPr>
        <w:rFonts w:asciiTheme="minorHAnsi" w:hAnsiTheme="minorHAnsi" w:cstheme="minorHAnsi"/>
        <w:color w:val="auto"/>
        <w:sz w:val="16"/>
        <w:szCs w:val="16"/>
      </w:rPr>
      <w:t xml:space="preserve"> </w:t>
    </w:r>
    <w:r w:rsidRPr="009B365A">
      <w:rPr>
        <w:color w:val="auto"/>
        <w:sz w:val="16"/>
        <w:szCs w:val="16"/>
      </w:rPr>
      <w:t>Cost estimation for essential public assets</w:t>
    </w:r>
  </w:p>
  <w:p w14:paraId="4237219B" w14:textId="295B5B13" w:rsidR="009B365A" w:rsidRPr="00302A33" w:rsidRDefault="009B365A" w:rsidP="009B365A">
    <w:pPr>
      <w:pStyle w:val="Subtitle"/>
      <w:rPr>
        <w:rFonts w:asciiTheme="minorHAnsi" w:hAnsiTheme="minorHAnsi" w:cstheme="minorHAnsi"/>
        <w:color w:val="auto"/>
        <w:sz w:val="16"/>
        <w:szCs w:val="16"/>
      </w:rPr>
    </w:pPr>
    <w:r w:rsidRPr="009B365A">
      <w:rPr>
        <w:rFonts w:asciiTheme="minorHAnsi" w:hAnsiTheme="minorHAnsi" w:cstheme="minorHAnsi"/>
        <w:color w:val="auto"/>
        <w:sz w:val="16"/>
        <w:szCs w:val="16"/>
      </w:rPr>
      <w:t xml:space="preserve">Victorian </w:t>
    </w:r>
    <w:r w:rsidRPr="0008403D">
      <w:rPr>
        <w:rFonts w:asciiTheme="minorHAnsi" w:eastAsia="Times" w:hAnsiTheme="minorHAnsi" w:cstheme="minorHAnsi"/>
        <w:color w:val="auto"/>
        <w:sz w:val="16"/>
        <w:szCs w:val="16"/>
      </w:rPr>
      <w:fldChar w:fldCharType="begin"/>
    </w:r>
    <w:r w:rsidRPr="00302A33">
      <w:rPr>
        <w:rFonts w:asciiTheme="minorHAnsi" w:hAnsiTheme="minorHAnsi" w:cstheme="minorHAnsi"/>
        <w:color w:val="auto"/>
        <w:sz w:val="16"/>
        <w:szCs w:val="16"/>
      </w:rPr>
      <w:instrText xml:space="preserve"> if </w:instrText>
    </w:r>
    <w:r w:rsidRPr="00302A33">
      <w:rPr>
        <w:rFonts w:asciiTheme="minorHAnsi" w:hAnsiTheme="minorHAnsi" w:cstheme="minorHAnsi"/>
        <w:color w:val="auto"/>
        <w:sz w:val="16"/>
        <w:szCs w:val="16"/>
      </w:rPr>
      <w:fldChar w:fldCharType="begin"/>
    </w:r>
    <w:r w:rsidRPr="00302A33">
      <w:rPr>
        <w:rFonts w:asciiTheme="minorHAnsi" w:hAnsiTheme="minorHAnsi" w:cstheme="minorHAnsi"/>
        <w:color w:val="auto"/>
        <w:sz w:val="16"/>
        <w:szCs w:val="16"/>
      </w:rPr>
      <w:instrText xml:space="preserve"> docproperty subtitle </w:instrText>
    </w:r>
    <w:r w:rsidRPr="00302A33">
      <w:rPr>
        <w:rFonts w:asciiTheme="minorHAnsi" w:hAnsiTheme="minorHAnsi" w:cstheme="minorHAnsi"/>
        <w:color w:val="auto"/>
        <w:sz w:val="16"/>
        <w:szCs w:val="16"/>
      </w:rPr>
      <w:fldChar w:fldCharType="separate"/>
    </w:r>
    <w:r w:rsidR="00972940" w:rsidRPr="00302A33">
      <w:rPr>
        <w:rFonts w:asciiTheme="minorHAnsi" w:hAnsiTheme="minorHAnsi" w:cstheme="minorHAnsi"/>
        <w:b/>
        <w:bCs/>
        <w:color w:val="auto"/>
        <w:sz w:val="16"/>
        <w:szCs w:val="16"/>
        <w:lang w:val="en-US"/>
      </w:rPr>
      <w:instrText>Error! Unknown document property name.</w:instrText>
    </w:r>
    <w:r w:rsidRPr="00302A33">
      <w:rPr>
        <w:rFonts w:asciiTheme="minorHAnsi" w:hAnsiTheme="minorHAnsi" w:cstheme="minorHAnsi"/>
        <w:color w:val="auto"/>
        <w:sz w:val="16"/>
        <w:szCs w:val="16"/>
      </w:rPr>
      <w:fldChar w:fldCharType="end"/>
    </w:r>
    <w:r w:rsidRPr="00302A33">
      <w:rPr>
        <w:rFonts w:asciiTheme="minorHAnsi" w:hAnsiTheme="minorHAnsi" w:cstheme="minorHAnsi"/>
        <w:color w:val="auto"/>
        <w:sz w:val="16"/>
        <w:szCs w:val="16"/>
      </w:rPr>
      <w:instrText xml:space="preserve"> &lt;&gt; "" "</w:instrText>
    </w:r>
    <w:r w:rsidRPr="00302A33">
      <w:rPr>
        <w:rFonts w:asciiTheme="minorHAnsi" w:hAnsiTheme="minorHAnsi" w:cstheme="minorHAnsi"/>
        <w:color w:val="auto"/>
        <w:sz w:val="16"/>
        <w:szCs w:val="16"/>
      </w:rPr>
      <w:fldChar w:fldCharType="begin"/>
    </w:r>
    <w:r w:rsidRPr="00302A33">
      <w:rPr>
        <w:rFonts w:asciiTheme="minorHAnsi" w:hAnsiTheme="minorHAnsi" w:cstheme="minorHAnsi"/>
        <w:color w:val="auto"/>
        <w:sz w:val="16"/>
        <w:szCs w:val="16"/>
      </w:rPr>
      <w:instrText xml:space="preserve"> docproperty Subtitle </w:instrText>
    </w:r>
    <w:r w:rsidRPr="00302A33">
      <w:rPr>
        <w:rFonts w:asciiTheme="minorHAnsi" w:hAnsiTheme="minorHAnsi" w:cstheme="minorHAnsi"/>
        <w:color w:val="auto"/>
        <w:sz w:val="16"/>
        <w:szCs w:val="16"/>
      </w:rPr>
      <w:fldChar w:fldCharType="separate"/>
    </w:r>
    <w:r w:rsidR="00972940" w:rsidRPr="00302A33">
      <w:rPr>
        <w:rFonts w:asciiTheme="minorHAnsi" w:hAnsiTheme="minorHAnsi" w:cstheme="minorHAnsi"/>
        <w:b/>
        <w:bCs/>
        <w:color w:val="auto"/>
        <w:sz w:val="16"/>
        <w:szCs w:val="16"/>
        <w:lang w:val="en-US"/>
      </w:rPr>
      <w:instrText>Error! Unknown document property name.</w:instrText>
    </w:r>
    <w:r w:rsidRPr="00302A33">
      <w:rPr>
        <w:rFonts w:asciiTheme="minorHAnsi" w:hAnsiTheme="minorHAnsi" w:cstheme="minorHAnsi"/>
        <w:color w:val="auto"/>
        <w:sz w:val="16"/>
        <w:szCs w:val="16"/>
      </w:rPr>
      <w:fldChar w:fldCharType="end"/>
    </w:r>
  </w:p>
  <w:p w14:paraId="5810FE6A" w14:textId="31C7352A" w:rsidR="00E850A4" w:rsidRPr="00267AD5" w:rsidRDefault="009B365A" w:rsidP="0008403D">
    <w:pPr>
      <w:pStyle w:val="Subtitle"/>
      <w:rPr>
        <w:rFonts w:cstheme="minorHAnsi"/>
        <w:sz w:val="16"/>
        <w:szCs w:val="16"/>
      </w:rPr>
    </w:pPr>
    <w:r w:rsidRPr="0008403D">
      <w:rPr>
        <w:rFonts w:cstheme="minorHAnsi"/>
        <w:color w:val="auto"/>
        <w:sz w:val="16"/>
        <w:szCs w:val="16"/>
      </w:rPr>
      <w:instrText>"</w:instrText>
    </w:r>
    <w:r w:rsidRPr="0008403D">
      <w:rPr>
        <w:rFonts w:eastAsia="Times" w:cstheme="minorHAnsi"/>
        <w:color w:val="auto"/>
        <w:sz w:val="16"/>
        <w:szCs w:val="16"/>
      </w:rPr>
      <w:fldChar w:fldCharType="separate"/>
    </w:r>
    <w:r w:rsidRPr="0008403D">
      <w:rPr>
        <w:rFonts w:cstheme="minorHAnsi"/>
        <w:color w:val="auto"/>
        <w:sz w:val="16"/>
        <w:szCs w:val="16"/>
      </w:rPr>
      <w:fldChar w:fldCharType="end"/>
    </w:r>
    <w:r w:rsidRPr="0008403D">
      <w:rPr>
        <w:rFonts w:cstheme="minorHAnsi"/>
        <w:color w:val="auto"/>
        <w:sz w:val="16"/>
        <w:szCs w:val="16"/>
      </w:rPr>
      <w:t>Disaster Recovery Funding Arrangements</w:t>
    </w:r>
  </w:p>
  <w:p w14:paraId="1EFD10CF" w14:textId="77777777" w:rsidR="00E850A4" w:rsidRPr="00C022F9" w:rsidRDefault="00E850A4" w:rsidP="00117CDF">
    <w:pPr>
      <w:pStyle w:val="Footer"/>
    </w:pPr>
    <w:r>
      <w:tab/>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i</w:t>
    </w:r>
    <w:r w:rsidRPr="00DE60CC">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B1127" w14:textId="39B39044" w:rsidR="009B365A" w:rsidRPr="009B365A" w:rsidRDefault="009B365A" w:rsidP="009B365A">
    <w:pPr>
      <w:pStyle w:val="Subtitle"/>
      <w:spacing w:line="240" w:lineRule="auto"/>
      <w:rPr>
        <w:rFonts w:asciiTheme="minorHAnsi" w:hAnsiTheme="minorHAnsi" w:cstheme="minorHAnsi"/>
        <w:color w:val="auto"/>
        <w:sz w:val="18"/>
        <w:szCs w:val="18"/>
      </w:rPr>
    </w:pPr>
    <w:r w:rsidRPr="009B365A">
      <w:rPr>
        <w:rFonts w:asciiTheme="minorHAnsi" w:hAnsiTheme="minorHAnsi" w:cstheme="minorHAnsi"/>
        <w:b/>
        <w:sz w:val="18"/>
        <w:szCs w:val="18"/>
      </w:rPr>
      <w:fldChar w:fldCharType="begin"/>
    </w:r>
    <w:r w:rsidRPr="009B365A">
      <w:rPr>
        <w:rFonts w:asciiTheme="minorHAnsi" w:hAnsiTheme="minorHAnsi" w:cstheme="minorHAnsi"/>
        <w:b/>
        <w:sz w:val="18"/>
        <w:szCs w:val="18"/>
      </w:rPr>
      <w:instrText xml:space="preserve"> StyleRef “Title” </w:instrText>
    </w:r>
    <w:r w:rsidRPr="009B365A">
      <w:rPr>
        <w:rFonts w:asciiTheme="minorHAnsi" w:hAnsiTheme="minorHAnsi" w:cstheme="minorHAnsi"/>
        <w:b/>
        <w:sz w:val="18"/>
        <w:szCs w:val="18"/>
      </w:rPr>
      <w:fldChar w:fldCharType="end"/>
    </w:r>
    <w:r w:rsidRPr="009B365A">
      <w:rPr>
        <w:rFonts w:asciiTheme="minorHAnsi" w:hAnsiTheme="minorHAnsi" w:cstheme="minorHAnsi"/>
        <w:color w:val="auto"/>
        <w:sz w:val="18"/>
        <w:szCs w:val="18"/>
      </w:rPr>
      <w:t>Guideline 2: Cost estimation for essential public assets</w:t>
    </w:r>
  </w:p>
  <w:p w14:paraId="6BEB1B30" w14:textId="424F47AE" w:rsidR="009B365A" w:rsidRPr="00267AD5" w:rsidRDefault="009B365A" w:rsidP="0008403D">
    <w:pPr>
      <w:pStyle w:val="Subtitle"/>
      <w:spacing w:line="240" w:lineRule="auto"/>
      <w:rPr>
        <w:rFonts w:cstheme="minorHAnsi"/>
        <w:sz w:val="18"/>
        <w:szCs w:val="18"/>
      </w:rPr>
    </w:pPr>
    <w:r w:rsidRPr="00603D4E">
      <w:rPr>
        <w:rFonts w:cstheme="minorHAnsi"/>
        <w:sz w:val="18"/>
        <w:szCs w:val="18"/>
      </w:rPr>
      <w:t xml:space="preserve">Victorian </w:t>
    </w:r>
    <w:r w:rsidRPr="0008403D">
      <w:rPr>
        <w:rFonts w:cstheme="minorHAnsi"/>
        <w:color w:val="auto"/>
        <w:sz w:val="18"/>
        <w:szCs w:val="18"/>
      </w:rPr>
      <w:t>Disaster Recovery Funding Arrangements</w:t>
    </w:r>
  </w:p>
  <w:p w14:paraId="357EFA32" w14:textId="29BEE0E8" w:rsidR="00E850A4" w:rsidRPr="00C022F9" w:rsidRDefault="00E850A4" w:rsidP="009B365A">
    <w:pPr>
      <w:pStyle w:val="Footer"/>
    </w:pPr>
    <w:r>
      <w:rPr>
        <w:rStyle w:val="PageNumber"/>
      </w:rPr>
      <w:tab/>
    </w:r>
    <w:r w:rsidR="009B365A" w:rsidRPr="00C022F9">
      <w:t xml:space="preserve">Page </w:t>
    </w:r>
    <w:r w:rsidR="009B365A" w:rsidRPr="00DE60CC">
      <w:rPr>
        <w:rStyle w:val="PageNumber"/>
      </w:rPr>
      <w:fldChar w:fldCharType="begin"/>
    </w:r>
    <w:r w:rsidR="009B365A" w:rsidRPr="00DE60CC">
      <w:rPr>
        <w:rStyle w:val="PageNumber"/>
      </w:rPr>
      <w:instrText xml:space="preserve"> Page </w:instrText>
    </w:r>
    <w:r w:rsidR="009B365A" w:rsidRPr="00DE60CC">
      <w:rPr>
        <w:rStyle w:val="PageNumber"/>
      </w:rPr>
      <w:fldChar w:fldCharType="separate"/>
    </w:r>
    <w:r w:rsidR="009B365A">
      <w:rPr>
        <w:rStyle w:val="PageNumber"/>
      </w:rPr>
      <w:t>2</w:t>
    </w:r>
    <w:r w:rsidR="009B365A" w:rsidRPr="00DE60CC">
      <w:rPr>
        <w:rStyle w:val="PageNumber"/>
      </w:rPr>
      <w:fldChar w:fldCharType="end"/>
    </w:r>
    <w:r w:rsidRPr="00C022F9">
      <w:rPr>
        <w:b/>
        <w:noProof w:val="0"/>
        <w:color w:val="0063A6" w:themeColor="accent1"/>
      </w:rPr>
      <w:fldChar w:fldCharType="begin"/>
    </w:r>
    <w:r w:rsidRPr="00C022F9">
      <w:rPr>
        <w:b/>
        <w:color w:val="0063A6" w:themeColor="accent1"/>
      </w:rPr>
      <w:instrText xml:space="preserve"> StyleRef “Title” </w:instrText>
    </w:r>
    <w:r w:rsidRPr="00C022F9">
      <w:rPr>
        <w:b/>
        <w:color w:val="0063A6" w:themeColor="accent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6EEA" w14:textId="77777777" w:rsidR="00E850A4" w:rsidRDefault="00E850A4" w:rsidP="00C53DB0">
    <w:pPr>
      <w:pStyle w:val="Spacer"/>
    </w:pPr>
  </w:p>
  <w:p w14:paraId="23F7D742" w14:textId="42C41B6C" w:rsidR="009B365A" w:rsidRPr="009B365A" w:rsidRDefault="00E850A4" w:rsidP="009B365A">
    <w:pPr>
      <w:pStyle w:val="Subtitle"/>
      <w:spacing w:line="240" w:lineRule="auto"/>
      <w:rPr>
        <w:rFonts w:asciiTheme="minorHAnsi" w:hAnsiTheme="minorHAnsi" w:cstheme="minorHAnsi"/>
        <w:color w:val="auto"/>
        <w:sz w:val="18"/>
        <w:szCs w:val="18"/>
      </w:rPr>
    </w:pPr>
    <w:r w:rsidRPr="009B365A">
      <w:rPr>
        <w:rFonts w:asciiTheme="minorHAnsi" w:hAnsiTheme="minorHAnsi" w:cstheme="minorHAnsi"/>
        <w:b/>
        <w:sz w:val="18"/>
        <w:szCs w:val="18"/>
      </w:rPr>
      <w:fldChar w:fldCharType="begin"/>
    </w:r>
    <w:r w:rsidRPr="009B365A">
      <w:rPr>
        <w:rFonts w:asciiTheme="minorHAnsi" w:hAnsiTheme="minorHAnsi" w:cstheme="minorHAnsi"/>
        <w:b/>
        <w:sz w:val="18"/>
        <w:szCs w:val="18"/>
      </w:rPr>
      <w:instrText xml:space="preserve"> StyleRef “Title” </w:instrText>
    </w:r>
    <w:r w:rsidRPr="009B365A">
      <w:rPr>
        <w:rFonts w:asciiTheme="minorHAnsi" w:hAnsiTheme="minorHAnsi" w:cstheme="minorHAnsi"/>
        <w:b/>
        <w:sz w:val="18"/>
        <w:szCs w:val="18"/>
      </w:rPr>
      <w:fldChar w:fldCharType="end"/>
    </w:r>
    <w:r w:rsidR="009B365A" w:rsidRPr="009B365A">
      <w:rPr>
        <w:rFonts w:asciiTheme="minorHAnsi" w:hAnsiTheme="minorHAnsi" w:cstheme="minorHAnsi"/>
        <w:color w:val="auto"/>
        <w:sz w:val="18"/>
        <w:szCs w:val="18"/>
      </w:rPr>
      <w:t>Guideline 2: Cost estimation for essential public assets</w:t>
    </w:r>
  </w:p>
  <w:p w14:paraId="7609C70E" w14:textId="0E91092C" w:rsidR="009B365A" w:rsidRPr="00D35CD3" w:rsidRDefault="009B365A" w:rsidP="009B365A">
    <w:pPr>
      <w:pStyle w:val="Subtitle"/>
      <w:spacing w:line="240" w:lineRule="auto"/>
      <w:rPr>
        <w:rFonts w:asciiTheme="minorHAnsi" w:hAnsiTheme="minorHAnsi" w:cstheme="minorHAnsi"/>
        <w:color w:val="auto"/>
        <w:sz w:val="18"/>
        <w:szCs w:val="18"/>
      </w:rPr>
    </w:pPr>
    <w:r w:rsidRPr="009B365A">
      <w:rPr>
        <w:rFonts w:asciiTheme="minorHAnsi" w:hAnsiTheme="minorHAnsi" w:cstheme="minorHAnsi"/>
        <w:color w:val="auto"/>
        <w:sz w:val="18"/>
        <w:szCs w:val="18"/>
      </w:rPr>
      <w:t xml:space="preserve">Victorian </w:t>
    </w:r>
    <w:r w:rsidRPr="0008403D">
      <w:rPr>
        <w:rFonts w:asciiTheme="minorHAnsi" w:eastAsia="Times" w:hAnsiTheme="minorHAnsi" w:cstheme="minorHAnsi"/>
        <w:color w:val="auto"/>
        <w:sz w:val="18"/>
        <w:szCs w:val="18"/>
      </w:rPr>
      <w:fldChar w:fldCharType="begin"/>
    </w:r>
    <w:r w:rsidRPr="00D35CD3">
      <w:rPr>
        <w:rFonts w:asciiTheme="minorHAnsi" w:hAnsiTheme="minorHAnsi" w:cstheme="minorHAnsi"/>
        <w:color w:val="auto"/>
        <w:sz w:val="18"/>
        <w:szCs w:val="18"/>
      </w:rPr>
      <w:instrText xml:space="preserve"> if </w:instrText>
    </w:r>
    <w:r w:rsidRPr="00D35CD3">
      <w:rPr>
        <w:rFonts w:asciiTheme="minorHAnsi" w:hAnsiTheme="minorHAnsi" w:cstheme="minorHAnsi"/>
        <w:color w:val="auto"/>
        <w:sz w:val="18"/>
        <w:szCs w:val="18"/>
      </w:rPr>
      <w:fldChar w:fldCharType="begin"/>
    </w:r>
    <w:r w:rsidRPr="00D35CD3">
      <w:rPr>
        <w:rFonts w:asciiTheme="minorHAnsi" w:hAnsiTheme="minorHAnsi" w:cstheme="minorHAnsi"/>
        <w:color w:val="auto"/>
        <w:sz w:val="18"/>
        <w:szCs w:val="18"/>
      </w:rPr>
      <w:instrText xml:space="preserve"> docproperty subtitle </w:instrText>
    </w:r>
    <w:r w:rsidRPr="00D35CD3">
      <w:rPr>
        <w:rFonts w:asciiTheme="minorHAnsi" w:hAnsiTheme="minorHAnsi" w:cstheme="minorHAnsi"/>
        <w:color w:val="auto"/>
        <w:sz w:val="18"/>
        <w:szCs w:val="18"/>
      </w:rPr>
      <w:fldChar w:fldCharType="separate"/>
    </w:r>
    <w:r w:rsidR="00972940" w:rsidRPr="00D35CD3">
      <w:rPr>
        <w:rFonts w:asciiTheme="minorHAnsi" w:hAnsiTheme="minorHAnsi" w:cstheme="minorHAnsi"/>
        <w:b/>
        <w:bCs/>
        <w:color w:val="auto"/>
        <w:sz w:val="18"/>
        <w:szCs w:val="18"/>
        <w:lang w:val="en-US"/>
      </w:rPr>
      <w:instrText>Error! Unknown document property name.</w:instrText>
    </w:r>
    <w:r w:rsidRPr="00D35CD3">
      <w:rPr>
        <w:rFonts w:asciiTheme="minorHAnsi" w:hAnsiTheme="minorHAnsi" w:cstheme="minorHAnsi"/>
        <w:color w:val="auto"/>
        <w:sz w:val="18"/>
        <w:szCs w:val="18"/>
      </w:rPr>
      <w:fldChar w:fldCharType="end"/>
    </w:r>
    <w:r w:rsidRPr="00D35CD3">
      <w:rPr>
        <w:rFonts w:asciiTheme="minorHAnsi" w:hAnsiTheme="minorHAnsi" w:cstheme="minorHAnsi"/>
        <w:color w:val="auto"/>
        <w:sz w:val="18"/>
        <w:szCs w:val="18"/>
      </w:rPr>
      <w:instrText xml:space="preserve"> &lt;&gt; "" "</w:instrText>
    </w:r>
    <w:r w:rsidRPr="00D35CD3">
      <w:rPr>
        <w:rFonts w:asciiTheme="minorHAnsi" w:hAnsiTheme="minorHAnsi" w:cstheme="minorHAnsi"/>
        <w:color w:val="auto"/>
        <w:sz w:val="18"/>
        <w:szCs w:val="18"/>
      </w:rPr>
      <w:fldChar w:fldCharType="begin"/>
    </w:r>
    <w:r w:rsidRPr="00D35CD3">
      <w:rPr>
        <w:rFonts w:asciiTheme="minorHAnsi" w:hAnsiTheme="minorHAnsi" w:cstheme="minorHAnsi"/>
        <w:color w:val="auto"/>
        <w:sz w:val="18"/>
        <w:szCs w:val="18"/>
      </w:rPr>
      <w:instrText xml:space="preserve"> docproperty Subtitle </w:instrText>
    </w:r>
    <w:r w:rsidRPr="00D35CD3">
      <w:rPr>
        <w:rFonts w:asciiTheme="minorHAnsi" w:hAnsiTheme="minorHAnsi" w:cstheme="minorHAnsi"/>
        <w:color w:val="auto"/>
        <w:sz w:val="18"/>
        <w:szCs w:val="18"/>
      </w:rPr>
      <w:fldChar w:fldCharType="separate"/>
    </w:r>
    <w:r w:rsidR="00972940" w:rsidRPr="00D35CD3">
      <w:rPr>
        <w:rFonts w:asciiTheme="minorHAnsi" w:hAnsiTheme="minorHAnsi" w:cstheme="minorHAnsi"/>
        <w:b/>
        <w:bCs/>
        <w:color w:val="auto"/>
        <w:sz w:val="18"/>
        <w:szCs w:val="18"/>
        <w:lang w:val="en-US"/>
      </w:rPr>
      <w:instrText>Error! Unknown document property name.</w:instrText>
    </w:r>
    <w:r w:rsidRPr="00D35CD3">
      <w:rPr>
        <w:rFonts w:asciiTheme="minorHAnsi" w:hAnsiTheme="minorHAnsi" w:cstheme="minorHAnsi"/>
        <w:color w:val="auto"/>
        <w:sz w:val="18"/>
        <w:szCs w:val="18"/>
      </w:rPr>
      <w:fldChar w:fldCharType="end"/>
    </w:r>
  </w:p>
  <w:p w14:paraId="70265A3F" w14:textId="45DD2E67" w:rsidR="009B365A" w:rsidRPr="00267AD5" w:rsidRDefault="009B365A" w:rsidP="0008403D">
    <w:pPr>
      <w:pStyle w:val="Subtitle"/>
      <w:spacing w:line="240" w:lineRule="auto"/>
      <w:rPr>
        <w:rFonts w:cstheme="minorHAnsi"/>
        <w:sz w:val="18"/>
        <w:szCs w:val="18"/>
      </w:rPr>
    </w:pPr>
    <w:r w:rsidRPr="0008403D">
      <w:rPr>
        <w:rFonts w:cstheme="minorHAnsi"/>
        <w:color w:val="auto"/>
        <w:sz w:val="18"/>
        <w:szCs w:val="18"/>
      </w:rPr>
      <w:instrText>"</w:instrText>
    </w:r>
    <w:r w:rsidRPr="0008403D">
      <w:rPr>
        <w:rFonts w:eastAsia="Times" w:cstheme="minorHAnsi"/>
        <w:color w:val="auto"/>
        <w:sz w:val="18"/>
        <w:szCs w:val="18"/>
      </w:rPr>
      <w:fldChar w:fldCharType="separate"/>
    </w:r>
    <w:r w:rsidRPr="0008403D">
      <w:rPr>
        <w:rFonts w:cstheme="minorHAnsi"/>
        <w:color w:val="auto"/>
        <w:sz w:val="18"/>
        <w:szCs w:val="18"/>
      </w:rPr>
      <w:fldChar w:fldCharType="end"/>
    </w:r>
    <w:r w:rsidRPr="0008403D">
      <w:rPr>
        <w:rFonts w:cstheme="minorHAnsi"/>
        <w:color w:val="auto"/>
        <w:sz w:val="18"/>
        <w:szCs w:val="18"/>
      </w:rPr>
      <w:t>Disaster Recovery Funding Arrangements</w:t>
    </w:r>
  </w:p>
  <w:p w14:paraId="0A610DF6" w14:textId="77777777" w:rsidR="009B365A" w:rsidRDefault="009B365A" w:rsidP="00C53DB0">
    <w:pPr>
      <w:pStyle w:val="Footer"/>
    </w:pPr>
  </w:p>
  <w:p w14:paraId="48615F92" w14:textId="77777777" w:rsidR="00E850A4" w:rsidRPr="00C022F9" w:rsidRDefault="00E850A4" w:rsidP="009B365A">
    <w:pPr>
      <w:pStyle w:val="Footer"/>
      <w:jc w:val="right"/>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19</w:t>
    </w:r>
    <w:r w:rsidRPr="00DE60CC">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F4B01" w14:textId="77777777" w:rsidR="00E850A4" w:rsidRPr="001E31FA" w:rsidRDefault="00E850A4" w:rsidP="00C53DB0">
    <w:pPr>
      <w:pStyle w:val="Spacer"/>
    </w:pPr>
  </w:p>
  <w:p w14:paraId="49BD31B7" w14:textId="0D09E4A1" w:rsidR="00E850A4" w:rsidRPr="00297281" w:rsidRDefault="00E850A4" w:rsidP="00C53DB0">
    <w:pPr>
      <w:pStyle w:val="Footer"/>
      <w:tabs>
        <w:tab w:val="clear" w:pos="9026"/>
        <w:tab w:val="right" w:pos="14220"/>
      </w:tabs>
    </w:pPr>
    <w:r w:rsidRPr="00D542F3">
      <w:t xml:space="preserve">Page </w:t>
    </w:r>
    <w:r w:rsidRPr="00D542F3">
      <w:rPr>
        <w:rStyle w:val="PageNumber"/>
      </w:rPr>
      <w:fldChar w:fldCharType="begin"/>
    </w:r>
    <w:r w:rsidRPr="00D542F3">
      <w:rPr>
        <w:rStyle w:val="PageNumber"/>
      </w:rPr>
      <w:instrText xml:space="preserve"> Page </w:instrText>
    </w:r>
    <w:r w:rsidRPr="00D542F3">
      <w:rPr>
        <w:rStyle w:val="PageNumber"/>
      </w:rPr>
      <w:fldChar w:fldCharType="separate"/>
    </w:r>
    <w:r>
      <w:rPr>
        <w:rStyle w:val="PageNumber"/>
      </w:rPr>
      <w:t>22</w:t>
    </w:r>
    <w:r w:rsidRPr="00D542F3">
      <w:rPr>
        <w:rStyle w:val="PageNumber"/>
      </w:rPr>
      <w:fldChar w:fldCharType="end"/>
    </w:r>
    <w:r>
      <w:rPr>
        <w:rStyle w:val="PageNumber"/>
      </w:rPr>
      <w:tab/>
    </w:r>
    <w:r w:rsidRPr="00C92338">
      <w:rPr>
        <w:b/>
        <w:noProof w:val="0"/>
        <w:color w:val="0063A6" w:themeColor="accent1"/>
        <w:sz w:val="20"/>
      </w:rPr>
      <w:fldChar w:fldCharType="begin"/>
    </w:r>
    <w:r w:rsidRPr="00C92338">
      <w:rPr>
        <w:b/>
        <w:color w:val="0063A6" w:themeColor="accent1"/>
        <w:sz w:val="20"/>
      </w:rPr>
      <w:instrText xml:space="preserve"> StyleRef “Title” </w:instrText>
    </w:r>
    <w:r w:rsidRPr="00C92338">
      <w:rPr>
        <w:b/>
        <w:color w:val="0063A6" w:themeColor="accent1"/>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E1C63" w14:textId="77777777" w:rsidR="00E850A4" w:rsidRDefault="00E850A4" w:rsidP="00C53DB0">
    <w:pPr>
      <w:pStyle w:val="Spacer"/>
    </w:pPr>
  </w:p>
  <w:p w14:paraId="5673B331" w14:textId="16750F77" w:rsidR="00E850A4" w:rsidRPr="00C022F9" w:rsidRDefault="00E850A4" w:rsidP="00C53DB0">
    <w:pPr>
      <w:pStyle w:val="Footer"/>
      <w:tabs>
        <w:tab w:val="clear" w:pos="9026"/>
        <w:tab w:val="right" w:pos="13950"/>
      </w:tabs>
    </w:pPr>
    <w:r w:rsidRPr="00C022F9">
      <w:rPr>
        <w:b/>
        <w:noProof w:val="0"/>
        <w:color w:val="0063A6" w:themeColor="accent1"/>
      </w:rPr>
      <w:fldChar w:fldCharType="begin"/>
    </w:r>
    <w:r w:rsidRPr="00C022F9">
      <w:rPr>
        <w:b/>
        <w:color w:val="0063A6" w:themeColor="accent1"/>
      </w:rPr>
      <w:instrText xml:space="preserve"> StyleRef “Title” </w:instrText>
    </w:r>
    <w:r w:rsidRPr="00C022F9">
      <w:rPr>
        <w:b/>
        <w:color w:val="0063A6" w:themeColor="accent1"/>
      </w:rPr>
      <w:fldChar w:fldCharType="end"/>
    </w:r>
    <w:r w:rsidRPr="00C022F9">
      <w:rPr>
        <w:b/>
        <w:color w:val="0063A6" w:themeColor="accent1"/>
      </w:rPr>
      <w:t xml:space="preserve"> </w:t>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21</w:t>
    </w:r>
    <w:r w:rsidRPr="00DE60C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2C210" w14:textId="77777777" w:rsidR="00E850A4" w:rsidRPr="005536EC" w:rsidRDefault="00E850A4" w:rsidP="005536EC">
    <w:pPr>
      <w:pStyle w:val="Footer"/>
    </w:pPr>
    <w:r w:rsidRPr="00A91244">
      <w:drawing>
        <wp:anchor distT="0" distB="0" distL="114300" distR="114300" simplePos="0" relativeHeight="251736576" behindDoc="0" locked="0" layoutInCell="1" allowOverlap="1" wp14:anchorId="63551A36" wp14:editId="52DB83D3">
          <wp:simplePos x="0" y="0"/>
          <wp:positionH relativeFrom="column">
            <wp:posOffset>4343400</wp:posOffset>
          </wp:positionH>
          <wp:positionV relativeFrom="page">
            <wp:posOffset>9708515</wp:posOffset>
          </wp:positionV>
          <wp:extent cx="878740" cy="502920"/>
          <wp:effectExtent l="0" t="0" r="0" b="0"/>
          <wp:wrapNone/>
          <wp:docPr id="2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878740" cy="5029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087F1" w14:textId="77777777" w:rsidR="004D3D7C" w:rsidRDefault="004D3D7C" w:rsidP="00D6593B">
      <w:r>
        <w:separator/>
      </w:r>
    </w:p>
  </w:footnote>
  <w:footnote w:type="continuationSeparator" w:id="0">
    <w:p w14:paraId="5278F1F6" w14:textId="77777777" w:rsidR="004D3D7C" w:rsidRDefault="004D3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72026" w14:textId="77777777" w:rsidR="00E850A4" w:rsidRDefault="00E850A4">
    <w:pPr>
      <w:pStyle w:val="Header"/>
    </w:pPr>
    <w:r w:rsidRPr="00C1511C">
      <w:rPr>
        <w:noProof/>
      </w:rPr>
      <w:drawing>
        <wp:anchor distT="0" distB="0" distL="114300" distR="114300" simplePos="0" relativeHeight="251719168" behindDoc="0" locked="0" layoutInCell="1" allowOverlap="1" wp14:anchorId="0F12D872" wp14:editId="610646F6">
          <wp:simplePos x="0" y="0"/>
          <wp:positionH relativeFrom="page">
            <wp:align>left</wp:align>
          </wp:positionH>
          <wp:positionV relativeFrom="page">
            <wp:align>top</wp:align>
          </wp:positionV>
          <wp:extent cx="7590790" cy="740410"/>
          <wp:effectExtent l="0" t="0" r="0" b="2540"/>
          <wp:wrapNone/>
          <wp:docPr id="1513300458"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3A5F6" w14:textId="77777777" w:rsidR="00E850A4" w:rsidRPr="00EE172C" w:rsidRDefault="00E850A4" w:rsidP="0072569D">
    <w:r w:rsidRPr="00C1511C">
      <w:rPr>
        <w:noProof/>
      </w:rPr>
      <w:drawing>
        <wp:anchor distT="0" distB="0" distL="114300" distR="114300" simplePos="0" relativeHeight="251694592" behindDoc="0" locked="0" layoutInCell="1" allowOverlap="1" wp14:anchorId="48DD2907" wp14:editId="677BCD54">
          <wp:simplePos x="0" y="0"/>
          <wp:positionH relativeFrom="margin">
            <wp:align>center</wp:align>
          </wp:positionH>
          <wp:positionV relativeFrom="page">
            <wp:posOffset>17337</wp:posOffset>
          </wp:positionV>
          <wp:extent cx="7590790" cy="740410"/>
          <wp:effectExtent l="0" t="0" r="0" b="2540"/>
          <wp:wrapNone/>
          <wp:docPr id="1032821842"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FBFEA" w14:textId="77777777" w:rsidR="00E850A4" w:rsidRDefault="00E850A4">
    <w:pPr>
      <w:pStyle w:val="Header"/>
    </w:pPr>
    <w:r w:rsidRPr="00A91244">
      <w:rPr>
        <w:noProof/>
      </w:rPr>
      <w:drawing>
        <wp:anchor distT="0" distB="0" distL="114300" distR="114300" simplePos="0" relativeHeight="251716096" behindDoc="1" locked="0" layoutInCell="1" allowOverlap="1" wp14:anchorId="1380FCEA" wp14:editId="567357FA">
          <wp:simplePos x="0" y="0"/>
          <wp:positionH relativeFrom="column">
            <wp:posOffset>-914400</wp:posOffset>
          </wp:positionH>
          <wp:positionV relativeFrom="page">
            <wp:posOffset>3977</wp:posOffset>
          </wp:positionV>
          <wp:extent cx="7589520" cy="10725912"/>
          <wp:effectExtent l="0" t="0" r="0" b="0"/>
          <wp:wrapNone/>
          <wp:docPr id="471613878"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2202E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61531" o:spid="_x0000_s1026" type="#_x0000_t136" alt="" style="position:absolute;margin-left:0;margin-top:0;width:638.5pt;height:60.8pt;rotation:315;z-index:-2516188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WORKING DOCUMEN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EEA7" w14:textId="77777777" w:rsidR="00E850A4" w:rsidRDefault="00E850A4">
    <w:pPr>
      <w:pStyle w:val="Header"/>
    </w:pPr>
    <w:r>
      <w:rPr>
        <w:noProof/>
      </w:rPr>
      <w:drawing>
        <wp:anchor distT="0" distB="0" distL="114300" distR="114300" simplePos="0" relativeHeight="251723264" behindDoc="0" locked="0" layoutInCell="1" allowOverlap="1" wp14:anchorId="1E2F08D6" wp14:editId="0D72AA73">
          <wp:simplePos x="0" y="0"/>
          <wp:positionH relativeFrom="column">
            <wp:posOffset>-932815</wp:posOffset>
          </wp:positionH>
          <wp:positionV relativeFrom="page">
            <wp:posOffset>-3546</wp:posOffset>
          </wp:positionV>
          <wp:extent cx="7591245" cy="740985"/>
          <wp:effectExtent l="0" t="0" r="0" b="2540"/>
          <wp:wrapNone/>
          <wp:docPr id="19"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D2652" w14:textId="77777777" w:rsidR="00E850A4" w:rsidRDefault="00E850A4">
    <w:pPr>
      <w:pStyle w:val="Header"/>
    </w:pPr>
    <w:r>
      <w:rPr>
        <w:noProof/>
      </w:rPr>
      <w:drawing>
        <wp:anchor distT="0" distB="0" distL="114300" distR="114300" simplePos="0" relativeHeight="251724288" behindDoc="0" locked="0" layoutInCell="1" allowOverlap="1" wp14:anchorId="0301B3CE" wp14:editId="735B97E3">
          <wp:simplePos x="0" y="0"/>
          <wp:positionH relativeFrom="column">
            <wp:posOffset>-931849</wp:posOffset>
          </wp:positionH>
          <wp:positionV relativeFrom="page">
            <wp:posOffset>0</wp:posOffset>
          </wp:positionV>
          <wp:extent cx="7591245" cy="740985"/>
          <wp:effectExtent l="0" t="0" r="0" b="2540"/>
          <wp:wrapNone/>
          <wp:docPr id="20"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7F3C3" w14:textId="77777777" w:rsidR="00E850A4" w:rsidRDefault="00E850A4">
    <w:pPr>
      <w:pStyle w:val="Header"/>
    </w:pPr>
    <w:r>
      <w:rPr>
        <w:noProof/>
      </w:rPr>
      <w:drawing>
        <wp:anchor distT="0" distB="0" distL="114300" distR="114300" simplePos="0" relativeHeight="251726336" behindDoc="0" locked="0" layoutInCell="1" allowOverlap="1" wp14:anchorId="1BDEC632" wp14:editId="4C6637C4">
          <wp:simplePos x="0" y="0"/>
          <wp:positionH relativeFrom="column">
            <wp:posOffset>-1104900</wp:posOffset>
          </wp:positionH>
          <wp:positionV relativeFrom="page">
            <wp:posOffset>105023</wp:posOffset>
          </wp:positionV>
          <wp:extent cx="13158216" cy="548656"/>
          <wp:effectExtent l="0" t="0" r="5715"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B790D" w14:textId="77777777" w:rsidR="00E850A4" w:rsidRDefault="00E850A4">
    <w:pPr>
      <w:pStyle w:val="Header"/>
    </w:pPr>
    <w:r>
      <w:rPr>
        <w:noProof/>
      </w:rPr>
      <w:drawing>
        <wp:anchor distT="0" distB="0" distL="114300" distR="114300" simplePos="0" relativeHeight="251728384" behindDoc="0" locked="0" layoutInCell="1" allowOverlap="1" wp14:anchorId="08763E9C" wp14:editId="3B4CA96F">
          <wp:simplePos x="0" y="0"/>
          <wp:positionH relativeFrom="page">
            <wp:align>left</wp:align>
          </wp:positionH>
          <wp:positionV relativeFrom="page">
            <wp:posOffset>100054</wp:posOffset>
          </wp:positionV>
          <wp:extent cx="13158216" cy="548656"/>
          <wp:effectExtent l="0" t="0" r="5715"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106E0" w14:textId="77777777" w:rsidR="00E850A4" w:rsidRDefault="00000000">
    <w:pPr>
      <w:pStyle w:val="Header"/>
    </w:pPr>
    <w:r>
      <w:rPr>
        <w:noProof/>
      </w:rPr>
      <w:pict w14:anchorId="070CD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61534" o:spid="_x0000_s1025" type="#_x0000_t136" alt="" style="position:absolute;margin-left:0;margin-top:0;width:638.5pt;height:60.8pt;rotation:315;z-index:-2516126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WORKING DOCUMEN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F68BB" w14:textId="77777777" w:rsidR="00E850A4" w:rsidRDefault="00E850A4" w:rsidP="005536EC">
    <w:pPr>
      <w:pStyle w:val="Header"/>
    </w:pPr>
    <w:r>
      <w:rPr>
        <w:noProof/>
      </w:rPr>
      <w:drawing>
        <wp:anchor distT="0" distB="0" distL="114300" distR="114300" simplePos="0" relativeHeight="251734528" behindDoc="0" locked="0" layoutInCell="1" allowOverlap="1" wp14:anchorId="544858D6" wp14:editId="7684E514">
          <wp:simplePos x="0" y="0"/>
          <wp:positionH relativeFrom="page">
            <wp:align>left</wp:align>
          </wp:positionH>
          <wp:positionV relativeFrom="page">
            <wp:align>top</wp:align>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p>
  <w:p w14:paraId="6561BD33" w14:textId="77777777" w:rsidR="00E850A4" w:rsidRDefault="00E850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92060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80E9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F86C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28B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D07D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FE84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B83D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DAAF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ACE5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7888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0E0E66"/>
    <w:multiLevelType w:val="hybridMultilevel"/>
    <w:tmpl w:val="1458C0E2"/>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1" w15:restartNumberingAfterBreak="0">
    <w:nsid w:val="19ED4802"/>
    <w:multiLevelType w:val="multilevel"/>
    <w:tmpl w:val="8CB46004"/>
    <w:numStyleLink w:val="111111"/>
  </w:abstractNum>
  <w:abstractNum w:abstractNumId="12" w15:restartNumberingAfterBreak="0">
    <w:nsid w:val="207446B7"/>
    <w:multiLevelType w:val="hybridMultilevel"/>
    <w:tmpl w:val="98C43A3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A22501"/>
    <w:multiLevelType w:val="hybridMultilevel"/>
    <w:tmpl w:val="ADAAD872"/>
    <w:lvl w:ilvl="0" w:tplc="2704185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2B3C6B"/>
    <w:multiLevelType w:val="hybridMultilevel"/>
    <w:tmpl w:val="455A0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456FFD"/>
    <w:multiLevelType w:val="multilevel"/>
    <w:tmpl w:val="CB36743C"/>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ACA0A57"/>
    <w:multiLevelType w:val="multilevel"/>
    <w:tmpl w:val="061CCE46"/>
    <w:styleLink w:val="1ai"/>
    <w:lvl w:ilvl="0">
      <w:start w:val="1"/>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080"/>
        </w:tabs>
        <w:ind w:left="1080" w:hanging="360"/>
      </w:pPr>
      <w:rPr>
        <w:rFonts w:ascii="Verdana" w:hAnsi="Verdana" w:hint="default"/>
      </w:rPr>
    </w:lvl>
    <w:lvl w:ilvl="2">
      <w:start w:val="1"/>
      <w:numFmt w:val="lowerRoman"/>
      <w:lvlText w:val="%3)"/>
      <w:lvlJc w:val="left"/>
      <w:pPr>
        <w:tabs>
          <w:tab w:val="num" w:pos="1440"/>
        </w:tabs>
        <w:ind w:left="1440" w:hanging="360"/>
      </w:pPr>
      <w:rPr>
        <w:rFonts w:ascii="Verdana" w:hAnsi="Verdana" w:hint="default"/>
      </w:rPr>
    </w:lvl>
    <w:lvl w:ilvl="3">
      <w:start w:val="1"/>
      <w:numFmt w:val="decimal"/>
      <w:lvlText w:val="(%4)"/>
      <w:lvlJc w:val="left"/>
      <w:pPr>
        <w:tabs>
          <w:tab w:val="num" w:pos="1800"/>
        </w:tabs>
        <w:ind w:left="1800" w:hanging="360"/>
      </w:pPr>
      <w:rPr>
        <w:rFonts w:ascii="Verdana" w:hAnsi="Verdana" w:hint="default"/>
      </w:rPr>
    </w:lvl>
    <w:lvl w:ilvl="4">
      <w:start w:val="1"/>
      <w:numFmt w:val="lowerLetter"/>
      <w:lvlText w:val="(%5)"/>
      <w:lvlJc w:val="left"/>
      <w:pPr>
        <w:tabs>
          <w:tab w:val="num" w:pos="2160"/>
        </w:tabs>
        <w:ind w:left="2160" w:hanging="360"/>
      </w:pPr>
      <w:rPr>
        <w:rFonts w:ascii="Verdana" w:hAnsi="Verdana" w:hint="default"/>
      </w:rPr>
    </w:lvl>
    <w:lvl w:ilvl="5">
      <w:start w:val="1"/>
      <w:numFmt w:val="lowerRoman"/>
      <w:lvlText w:val="(%6)"/>
      <w:lvlJc w:val="left"/>
      <w:pPr>
        <w:tabs>
          <w:tab w:val="num" w:pos="2520"/>
        </w:tabs>
        <w:ind w:left="2520" w:hanging="360"/>
      </w:pPr>
      <w:rPr>
        <w:rFonts w:ascii="Verdana" w:hAnsi="Verdana" w:hint="default"/>
      </w:rPr>
    </w:lvl>
    <w:lvl w:ilvl="6">
      <w:start w:val="1"/>
      <w:numFmt w:val="decimal"/>
      <w:lvlText w:val="%7."/>
      <w:lvlJc w:val="left"/>
      <w:pPr>
        <w:tabs>
          <w:tab w:val="num" w:pos="2880"/>
        </w:tabs>
        <w:ind w:left="2880" w:hanging="360"/>
      </w:pPr>
      <w:rPr>
        <w:rFonts w:ascii="Verdana" w:hAnsi="Verdana" w:hint="default"/>
      </w:rPr>
    </w:lvl>
    <w:lvl w:ilvl="7">
      <w:start w:val="1"/>
      <w:numFmt w:val="lowerLetter"/>
      <w:lvlText w:val="%8."/>
      <w:lvlJc w:val="left"/>
      <w:pPr>
        <w:tabs>
          <w:tab w:val="num" w:pos="3240"/>
        </w:tabs>
        <w:ind w:left="3240" w:hanging="360"/>
      </w:pPr>
      <w:rPr>
        <w:rFonts w:ascii="Verdana" w:hAnsi="Verdana" w:hint="default"/>
      </w:rPr>
    </w:lvl>
    <w:lvl w:ilvl="8">
      <w:start w:val="1"/>
      <w:numFmt w:val="lowerRoman"/>
      <w:lvlText w:val="%9."/>
      <w:lvlJc w:val="left"/>
      <w:pPr>
        <w:tabs>
          <w:tab w:val="num" w:pos="3600"/>
        </w:tabs>
        <w:ind w:left="3600" w:hanging="360"/>
      </w:pPr>
      <w:rPr>
        <w:rFonts w:ascii="Verdana" w:hAnsi="Verdana" w:hint="default"/>
      </w:rPr>
    </w:lvl>
  </w:abstractNum>
  <w:abstractNum w:abstractNumId="17" w15:restartNumberingAfterBreak="0">
    <w:nsid w:val="3DCF6CD6"/>
    <w:multiLevelType w:val="hybridMultilevel"/>
    <w:tmpl w:val="1C487838"/>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8" w15:restartNumberingAfterBreak="0">
    <w:nsid w:val="446D3A6A"/>
    <w:multiLevelType w:val="multilevel"/>
    <w:tmpl w:val="D6E00412"/>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9" w15:restartNumberingAfterBreak="0">
    <w:nsid w:val="4B356762"/>
    <w:multiLevelType w:val="hybridMultilevel"/>
    <w:tmpl w:val="CE7E6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BCC4772"/>
    <w:multiLevelType w:val="hybridMultilevel"/>
    <w:tmpl w:val="2356DD84"/>
    <w:lvl w:ilvl="0" w:tplc="052CADB2">
      <w:start w:val="1"/>
      <w:numFmt w:val="bullet"/>
      <w:lvlText w:val=""/>
      <w:lvlJc w:val="left"/>
      <w:pPr>
        <w:tabs>
          <w:tab w:val="num" w:pos="1190"/>
        </w:tabs>
        <w:ind w:left="1190" w:hanging="396"/>
      </w:pPr>
      <w:rPr>
        <w:rFonts w:ascii="Symbol" w:hAnsi="Symbol"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543354"/>
    <w:multiLevelType w:val="hybridMultilevel"/>
    <w:tmpl w:val="A9BE71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abstractNum w:abstractNumId="24" w15:restartNumberingAfterBreak="0">
    <w:nsid w:val="7FD44514"/>
    <w:multiLevelType w:val="multilevel"/>
    <w:tmpl w:val="5E568B4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3"/>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349063512">
    <w:abstractNumId w:val="23"/>
  </w:num>
  <w:num w:numId="2" w16cid:durableId="1758089601">
    <w:abstractNumId w:val="16"/>
  </w:num>
  <w:num w:numId="3" w16cid:durableId="1644770983">
    <w:abstractNumId w:val="18"/>
  </w:num>
  <w:num w:numId="4" w16cid:durableId="1883204278">
    <w:abstractNumId w:val="9"/>
  </w:num>
  <w:num w:numId="5" w16cid:durableId="186018906">
    <w:abstractNumId w:val="7"/>
  </w:num>
  <w:num w:numId="6" w16cid:durableId="2116290114">
    <w:abstractNumId w:val="6"/>
  </w:num>
  <w:num w:numId="7" w16cid:durableId="903181036">
    <w:abstractNumId w:val="5"/>
  </w:num>
  <w:num w:numId="8" w16cid:durableId="1793091184">
    <w:abstractNumId w:val="4"/>
  </w:num>
  <w:num w:numId="9" w16cid:durableId="664364085">
    <w:abstractNumId w:val="8"/>
  </w:num>
  <w:num w:numId="10" w16cid:durableId="2129617823">
    <w:abstractNumId w:val="3"/>
  </w:num>
  <w:num w:numId="11" w16cid:durableId="806238027">
    <w:abstractNumId w:val="2"/>
  </w:num>
  <w:num w:numId="12" w16cid:durableId="96681375">
    <w:abstractNumId w:val="1"/>
  </w:num>
  <w:num w:numId="13" w16cid:durableId="1887528360">
    <w:abstractNumId w:val="0"/>
  </w:num>
  <w:num w:numId="14" w16cid:durableId="752698384">
    <w:abstractNumId w:val="22"/>
  </w:num>
  <w:num w:numId="15" w16cid:durableId="1666858620">
    <w:abstractNumId w:val="24"/>
  </w:num>
  <w:num w:numId="16" w16cid:durableId="2058164619">
    <w:abstractNumId w:val="15"/>
  </w:num>
  <w:num w:numId="17" w16cid:durableId="688021049">
    <w:abstractNumId w:val="20"/>
  </w:num>
  <w:num w:numId="18" w16cid:durableId="649938965">
    <w:abstractNumId w:val="19"/>
  </w:num>
  <w:num w:numId="19" w16cid:durableId="1226573375">
    <w:abstractNumId w:val="24"/>
  </w:num>
  <w:num w:numId="20" w16cid:durableId="263807671">
    <w:abstractNumId w:val="14"/>
  </w:num>
  <w:num w:numId="21" w16cid:durableId="381945933">
    <w:abstractNumId w:val="21"/>
  </w:num>
  <w:num w:numId="22" w16cid:durableId="386295250">
    <w:abstractNumId w:val="17"/>
  </w:num>
  <w:num w:numId="23" w16cid:durableId="16465109">
    <w:abstractNumId w:val="12"/>
  </w:num>
  <w:num w:numId="24" w16cid:durableId="502865885">
    <w:abstractNumId w:val="18"/>
  </w:num>
  <w:num w:numId="25" w16cid:durableId="1334605421">
    <w:abstractNumId w:val="24"/>
  </w:num>
  <w:num w:numId="26" w16cid:durableId="92870708">
    <w:abstractNumId w:val="13"/>
  </w:num>
  <w:num w:numId="27" w16cid:durableId="381637717">
    <w:abstractNumId w:val="24"/>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06060960">
    <w:abstractNumId w:val="10"/>
  </w:num>
  <w:num w:numId="29" w16cid:durableId="1226798661">
    <w:abstractNumId w:val="11"/>
  </w:num>
  <w:num w:numId="30" w16cid:durableId="410079612">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57"/>
  <w:drawingGridVerticalSpacing w:val="57"/>
  <w:noPunctuationKerning/>
  <w:characterSpacingControl w:val="doNotCompress"/>
  <w:hdrShapeDefaults>
    <o:shapedefaults v:ext="edit" spidmax="2050" fill="f" fillcolor="white">
      <v:fill color="whit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617"/>
    <w:rsid w:val="00000688"/>
    <w:rsid w:val="000009F2"/>
    <w:rsid w:val="00001164"/>
    <w:rsid w:val="000012C1"/>
    <w:rsid w:val="000012D9"/>
    <w:rsid w:val="00001528"/>
    <w:rsid w:val="000015A3"/>
    <w:rsid w:val="0000167B"/>
    <w:rsid w:val="00002346"/>
    <w:rsid w:val="00002A92"/>
    <w:rsid w:val="00003881"/>
    <w:rsid w:val="00003AD5"/>
    <w:rsid w:val="000040AD"/>
    <w:rsid w:val="000041F9"/>
    <w:rsid w:val="00004B1B"/>
    <w:rsid w:val="00004D07"/>
    <w:rsid w:val="000050DE"/>
    <w:rsid w:val="0000512C"/>
    <w:rsid w:val="00005376"/>
    <w:rsid w:val="000054F0"/>
    <w:rsid w:val="000059AF"/>
    <w:rsid w:val="00005F02"/>
    <w:rsid w:val="000061F1"/>
    <w:rsid w:val="000063B4"/>
    <w:rsid w:val="000064A4"/>
    <w:rsid w:val="00006996"/>
    <w:rsid w:val="00006C9F"/>
    <w:rsid w:val="00007CEA"/>
    <w:rsid w:val="00007FF1"/>
    <w:rsid w:val="000100CB"/>
    <w:rsid w:val="00010406"/>
    <w:rsid w:val="00010723"/>
    <w:rsid w:val="00010761"/>
    <w:rsid w:val="00010778"/>
    <w:rsid w:val="00011E0D"/>
    <w:rsid w:val="00012444"/>
    <w:rsid w:val="00012467"/>
    <w:rsid w:val="0001323B"/>
    <w:rsid w:val="0001374F"/>
    <w:rsid w:val="00013941"/>
    <w:rsid w:val="000139BB"/>
    <w:rsid w:val="0001436C"/>
    <w:rsid w:val="000144A4"/>
    <w:rsid w:val="00014E13"/>
    <w:rsid w:val="000151F5"/>
    <w:rsid w:val="00015748"/>
    <w:rsid w:val="00015AE1"/>
    <w:rsid w:val="00015C1E"/>
    <w:rsid w:val="000160B2"/>
    <w:rsid w:val="0001664C"/>
    <w:rsid w:val="00016816"/>
    <w:rsid w:val="0001688C"/>
    <w:rsid w:val="00016A0C"/>
    <w:rsid w:val="00017457"/>
    <w:rsid w:val="00017685"/>
    <w:rsid w:val="00020807"/>
    <w:rsid w:val="000208A0"/>
    <w:rsid w:val="00020BB8"/>
    <w:rsid w:val="00020E09"/>
    <w:rsid w:val="000214BA"/>
    <w:rsid w:val="0002156F"/>
    <w:rsid w:val="000216EB"/>
    <w:rsid w:val="0002188D"/>
    <w:rsid w:val="000218D8"/>
    <w:rsid w:val="0002211D"/>
    <w:rsid w:val="000221DF"/>
    <w:rsid w:val="0002252D"/>
    <w:rsid w:val="00022743"/>
    <w:rsid w:val="00022A83"/>
    <w:rsid w:val="00022D14"/>
    <w:rsid w:val="000236BA"/>
    <w:rsid w:val="00023D63"/>
    <w:rsid w:val="000241E7"/>
    <w:rsid w:val="000242AD"/>
    <w:rsid w:val="00024498"/>
    <w:rsid w:val="00024577"/>
    <w:rsid w:val="00024A29"/>
    <w:rsid w:val="00024CD4"/>
    <w:rsid w:val="00025488"/>
    <w:rsid w:val="0002576C"/>
    <w:rsid w:val="00025875"/>
    <w:rsid w:val="00025BE4"/>
    <w:rsid w:val="00025EDC"/>
    <w:rsid w:val="0002610C"/>
    <w:rsid w:val="00026447"/>
    <w:rsid w:val="00026A37"/>
    <w:rsid w:val="00026D1B"/>
    <w:rsid w:val="0002707C"/>
    <w:rsid w:val="000279B1"/>
    <w:rsid w:val="00027A47"/>
    <w:rsid w:val="0003083E"/>
    <w:rsid w:val="00030CA9"/>
    <w:rsid w:val="00031242"/>
    <w:rsid w:val="00031FDF"/>
    <w:rsid w:val="0003225B"/>
    <w:rsid w:val="00032958"/>
    <w:rsid w:val="00032E33"/>
    <w:rsid w:val="00033004"/>
    <w:rsid w:val="000330A9"/>
    <w:rsid w:val="00033275"/>
    <w:rsid w:val="00033516"/>
    <w:rsid w:val="0003354D"/>
    <w:rsid w:val="000338A9"/>
    <w:rsid w:val="00033ABA"/>
    <w:rsid w:val="000345BE"/>
    <w:rsid w:val="00034BA4"/>
    <w:rsid w:val="00034C66"/>
    <w:rsid w:val="00034D13"/>
    <w:rsid w:val="00035E24"/>
    <w:rsid w:val="000362C1"/>
    <w:rsid w:val="00036848"/>
    <w:rsid w:val="0003720D"/>
    <w:rsid w:val="000372C1"/>
    <w:rsid w:val="00037412"/>
    <w:rsid w:val="000378FF"/>
    <w:rsid w:val="00037A20"/>
    <w:rsid w:val="00037A91"/>
    <w:rsid w:val="00037CF7"/>
    <w:rsid w:val="00037D0F"/>
    <w:rsid w:val="00037E6C"/>
    <w:rsid w:val="000405CD"/>
    <w:rsid w:val="00041005"/>
    <w:rsid w:val="000410A9"/>
    <w:rsid w:val="0004113D"/>
    <w:rsid w:val="000424AD"/>
    <w:rsid w:val="00042696"/>
    <w:rsid w:val="00042F6A"/>
    <w:rsid w:val="0004351A"/>
    <w:rsid w:val="00043A30"/>
    <w:rsid w:val="0004414E"/>
    <w:rsid w:val="00044163"/>
    <w:rsid w:val="000441A4"/>
    <w:rsid w:val="00044663"/>
    <w:rsid w:val="00044B57"/>
    <w:rsid w:val="00044BF1"/>
    <w:rsid w:val="0004509B"/>
    <w:rsid w:val="00045130"/>
    <w:rsid w:val="00045581"/>
    <w:rsid w:val="00046763"/>
    <w:rsid w:val="0004678F"/>
    <w:rsid w:val="00046DAA"/>
    <w:rsid w:val="000471C4"/>
    <w:rsid w:val="000474BF"/>
    <w:rsid w:val="000503FA"/>
    <w:rsid w:val="00050DC8"/>
    <w:rsid w:val="000512E9"/>
    <w:rsid w:val="00051572"/>
    <w:rsid w:val="00051581"/>
    <w:rsid w:val="000539B6"/>
    <w:rsid w:val="0005401A"/>
    <w:rsid w:val="000544CE"/>
    <w:rsid w:val="00054880"/>
    <w:rsid w:val="00054943"/>
    <w:rsid w:val="00054A41"/>
    <w:rsid w:val="00055412"/>
    <w:rsid w:val="00055546"/>
    <w:rsid w:val="000559B5"/>
    <w:rsid w:val="00055A8C"/>
    <w:rsid w:val="000561C9"/>
    <w:rsid w:val="0005680C"/>
    <w:rsid w:val="00056B1E"/>
    <w:rsid w:val="00057D25"/>
    <w:rsid w:val="000603D0"/>
    <w:rsid w:val="00060BD1"/>
    <w:rsid w:val="00060D95"/>
    <w:rsid w:val="00060F58"/>
    <w:rsid w:val="00060FFB"/>
    <w:rsid w:val="0006106E"/>
    <w:rsid w:val="00061321"/>
    <w:rsid w:val="000618F8"/>
    <w:rsid w:val="00061E49"/>
    <w:rsid w:val="000634E3"/>
    <w:rsid w:val="00063CFC"/>
    <w:rsid w:val="0006460C"/>
    <w:rsid w:val="00064B69"/>
    <w:rsid w:val="00065B8F"/>
    <w:rsid w:val="00066AC3"/>
    <w:rsid w:val="00066D5F"/>
    <w:rsid w:val="00067260"/>
    <w:rsid w:val="00070206"/>
    <w:rsid w:val="000703BF"/>
    <w:rsid w:val="000711CB"/>
    <w:rsid w:val="000714BC"/>
    <w:rsid w:val="0007150D"/>
    <w:rsid w:val="00071953"/>
    <w:rsid w:val="00071999"/>
    <w:rsid w:val="00071C69"/>
    <w:rsid w:val="00071D87"/>
    <w:rsid w:val="0007244F"/>
    <w:rsid w:val="000725A3"/>
    <w:rsid w:val="00072D8F"/>
    <w:rsid w:val="00072FB5"/>
    <w:rsid w:val="000730B8"/>
    <w:rsid w:val="00073A10"/>
    <w:rsid w:val="000748EE"/>
    <w:rsid w:val="00075675"/>
    <w:rsid w:val="00075A9D"/>
    <w:rsid w:val="00076246"/>
    <w:rsid w:val="000762E0"/>
    <w:rsid w:val="00076755"/>
    <w:rsid w:val="0007679D"/>
    <w:rsid w:val="00076DA8"/>
    <w:rsid w:val="000772A9"/>
    <w:rsid w:val="000774E2"/>
    <w:rsid w:val="00077A2A"/>
    <w:rsid w:val="0008051D"/>
    <w:rsid w:val="000807DE"/>
    <w:rsid w:val="00080CDA"/>
    <w:rsid w:val="00081345"/>
    <w:rsid w:val="00081430"/>
    <w:rsid w:val="00081491"/>
    <w:rsid w:val="00081706"/>
    <w:rsid w:val="000817F8"/>
    <w:rsid w:val="00081D68"/>
    <w:rsid w:val="00082D90"/>
    <w:rsid w:val="000831B3"/>
    <w:rsid w:val="00083AAB"/>
    <w:rsid w:val="0008403D"/>
    <w:rsid w:val="000840C5"/>
    <w:rsid w:val="000843B7"/>
    <w:rsid w:val="0008456D"/>
    <w:rsid w:val="000847C8"/>
    <w:rsid w:val="000847FA"/>
    <w:rsid w:val="00084BB7"/>
    <w:rsid w:val="0008509C"/>
    <w:rsid w:val="00085295"/>
    <w:rsid w:val="0008597F"/>
    <w:rsid w:val="00085B6C"/>
    <w:rsid w:val="0008614A"/>
    <w:rsid w:val="00086A37"/>
    <w:rsid w:val="00086D8E"/>
    <w:rsid w:val="00087390"/>
    <w:rsid w:val="000878BC"/>
    <w:rsid w:val="00087C84"/>
    <w:rsid w:val="00090153"/>
    <w:rsid w:val="000908BE"/>
    <w:rsid w:val="0009095B"/>
    <w:rsid w:val="00090BDA"/>
    <w:rsid w:val="00090F17"/>
    <w:rsid w:val="00091136"/>
    <w:rsid w:val="000917C1"/>
    <w:rsid w:val="00091C17"/>
    <w:rsid w:val="00091E50"/>
    <w:rsid w:val="00092582"/>
    <w:rsid w:val="0009358B"/>
    <w:rsid w:val="00093F1D"/>
    <w:rsid w:val="00093FB3"/>
    <w:rsid w:val="0009441E"/>
    <w:rsid w:val="0009454B"/>
    <w:rsid w:val="00094C9A"/>
    <w:rsid w:val="00094F77"/>
    <w:rsid w:val="0009573A"/>
    <w:rsid w:val="00095D55"/>
    <w:rsid w:val="00096C0D"/>
    <w:rsid w:val="00096CD5"/>
    <w:rsid w:val="000977E7"/>
    <w:rsid w:val="00097DF3"/>
    <w:rsid w:val="000A00CA"/>
    <w:rsid w:val="000A04BE"/>
    <w:rsid w:val="000A0D38"/>
    <w:rsid w:val="000A0E6E"/>
    <w:rsid w:val="000A19F9"/>
    <w:rsid w:val="000A1FD2"/>
    <w:rsid w:val="000A24A2"/>
    <w:rsid w:val="000A288F"/>
    <w:rsid w:val="000A2B70"/>
    <w:rsid w:val="000A2DD6"/>
    <w:rsid w:val="000A2F91"/>
    <w:rsid w:val="000A3717"/>
    <w:rsid w:val="000A3ACA"/>
    <w:rsid w:val="000A3BEF"/>
    <w:rsid w:val="000A3CF2"/>
    <w:rsid w:val="000A3E21"/>
    <w:rsid w:val="000A4171"/>
    <w:rsid w:val="000A4456"/>
    <w:rsid w:val="000A4573"/>
    <w:rsid w:val="000A4989"/>
    <w:rsid w:val="000A56C2"/>
    <w:rsid w:val="000A6E75"/>
    <w:rsid w:val="000A6EF3"/>
    <w:rsid w:val="000A7A4B"/>
    <w:rsid w:val="000A7C85"/>
    <w:rsid w:val="000B0379"/>
    <w:rsid w:val="000B0EC9"/>
    <w:rsid w:val="000B0F06"/>
    <w:rsid w:val="000B11CB"/>
    <w:rsid w:val="000B1465"/>
    <w:rsid w:val="000B233C"/>
    <w:rsid w:val="000B2E89"/>
    <w:rsid w:val="000B372E"/>
    <w:rsid w:val="000B39D1"/>
    <w:rsid w:val="000B47F2"/>
    <w:rsid w:val="000B50C2"/>
    <w:rsid w:val="000B51AD"/>
    <w:rsid w:val="000B523F"/>
    <w:rsid w:val="000B5FD1"/>
    <w:rsid w:val="000B634B"/>
    <w:rsid w:val="000B6E08"/>
    <w:rsid w:val="000B7467"/>
    <w:rsid w:val="000B7720"/>
    <w:rsid w:val="000B774D"/>
    <w:rsid w:val="000B7C24"/>
    <w:rsid w:val="000B7E04"/>
    <w:rsid w:val="000B7EF7"/>
    <w:rsid w:val="000C0910"/>
    <w:rsid w:val="000C0CA3"/>
    <w:rsid w:val="000C0F39"/>
    <w:rsid w:val="000C1EDE"/>
    <w:rsid w:val="000C2E39"/>
    <w:rsid w:val="000C34BB"/>
    <w:rsid w:val="000C36E1"/>
    <w:rsid w:val="000C3A29"/>
    <w:rsid w:val="000C4275"/>
    <w:rsid w:val="000C5221"/>
    <w:rsid w:val="000C5386"/>
    <w:rsid w:val="000C56BF"/>
    <w:rsid w:val="000C581C"/>
    <w:rsid w:val="000C590C"/>
    <w:rsid w:val="000C5A19"/>
    <w:rsid w:val="000C5C4D"/>
    <w:rsid w:val="000C5D5B"/>
    <w:rsid w:val="000C6424"/>
    <w:rsid w:val="000C68D9"/>
    <w:rsid w:val="000C6EB0"/>
    <w:rsid w:val="000C71AC"/>
    <w:rsid w:val="000C733B"/>
    <w:rsid w:val="000C7542"/>
    <w:rsid w:val="000C7A54"/>
    <w:rsid w:val="000C7F3B"/>
    <w:rsid w:val="000D04FA"/>
    <w:rsid w:val="000D0522"/>
    <w:rsid w:val="000D067B"/>
    <w:rsid w:val="000D07DB"/>
    <w:rsid w:val="000D0A3D"/>
    <w:rsid w:val="000D0E00"/>
    <w:rsid w:val="000D0E47"/>
    <w:rsid w:val="000D1218"/>
    <w:rsid w:val="000D17D1"/>
    <w:rsid w:val="000D1963"/>
    <w:rsid w:val="000D1AB0"/>
    <w:rsid w:val="000D1AE1"/>
    <w:rsid w:val="000D205F"/>
    <w:rsid w:val="000D2B2A"/>
    <w:rsid w:val="000D2C39"/>
    <w:rsid w:val="000D308E"/>
    <w:rsid w:val="000D3153"/>
    <w:rsid w:val="000D3188"/>
    <w:rsid w:val="000D36DD"/>
    <w:rsid w:val="000D4390"/>
    <w:rsid w:val="000D4958"/>
    <w:rsid w:val="000D4EA3"/>
    <w:rsid w:val="000D54DF"/>
    <w:rsid w:val="000D54EC"/>
    <w:rsid w:val="000D56C6"/>
    <w:rsid w:val="000D58BB"/>
    <w:rsid w:val="000D5DF5"/>
    <w:rsid w:val="000D645C"/>
    <w:rsid w:val="000D761C"/>
    <w:rsid w:val="000D790C"/>
    <w:rsid w:val="000D7CF3"/>
    <w:rsid w:val="000E005C"/>
    <w:rsid w:val="000E0086"/>
    <w:rsid w:val="000E018B"/>
    <w:rsid w:val="000E0F21"/>
    <w:rsid w:val="000E1309"/>
    <w:rsid w:val="000E1330"/>
    <w:rsid w:val="000E168A"/>
    <w:rsid w:val="000E194E"/>
    <w:rsid w:val="000E1E88"/>
    <w:rsid w:val="000E20FA"/>
    <w:rsid w:val="000E224D"/>
    <w:rsid w:val="000E2F5D"/>
    <w:rsid w:val="000E3DC9"/>
    <w:rsid w:val="000E4101"/>
    <w:rsid w:val="000E498C"/>
    <w:rsid w:val="000E4FAE"/>
    <w:rsid w:val="000E59CF"/>
    <w:rsid w:val="000E5AB4"/>
    <w:rsid w:val="000E60C6"/>
    <w:rsid w:val="000E60D6"/>
    <w:rsid w:val="000E7028"/>
    <w:rsid w:val="000E70E7"/>
    <w:rsid w:val="000E7809"/>
    <w:rsid w:val="000E7CE6"/>
    <w:rsid w:val="000E7E87"/>
    <w:rsid w:val="000E7EE7"/>
    <w:rsid w:val="000F0B50"/>
    <w:rsid w:val="000F1EAF"/>
    <w:rsid w:val="000F228E"/>
    <w:rsid w:val="000F269B"/>
    <w:rsid w:val="000F2886"/>
    <w:rsid w:val="000F2CCC"/>
    <w:rsid w:val="000F3855"/>
    <w:rsid w:val="000F51F4"/>
    <w:rsid w:val="000F53D4"/>
    <w:rsid w:val="000F5921"/>
    <w:rsid w:val="000F5AB2"/>
    <w:rsid w:val="000F5B90"/>
    <w:rsid w:val="000F5D55"/>
    <w:rsid w:val="000F5FDB"/>
    <w:rsid w:val="000F6062"/>
    <w:rsid w:val="000F6C6A"/>
    <w:rsid w:val="000F6F9B"/>
    <w:rsid w:val="000F7B2B"/>
    <w:rsid w:val="000F7F46"/>
    <w:rsid w:val="0010084D"/>
    <w:rsid w:val="00100D54"/>
    <w:rsid w:val="00100F0B"/>
    <w:rsid w:val="00101DA4"/>
    <w:rsid w:val="00102550"/>
    <w:rsid w:val="0010278E"/>
    <w:rsid w:val="00102A0F"/>
    <w:rsid w:val="00102E3B"/>
    <w:rsid w:val="0010311C"/>
    <w:rsid w:val="00103BF3"/>
    <w:rsid w:val="00103CC5"/>
    <w:rsid w:val="00103D60"/>
    <w:rsid w:val="00103DCE"/>
    <w:rsid w:val="00104BC3"/>
    <w:rsid w:val="001051EB"/>
    <w:rsid w:val="001057E0"/>
    <w:rsid w:val="001058DB"/>
    <w:rsid w:val="001063E6"/>
    <w:rsid w:val="0010657E"/>
    <w:rsid w:val="00106705"/>
    <w:rsid w:val="00106829"/>
    <w:rsid w:val="00106A56"/>
    <w:rsid w:val="00106D27"/>
    <w:rsid w:val="001070DA"/>
    <w:rsid w:val="00107155"/>
    <w:rsid w:val="0010732A"/>
    <w:rsid w:val="001106A0"/>
    <w:rsid w:val="00110824"/>
    <w:rsid w:val="00111667"/>
    <w:rsid w:val="00111A24"/>
    <w:rsid w:val="00111AB3"/>
    <w:rsid w:val="00111D43"/>
    <w:rsid w:val="00112B7F"/>
    <w:rsid w:val="00112D67"/>
    <w:rsid w:val="001133E7"/>
    <w:rsid w:val="00113463"/>
    <w:rsid w:val="00113EF6"/>
    <w:rsid w:val="001141E0"/>
    <w:rsid w:val="0011454C"/>
    <w:rsid w:val="00114AAD"/>
    <w:rsid w:val="0011531F"/>
    <w:rsid w:val="00115A1F"/>
    <w:rsid w:val="00115B53"/>
    <w:rsid w:val="00115E10"/>
    <w:rsid w:val="0011607E"/>
    <w:rsid w:val="001165C1"/>
    <w:rsid w:val="001167F7"/>
    <w:rsid w:val="00116F56"/>
    <w:rsid w:val="001170E5"/>
    <w:rsid w:val="00117CDF"/>
    <w:rsid w:val="001212B7"/>
    <w:rsid w:val="0012163B"/>
    <w:rsid w:val="00121A40"/>
    <w:rsid w:val="0012207C"/>
    <w:rsid w:val="0012213E"/>
    <w:rsid w:val="00122726"/>
    <w:rsid w:val="00122A9B"/>
    <w:rsid w:val="00122F0D"/>
    <w:rsid w:val="00123843"/>
    <w:rsid w:val="0012387A"/>
    <w:rsid w:val="00123CD2"/>
    <w:rsid w:val="00124FF8"/>
    <w:rsid w:val="00125C9F"/>
    <w:rsid w:val="0012706C"/>
    <w:rsid w:val="00127477"/>
    <w:rsid w:val="00127AF7"/>
    <w:rsid w:val="00127D37"/>
    <w:rsid w:val="00130180"/>
    <w:rsid w:val="001305F8"/>
    <w:rsid w:val="00130E27"/>
    <w:rsid w:val="00131116"/>
    <w:rsid w:val="001312CD"/>
    <w:rsid w:val="001315F5"/>
    <w:rsid w:val="001316A5"/>
    <w:rsid w:val="00131DDC"/>
    <w:rsid w:val="001321E7"/>
    <w:rsid w:val="0013269A"/>
    <w:rsid w:val="001327D9"/>
    <w:rsid w:val="00132FB3"/>
    <w:rsid w:val="00133870"/>
    <w:rsid w:val="001340CB"/>
    <w:rsid w:val="0013455C"/>
    <w:rsid w:val="00134AD3"/>
    <w:rsid w:val="001351D7"/>
    <w:rsid w:val="00135A42"/>
    <w:rsid w:val="00136A65"/>
    <w:rsid w:val="00136DF4"/>
    <w:rsid w:val="0013742F"/>
    <w:rsid w:val="0013745A"/>
    <w:rsid w:val="00137686"/>
    <w:rsid w:val="001376F4"/>
    <w:rsid w:val="00137776"/>
    <w:rsid w:val="00137CDC"/>
    <w:rsid w:val="001400AB"/>
    <w:rsid w:val="0014014C"/>
    <w:rsid w:val="00140D1E"/>
    <w:rsid w:val="00140E7F"/>
    <w:rsid w:val="00141831"/>
    <w:rsid w:val="00141F36"/>
    <w:rsid w:val="001424A8"/>
    <w:rsid w:val="00142CE6"/>
    <w:rsid w:val="00142D2A"/>
    <w:rsid w:val="00143147"/>
    <w:rsid w:val="001434A1"/>
    <w:rsid w:val="001434F3"/>
    <w:rsid w:val="001436F6"/>
    <w:rsid w:val="001437FE"/>
    <w:rsid w:val="00144C40"/>
    <w:rsid w:val="00144D18"/>
    <w:rsid w:val="001450D1"/>
    <w:rsid w:val="001454E8"/>
    <w:rsid w:val="00145DBE"/>
    <w:rsid w:val="00146065"/>
    <w:rsid w:val="00146193"/>
    <w:rsid w:val="00146A75"/>
    <w:rsid w:val="0014721C"/>
    <w:rsid w:val="00147223"/>
    <w:rsid w:val="00147CE8"/>
    <w:rsid w:val="00151155"/>
    <w:rsid w:val="00152511"/>
    <w:rsid w:val="00152AE2"/>
    <w:rsid w:val="00152DAD"/>
    <w:rsid w:val="00153437"/>
    <w:rsid w:val="001538DD"/>
    <w:rsid w:val="001548EF"/>
    <w:rsid w:val="0015490D"/>
    <w:rsid w:val="00154D01"/>
    <w:rsid w:val="00155CFF"/>
    <w:rsid w:val="00155FB4"/>
    <w:rsid w:val="0015698F"/>
    <w:rsid w:val="00156B90"/>
    <w:rsid w:val="00156D62"/>
    <w:rsid w:val="00157604"/>
    <w:rsid w:val="00157D04"/>
    <w:rsid w:val="00160CFD"/>
    <w:rsid w:val="00161265"/>
    <w:rsid w:val="0016172D"/>
    <w:rsid w:val="00161F4C"/>
    <w:rsid w:val="00162469"/>
    <w:rsid w:val="00162C82"/>
    <w:rsid w:val="00162F1E"/>
    <w:rsid w:val="00163028"/>
    <w:rsid w:val="001636CB"/>
    <w:rsid w:val="00164F81"/>
    <w:rsid w:val="00165DC2"/>
    <w:rsid w:val="00165E32"/>
    <w:rsid w:val="001661BE"/>
    <w:rsid w:val="0016656F"/>
    <w:rsid w:val="0016683B"/>
    <w:rsid w:val="00166DDA"/>
    <w:rsid w:val="00166E8B"/>
    <w:rsid w:val="001675E3"/>
    <w:rsid w:val="00167A0B"/>
    <w:rsid w:val="00167DAD"/>
    <w:rsid w:val="0017067E"/>
    <w:rsid w:val="001706C1"/>
    <w:rsid w:val="00170D06"/>
    <w:rsid w:val="001719EF"/>
    <w:rsid w:val="00171A01"/>
    <w:rsid w:val="00171B15"/>
    <w:rsid w:val="0017255C"/>
    <w:rsid w:val="001732F1"/>
    <w:rsid w:val="00173612"/>
    <w:rsid w:val="00173786"/>
    <w:rsid w:val="0017386F"/>
    <w:rsid w:val="001746D9"/>
    <w:rsid w:val="001748F2"/>
    <w:rsid w:val="00174C3B"/>
    <w:rsid w:val="00175072"/>
    <w:rsid w:val="001752B9"/>
    <w:rsid w:val="00175390"/>
    <w:rsid w:val="0017593D"/>
    <w:rsid w:val="00175A65"/>
    <w:rsid w:val="00175CFC"/>
    <w:rsid w:val="001761E1"/>
    <w:rsid w:val="001766AD"/>
    <w:rsid w:val="00177400"/>
    <w:rsid w:val="00177831"/>
    <w:rsid w:val="00180234"/>
    <w:rsid w:val="00180FD1"/>
    <w:rsid w:val="001815A6"/>
    <w:rsid w:val="0018182A"/>
    <w:rsid w:val="00182BCF"/>
    <w:rsid w:val="001839E3"/>
    <w:rsid w:val="00183B80"/>
    <w:rsid w:val="00184440"/>
    <w:rsid w:val="001846A5"/>
    <w:rsid w:val="00185764"/>
    <w:rsid w:val="00185D83"/>
    <w:rsid w:val="00186231"/>
    <w:rsid w:val="00186288"/>
    <w:rsid w:val="001863D0"/>
    <w:rsid w:val="0018682C"/>
    <w:rsid w:val="00186B32"/>
    <w:rsid w:val="00186F14"/>
    <w:rsid w:val="00187012"/>
    <w:rsid w:val="0018734B"/>
    <w:rsid w:val="001873FD"/>
    <w:rsid w:val="00187481"/>
    <w:rsid w:val="00187BAA"/>
    <w:rsid w:val="001903D4"/>
    <w:rsid w:val="001918E8"/>
    <w:rsid w:val="00191D33"/>
    <w:rsid w:val="00192CD4"/>
    <w:rsid w:val="00193000"/>
    <w:rsid w:val="0019333A"/>
    <w:rsid w:val="00193460"/>
    <w:rsid w:val="001938D1"/>
    <w:rsid w:val="00193B1C"/>
    <w:rsid w:val="00193F80"/>
    <w:rsid w:val="00194303"/>
    <w:rsid w:val="00194F60"/>
    <w:rsid w:val="00195079"/>
    <w:rsid w:val="0019535A"/>
    <w:rsid w:val="001955BC"/>
    <w:rsid w:val="001955E4"/>
    <w:rsid w:val="0019581A"/>
    <w:rsid w:val="00195A52"/>
    <w:rsid w:val="00195D3E"/>
    <w:rsid w:val="001963BE"/>
    <w:rsid w:val="00196EFE"/>
    <w:rsid w:val="00196FA9"/>
    <w:rsid w:val="00196FF5"/>
    <w:rsid w:val="001A01BE"/>
    <w:rsid w:val="001A1365"/>
    <w:rsid w:val="001A148C"/>
    <w:rsid w:val="001A27DA"/>
    <w:rsid w:val="001A288B"/>
    <w:rsid w:val="001A3249"/>
    <w:rsid w:val="001A3E45"/>
    <w:rsid w:val="001A4AB1"/>
    <w:rsid w:val="001A4C02"/>
    <w:rsid w:val="001A52A5"/>
    <w:rsid w:val="001A5D0D"/>
    <w:rsid w:val="001A5F44"/>
    <w:rsid w:val="001A6683"/>
    <w:rsid w:val="001A6745"/>
    <w:rsid w:val="001A6ABC"/>
    <w:rsid w:val="001A6B21"/>
    <w:rsid w:val="001A7799"/>
    <w:rsid w:val="001A77B6"/>
    <w:rsid w:val="001B0BA8"/>
    <w:rsid w:val="001B0E94"/>
    <w:rsid w:val="001B0FE7"/>
    <w:rsid w:val="001B306A"/>
    <w:rsid w:val="001B3702"/>
    <w:rsid w:val="001B39B0"/>
    <w:rsid w:val="001B425E"/>
    <w:rsid w:val="001B4354"/>
    <w:rsid w:val="001B5612"/>
    <w:rsid w:val="001B5B8C"/>
    <w:rsid w:val="001B6038"/>
    <w:rsid w:val="001B6293"/>
    <w:rsid w:val="001B6462"/>
    <w:rsid w:val="001B65AA"/>
    <w:rsid w:val="001B6786"/>
    <w:rsid w:val="001B6853"/>
    <w:rsid w:val="001B7668"/>
    <w:rsid w:val="001B7EBC"/>
    <w:rsid w:val="001C01F6"/>
    <w:rsid w:val="001C02DC"/>
    <w:rsid w:val="001C0D75"/>
    <w:rsid w:val="001C13DB"/>
    <w:rsid w:val="001C16D9"/>
    <w:rsid w:val="001C1B77"/>
    <w:rsid w:val="001C1BD3"/>
    <w:rsid w:val="001C2FB6"/>
    <w:rsid w:val="001C2FEA"/>
    <w:rsid w:val="001C3261"/>
    <w:rsid w:val="001C328D"/>
    <w:rsid w:val="001C3CD9"/>
    <w:rsid w:val="001C4044"/>
    <w:rsid w:val="001C47EC"/>
    <w:rsid w:val="001C4820"/>
    <w:rsid w:val="001C4C1F"/>
    <w:rsid w:val="001C4F9F"/>
    <w:rsid w:val="001C53FB"/>
    <w:rsid w:val="001C5ADB"/>
    <w:rsid w:val="001C5AEA"/>
    <w:rsid w:val="001C61EC"/>
    <w:rsid w:val="001C62D5"/>
    <w:rsid w:val="001C69FC"/>
    <w:rsid w:val="001C769C"/>
    <w:rsid w:val="001C7FE7"/>
    <w:rsid w:val="001D0A90"/>
    <w:rsid w:val="001D0B26"/>
    <w:rsid w:val="001D0EEB"/>
    <w:rsid w:val="001D18A8"/>
    <w:rsid w:val="001D1CF6"/>
    <w:rsid w:val="001D2220"/>
    <w:rsid w:val="001D261C"/>
    <w:rsid w:val="001D2778"/>
    <w:rsid w:val="001D28CE"/>
    <w:rsid w:val="001D29B2"/>
    <w:rsid w:val="001D2AF7"/>
    <w:rsid w:val="001D2DF2"/>
    <w:rsid w:val="001D2EC6"/>
    <w:rsid w:val="001D31FA"/>
    <w:rsid w:val="001D3811"/>
    <w:rsid w:val="001D3AF4"/>
    <w:rsid w:val="001D3E04"/>
    <w:rsid w:val="001D4417"/>
    <w:rsid w:val="001D4A29"/>
    <w:rsid w:val="001D4DCB"/>
    <w:rsid w:val="001D54A5"/>
    <w:rsid w:val="001D62B7"/>
    <w:rsid w:val="001D7016"/>
    <w:rsid w:val="001D7086"/>
    <w:rsid w:val="001D7298"/>
    <w:rsid w:val="001D738D"/>
    <w:rsid w:val="001D78DA"/>
    <w:rsid w:val="001D78E1"/>
    <w:rsid w:val="001E000B"/>
    <w:rsid w:val="001E030B"/>
    <w:rsid w:val="001E0A32"/>
    <w:rsid w:val="001E0BFA"/>
    <w:rsid w:val="001E0CAF"/>
    <w:rsid w:val="001E156D"/>
    <w:rsid w:val="001E19D6"/>
    <w:rsid w:val="001E1AE1"/>
    <w:rsid w:val="001E1E24"/>
    <w:rsid w:val="001E2D74"/>
    <w:rsid w:val="001E30DC"/>
    <w:rsid w:val="001E358D"/>
    <w:rsid w:val="001E4C66"/>
    <w:rsid w:val="001E4D2D"/>
    <w:rsid w:val="001E4D60"/>
    <w:rsid w:val="001E5051"/>
    <w:rsid w:val="001E6072"/>
    <w:rsid w:val="001E6493"/>
    <w:rsid w:val="001E67B7"/>
    <w:rsid w:val="001E6A96"/>
    <w:rsid w:val="001E6B16"/>
    <w:rsid w:val="001E706A"/>
    <w:rsid w:val="001E77E6"/>
    <w:rsid w:val="001E7DCC"/>
    <w:rsid w:val="001F0603"/>
    <w:rsid w:val="001F0A21"/>
    <w:rsid w:val="001F0B1F"/>
    <w:rsid w:val="001F0B5B"/>
    <w:rsid w:val="001F0C7D"/>
    <w:rsid w:val="001F1198"/>
    <w:rsid w:val="001F1C0B"/>
    <w:rsid w:val="001F1F92"/>
    <w:rsid w:val="001F2084"/>
    <w:rsid w:val="001F2BE5"/>
    <w:rsid w:val="001F2C23"/>
    <w:rsid w:val="001F32A0"/>
    <w:rsid w:val="001F3380"/>
    <w:rsid w:val="001F4B50"/>
    <w:rsid w:val="001F4D23"/>
    <w:rsid w:val="001F5435"/>
    <w:rsid w:val="001F55B7"/>
    <w:rsid w:val="001F5778"/>
    <w:rsid w:val="001F59F2"/>
    <w:rsid w:val="001F609F"/>
    <w:rsid w:val="001F62E5"/>
    <w:rsid w:val="001F6386"/>
    <w:rsid w:val="001F7736"/>
    <w:rsid w:val="001F7AFE"/>
    <w:rsid w:val="001F7FC2"/>
    <w:rsid w:val="00200982"/>
    <w:rsid w:val="00200FE8"/>
    <w:rsid w:val="0020207E"/>
    <w:rsid w:val="00202145"/>
    <w:rsid w:val="00202698"/>
    <w:rsid w:val="00202793"/>
    <w:rsid w:val="00202A80"/>
    <w:rsid w:val="00203662"/>
    <w:rsid w:val="00203E5C"/>
    <w:rsid w:val="00204103"/>
    <w:rsid w:val="002041E5"/>
    <w:rsid w:val="00204C84"/>
    <w:rsid w:val="0020533D"/>
    <w:rsid w:val="00205596"/>
    <w:rsid w:val="00205963"/>
    <w:rsid w:val="00206017"/>
    <w:rsid w:val="00206701"/>
    <w:rsid w:val="002076D4"/>
    <w:rsid w:val="00207DE0"/>
    <w:rsid w:val="002103AD"/>
    <w:rsid w:val="002106DC"/>
    <w:rsid w:val="00210F65"/>
    <w:rsid w:val="00210FDC"/>
    <w:rsid w:val="00211479"/>
    <w:rsid w:val="0021248F"/>
    <w:rsid w:val="00212528"/>
    <w:rsid w:val="00212876"/>
    <w:rsid w:val="0021293C"/>
    <w:rsid w:val="002131FF"/>
    <w:rsid w:val="0021392A"/>
    <w:rsid w:val="00213A0F"/>
    <w:rsid w:val="00214176"/>
    <w:rsid w:val="002148D7"/>
    <w:rsid w:val="002148EB"/>
    <w:rsid w:val="002149F7"/>
    <w:rsid w:val="00214C01"/>
    <w:rsid w:val="00214C67"/>
    <w:rsid w:val="002156C5"/>
    <w:rsid w:val="0021586F"/>
    <w:rsid w:val="00216351"/>
    <w:rsid w:val="00216DBA"/>
    <w:rsid w:val="002170C6"/>
    <w:rsid w:val="002179AE"/>
    <w:rsid w:val="00217C24"/>
    <w:rsid w:val="00217C91"/>
    <w:rsid w:val="00217FD4"/>
    <w:rsid w:val="002200DA"/>
    <w:rsid w:val="0022075E"/>
    <w:rsid w:val="00220EE5"/>
    <w:rsid w:val="0022141F"/>
    <w:rsid w:val="00221AD1"/>
    <w:rsid w:val="00221D89"/>
    <w:rsid w:val="00222817"/>
    <w:rsid w:val="00222BFD"/>
    <w:rsid w:val="0022389D"/>
    <w:rsid w:val="00223D1A"/>
    <w:rsid w:val="00225BD2"/>
    <w:rsid w:val="00225C6F"/>
    <w:rsid w:val="00225CC5"/>
    <w:rsid w:val="00225F1E"/>
    <w:rsid w:val="002266E5"/>
    <w:rsid w:val="00226EB3"/>
    <w:rsid w:val="002271E3"/>
    <w:rsid w:val="00230077"/>
    <w:rsid w:val="0023062C"/>
    <w:rsid w:val="00231647"/>
    <w:rsid w:val="00231842"/>
    <w:rsid w:val="00231C8B"/>
    <w:rsid w:val="00231C9B"/>
    <w:rsid w:val="002320A8"/>
    <w:rsid w:val="002321F9"/>
    <w:rsid w:val="002327A3"/>
    <w:rsid w:val="00232F5A"/>
    <w:rsid w:val="002338F3"/>
    <w:rsid w:val="00234A76"/>
    <w:rsid w:val="0023525F"/>
    <w:rsid w:val="002352AF"/>
    <w:rsid w:val="00235C13"/>
    <w:rsid w:val="00235CA0"/>
    <w:rsid w:val="00235CFC"/>
    <w:rsid w:val="00235D4B"/>
    <w:rsid w:val="002366B9"/>
    <w:rsid w:val="002366D2"/>
    <w:rsid w:val="00236F72"/>
    <w:rsid w:val="00237198"/>
    <w:rsid w:val="002379E4"/>
    <w:rsid w:val="00237BD7"/>
    <w:rsid w:val="002406B4"/>
    <w:rsid w:val="00241005"/>
    <w:rsid w:val="00241B2C"/>
    <w:rsid w:val="00242064"/>
    <w:rsid w:val="002421A2"/>
    <w:rsid w:val="00242309"/>
    <w:rsid w:val="00242495"/>
    <w:rsid w:val="00242BF6"/>
    <w:rsid w:val="00242D8D"/>
    <w:rsid w:val="00242E3B"/>
    <w:rsid w:val="002435E1"/>
    <w:rsid w:val="002435FE"/>
    <w:rsid w:val="0024382C"/>
    <w:rsid w:val="00244645"/>
    <w:rsid w:val="00244980"/>
    <w:rsid w:val="00244B5B"/>
    <w:rsid w:val="002452B5"/>
    <w:rsid w:val="002460A6"/>
    <w:rsid w:val="00246CE6"/>
    <w:rsid w:val="00246F65"/>
    <w:rsid w:val="00247437"/>
    <w:rsid w:val="00247466"/>
    <w:rsid w:val="0024752B"/>
    <w:rsid w:val="002501F5"/>
    <w:rsid w:val="00250358"/>
    <w:rsid w:val="002511F9"/>
    <w:rsid w:val="00251946"/>
    <w:rsid w:val="00251F90"/>
    <w:rsid w:val="00252067"/>
    <w:rsid w:val="002522A6"/>
    <w:rsid w:val="00252349"/>
    <w:rsid w:val="0025256A"/>
    <w:rsid w:val="002527C0"/>
    <w:rsid w:val="00252E29"/>
    <w:rsid w:val="00253333"/>
    <w:rsid w:val="00253440"/>
    <w:rsid w:val="00253731"/>
    <w:rsid w:val="00253968"/>
    <w:rsid w:val="00253C44"/>
    <w:rsid w:val="00254449"/>
    <w:rsid w:val="002546D2"/>
    <w:rsid w:val="002547A8"/>
    <w:rsid w:val="002550FE"/>
    <w:rsid w:val="0025594C"/>
    <w:rsid w:val="00255C4F"/>
    <w:rsid w:val="00256045"/>
    <w:rsid w:val="002563DB"/>
    <w:rsid w:val="00256565"/>
    <w:rsid w:val="00256890"/>
    <w:rsid w:val="00256DB3"/>
    <w:rsid w:val="00257074"/>
    <w:rsid w:val="002570C2"/>
    <w:rsid w:val="002573D1"/>
    <w:rsid w:val="00257480"/>
    <w:rsid w:val="0025756E"/>
    <w:rsid w:val="00257874"/>
    <w:rsid w:val="00257D76"/>
    <w:rsid w:val="00260126"/>
    <w:rsid w:val="00260F89"/>
    <w:rsid w:val="002615E3"/>
    <w:rsid w:val="002617ED"/>
    <w:rsid w:val="002623D4"/>
    <w:rsid w:val="00263881"/>
    <w:rsid w:val="00263CD8"/>
    <w:rsid w:val="00264041"/>
    <w:rsid w:val="0026451E"/>
    <w:rsid w:val="002645F8"/>
    <w:rsid w:val="0026460B"/>
    <w:rsid w:val="0026528B"/>
    <w:rsid w:val="00265449"/>
    <w:rsid w:val="00265C41"/>
    <w:rsid w:val="00265DB4"/>
    <w:rsid w:val="0026658C"/>
    <w:rsid w:val="002666FD"/>
    <w:rsid w:val="00266881"/>
    <w:rsid w:val="0026707F"/>
    <w:rsid w:val="00267AD5"/>
    <w:rsid w:val="00267E68"/>
    <w:rsid w:val="00270E96"/>
    <w:rsid w:val="00271166"/>
    <w:rsid w:val="00271609"/>
    <w:rsid w:val="00271963"/>
    <w:rsid w:val="002725AB"/>
    <w:rsid w:val="00272882"/>
    <w:rsid w:val="0027297E"/>
    <w:rsid w:val="00272A6D"/>
    <w:rsid w:val="00272DBE"/>
    <w:rsid w:val="0027311E"/>
    <w:rsid w:val="002734F6"/>
    <w:rsid w:val="00273EC4"/>
    <w:rsid w:val="002743E1"/>
    <w:rsid w:val="00274CC7"/>
    <w:rsid w:val="00275047"/>
    <w:rsid w:val="00275118"/>
    <w:rsid w:val="0027538E"/>
    <w:rsid w:val="00275DF5"/>
    <w:rsid w:val="00276200"/>
    <w:rsid w:val="002768D8"/>
    <w:rsid w:val="0027779F"/>
    <w:rsid w:val="002777C4"/>
    <w:rsid w:val="00277FB2"/>
    <w:rsid w:val="0028073E"/>
    <w:rsid w:val="002807F9"/>
    <w:rsid w:val="00280B04"/>
    <w:rsid w:val="00280CB4"/>
    <w:rsid w:val="00281393"/>
    <w:rsid w:val="0028162B"/>
    <w:rsid w:val="00281A3F"/>
    <w:rsid w:val="00281BFB"/>
    <w:rsid w:val="00282125"/>
    <w:rsid w:val="0028296D"/>
    <w:rsid w:val="00283B3C"/>
    <w:rsid w:val="00283E16"/>
    <w:rsid w:val="00284B00"/>
    <w:rsid w:val="002850BC"/>
    <w:rsid w:val="0028556D"/>
    <w:rsid w:val="00286373"/>
    <w:rsid w:val="0028639B"/>
    <w:rsid w:val="00287100"/>
    <w:rsid w:val="00287283"/>
    <w:rsid w:val="00287329"/>
    <w:rsid w:val="00287F7F"/>
    <w:rsid w:val="00290075"/>
    <w:rsid w:val="00290584"/>
    <w:rsid w:val="00290B4E"/>
    <w:rsid w:val="00290DA9"/>
    <w:rsid w:val="002915BF"/>
    <w:rsid w:val="00292A9D"/>
    <w:rsid w:val="00292BE5"/>
    <w:rsid w:val="00292D53"/>
    <w:rsid w:val="00293127"/>
    <w:rsid w:val="00293740"/>
    <w:rsid w:val="002938A1"/>
    <w:rsid w:val="00293AEC"/>
    <w:rsid w:val="00294373"/>
    <w:rsid w:val="00294399"/>
    <w:rsid w:val="002944E4"/>
    <w:rsid w:val="00294851"/>
    <w:rsid w:val="00294B2C"/>
    <w:rsid w:val="00294D1C"/>
    <w:rsid w:val="00294F15"/>
    <w:rsid w:val="00295064"/>
    <w:rsid w:val="00295777"/>
    <w:rsid w:val="00295798"/>
    <w:rsid w:val="002957AC"/>
    <w:rsid w:val="0029667C"/>
    <w:rsid w:val="00296B24"/>
    <w:rsid w:val="00296BC8"/>
    <w:rsid w:val="00297230"/>
    <w:rsid w:val="002A0072"/>
    <w:rsid w:val="002A0757"/>
    <w:rsid w:val="002A0E79"/>
    <w:rsid w:val="002A1487"/>
    <w:rsid w:val="002A1863"/>
    <w:rsid w:val="002A1AFA"/>
    <w:rsid w:val="002A1C75"/>
    <w:rsid w:val="002A1E34"/>
    <w:rsid w:val="002A27FD"/>
    <w:rsid w:val="002A2E12"/>
    <w:rsid w:val="002A3402"/>
    <w:rsid w:val="002A3633"/>
    <w:rsid w:val="002A3A80"/>
    <w:rsid w:val="002A3E60"/>
    <w:rsid w:val="002A40F1"/>
    <w:rsid w:val="002A476D"/>
    <w:rsid w:val="002A4AA9"/>
    <w:rsid w:val="002A4C7A"/>
    <w:rsid w:val="002A4E89"/>
    <w:rsid w:val="002A50EF"/>
    <w:rsid w:val="002A51AC"/>
    <w:rsid w:val="002A55F3"/>
    <w:rsid w:val="002A568E"/>
    <w:rsid w:val="002A56AA"/>
    <w:rsid w:val="002A59A2"/>
    <w:rsid w:val="002A6767"/>
    <w:rsid w:val="002A6F81"/>
    <w:rsid w:val="002A71F8"/>
    <w:rsid w:val="002B043D"/>
    <w:rsid w:val="002B0746"/>
    <w:rsid w:val="002B075E"/>
    <w:rsid w:val="002B0CE4"/>
    <w:rsid w:val="002B129B"/>
    <w:rsid w:val="002B1A00"/>
    <w:rsid w:val="002B224C"/>
    <w:rsid w:val="002B2762"/>
    <w:rsid w:val="002B2898"/>
    <w:rsid w:val="002B28A4"/>
    <w:rsid w:val="002B28D0"/>
    <w:rsid w:val="002B2FA7"/>
    <w:rsid w:val="002B3133"/>
    <w:rsid w:val="002B3240"/>
    <w:rsid w:val="002B39CA"/>
    <w:rsid w:val="002B3C89"/>
    <w:rsid w:val="002B61C7"/>
    <w:rsid w:val="002B6D35"/>
    <w:rsid w:val="002B7089"/>
    <w:rsid w:val="002B798F"/>
    <w:rsid w:val="002C0021"/>
    <w:rsid w:val="002C1077"/>
    <w:rsid w:val="002C14CE"/>
    <w:rsid w:val="002C16D8"/>
    <w:rsid w:val="002C2240"/>
    <w:rsid w:val="002C2746"/>
    <w:rsid w:val="002C28A0"/>
    <w:rsid w:val="002C2963"/>
    <w:rsid w:val="002C30B3"/>
    <w:rsid w:val="002C39C1"/>
    <w:rsid w:val="002C3BA8"/>
    <w:rsid w:val="002C3FFF"/>
    <w:rsid w:val="002C41B8"/>
    <w:rsid w:val="002C41D7"/>
    <w:rsid w:val="002C457D"/>
    <w:rsid w:val="002C4972"/>
    <w:rsid w:val="002C4EF0"/>
    <w:rsid w:val="002C58A7"/>
    <w:rsid w:val="002C64F4"/>
    <w:rsid w:val="002C65C9"/>
    <w:rsid w:val="002C7BD7"/>
    <w:rsid w:val="002D07B8"/>
    <w:rsid w:val="002D1147"/>
    <w:rsid w:val="002D19FF"/>
    <w:rsid w:val="002D1BCD"/>
    <w:rsid w:val="002D1C13"/>
    <w:rsid w:val="002D1F18"/>
    <w:rsid w:val="002D2165"/>
    <w:rsid w:val="002D2982"/>
    <w:rsid w:val="002D39EA"/>
    <w:rsid w:val="002D3E1F"/>
    <w:rsid w:val="002D49B4"/>
    <w:rsid w:val="002D4A2A"/>
    <w:rsid w:val="002D5FF2"/>
    <w:rsid w:val="002D639F"/>
    <w:rsid w:val="002D68E6"/>
    <w:rsid w:val="002D6A19"/>
    <w:rsid w:val="002D6E5E"/>
    <w:rsid w:val="002D74FA"/>
    <w:rsid w:val="002D76BA"/>
    <w:rsid w:val="002E049B"/>
    <w:rsid w:val="002E05D0"/>
    <w:rsid w:val="002E0661"/>
    <w:rsid w:val="002E1B25"/>
    <w:rsid w:val="002E25B7"/>
    <w:rsid w:val="002E2A75"/>
    <w:rsid w:val="002E2B5F"/>
    <w:rsid w:val="002E2C5E"/>
    <w:rsid w:val="002E3BA2"/>
    <w:rsid w:val="002E5061"/>
    <w:rsid w:val="002E5386"/>
    <w:rsid w:val="002E6044"/>
    <w:rsid w:val="002E6FB2"/>
    <w:rsid w:val="002E76AE"/>
    <w:rsid w:val="002E76F7"/>
    <w:rsid w:val="002E7A02"/>
    <w:rsid w:val="002E7CE6"/>
    <w:rsid w:val="002E7D02"/>
    <w:rsid w:val="002F08A3"/>
    <w:rsid w:val="002F0F08"/>
    <w:rsid w:val="002F10F4"/>
    <w:rsid w:val="002F1385"/>
    <w:rsid w:val="002F1432"/>
    <w:rsid w:val="002F200D"/>
    <w:rsid w:val="002F2029"/>
    <w:rsid w:val="002F38BB"/>
    <w:rsid w:val="002F3E48"/>
    <w:rsid w:val="002F408D"/>
    <w:rsid w:val="002F4105"/>
    <w:rsid w:val="002F445B"/>
    <w:rsid w:val="002F4870"/>
    <w:rsid w:val="002F48C4"/>
    <w:rsid w:val="002F4B09"/>
    <w:rsid w:val="002F531B"/>
    <w:rsid w:val="002F5433"/>
    <w:rsid w:val="002F5437"/>
    <w:rsid w:val="002F6867"/>
    <w:rsid w:val="002F6B9B"/>
    <w:rsid w:val="002F6E33"/>
    <w:rsid w:val="002F76FB"/>
    <w:rsid w:val="002F78EB"/>
    <w:rsid w:val="002F7F14"/>
    <w:rsid w:val="00300839"/>
    <w:rsid w:val="00300BD6"/>
    <w:rsid w:val="00300E6D"/>
    <w:rsid w:val="003012E3"/>
    <w:rsid w:val="0030171F"/>
    <w:rsid w:val="0030173C"/>
    <w:rsid w:val="00301DF2"/>
    <w:rsid w:val="00302A33"/>
    <w:rsid w:val="003030CD"/>
    <w:rsid w:val="00303173"/>
    <w:rsid w:val="003037F1"/>
    <w:rsid w:val="0030414E"/>
    <w:rsid w:val="003044C4"/>
    <w:rsid w:val="00304719"/>
    <w:rsid w:val="00304C86"/>
    <w:rsid w:val="00304E26"/>
    <w:rsid w:val="00304FA3"/>
    <w:rsid w:val="00304FF3"/>
    <w:rsid w:val="003052A3"/>
    <w:rsid w:val="003056F1"/>
    <w:rsid w:val="003057C7"/>
    <w:rsid w:val="00305F78"/>
    <w:rsid w:val="003060D4"/>
    <w:rsid w:val="003063FB"/>
    <w:rsid w:val="003064FE"/>
    <w:rsid w:val="00306F74"/>
    <w:rsid w:val="00307382"/>
    <w:rsid w:val="003078B4"/>
    <w:rsid w:val="00310178"/>
    <w:rsid w:val="00310314"/>
    <w:rsid w:val="00310F0C"/>
    <w:rsid w:val="0031243E"/>
    <w:rsid w:val="00312700"/>
    <w:rsid w:val="003130E2"/>
    <w:rsid w:val="00313531"/>
    <w:rsid w:val="003135DA"/>
    <w:rsid w:val="00313A6A"/>
    <w:rsid w:val="00314477"/>
    <w:rsid w:val="00314A09"/>
    <w:rsid w:val="00314A5E"/>
    <w:rsid w:val="00314E3F"/>
    <w:rsid w:val="00315145"/>
    <w:rsid w:val="00316813"/>
    <w:rsid w:val="00316D98"/>
    <w:rsid w:val="0031710F"/>
    <w:rsid w:val="00317D9A"/>
    <w:rsid w:val="003206D7"/>
    <w:rsid w:val="003206E9"/>
    <w:rsid w:val="003208B3"/>
    <w:rsid w:val="003219FC"/>
    <w:rsid w:val="00321F4F"/>
    <w:rsid w:val="003232DF"/>
    <w:rsid w:val="003235F7"/>
    <w:rsid w:val="003236C8"/>
    <w:rsid w:val="00323A9B"/>
    <w:rsid w:val="00323C35"/>
    <w:rsid w:val="00323C3C"/>
    <w:rsid w:val="00323DEB"/>
    <w:rsid w:val="003250D0"/>
    <w:rsid w:val="0032581B"/>
    <w:rsid w:val="00325E2A"/>
    <w:rsid w:val="00326BDD"/>
    <w:rsid w:val="00327861"/>
    <w:rsid w:val="00327AA5"/>
    <w:rsid w:val="00327D45"/>
    <w:rsid w:val="00332B13"/>
    <w:rsid w:val="00332EDD"/>
    <w:rsid w:val="00333057"/>
    <w:rsid w:val="00333599"/>
    <w:rsid w:val="00333709"/>
    <w:rsid w:val="003339E1"/>
    <w:rsid w:val="00333C9E"/>
    <w:rsid w:val="00333E3C"/>
    <w:rsid w:val="003340C7"/>
    <w:rsid w:val="00334A59"/>
    <w:rsid w:val="00334BAF"/>
    <w:rsid w:val="00334CC8"/>
    <w:rsid w:val="003350D4"/>
    <w:rsid w:val="003352CD"/>
    <w:rsid w:val="003358BE"/>
    <w:rsid w:val="00335970"/>
    <w:rsid w:val="00336307"/>
    <w:rsid w:val="00336AA7"/>
    <w:rsid w:val="00336BEE"/>
    <w:rsid w:val="00336F90"/>
    <w:rsid w:val="003375D5"/>
    <w:rsid w:val="00337CFF"/>
    <w:rsid w:val="0034043C"/>
    <w:rsid w:val="003409D3"/>
    <w:rsid w:val="0034112B"/>
    <w:rsid w:val="0034167F"/>
    <w:rsid w:val="00342CF5"/>
    <w:rsid w:val="00343917"/>
    <w:rsid w:val="00343B10"/>
    <w:rsid w:val="003442D1"/>
    <w:rsid w:val="0034431E"/>
    <w:rsid w:val="00344692"/>
    <w:rsid w:val="003448C2"/>
    <w:rsid w:val="0034498F"/>
    <w:rsid w:val="00344ADE"/>
    <w:rsid w:val="00344AED"/>
    <w:rsid w:val="00344E6F"/>
    <w:rsid w:val="00344EF5"/>
    <w:rsid w:val="00345AB0"/>
    <w:rsid w:val="00345B51"/>
    <w:rsid w:val="00345D17"/>
    <w:rsid w:val="00345D8E"/>
    <w:rsid w:val="00345E0B"/>
    <w:rsid w:val="00346049"/>
    <w:rsid w:val="0034662D"/>
    <w:rsid w:val="00346C01"/>
    <w:rsid w:val="00346D74"/>
    <w:rsid w:val="00346E22"/>
    <w:rsid w:val="00347D75"/>
    <w:rsid w:val="003501B8"/>
    <w:rsid w:val="00350257"/>
    <w:rsid w:val="003502DE"/>
    <w:rsid w:val="0035041D"/>
    <w:rsid w:val="003505E0"/>
    <w:rsid w:val="003506DB"/>
    <w:rsid w:val="003509AA"/>
    <w:rsid w:val="00350E76"/>
    <w:rsid w:val="003518B2"/>
    <w:rsid w:val="00351978"/>
    <w:rsid w:val="00351F9C"/>
    <w:rsid w:val="0035233C"/>
    <w:rsid w:val="003523C8"/>
    <w:rsid w:val="003527CA"/>
    <w:rsid w:val="00352D33"/>
    <w:rsid w:val="00353111"/>
    <w:rsid w:val="00353403"/>
    <w:rsid w:val="00353673"/>
    <w:rsid w:val="00353B1F"/>
    <w:rsid w:val="00354020"/>
    <w:rsid w:val="00354337"/>
    <w:rsid w:val="00354964"/>
    <w:rsid w:val="003549BE"/>
    <w:rsid w:val="00354A9C"/>
    <w:rsid w:val="00355699"/>
    <w:rsid w:val="0035594E"/>
    <w:rsid w:val="00355BD3"/>
    <w:rsid w:val="003567CC"/>
    <w:rsid w:val="0035692F"/>
    <w:rsid w:val="00356F4F"/>
    <w:rsid w:val="00356FB7"/>
    <w:rsid w:val="00357249"/>
    <w:rsid w:val="00357D85"/>
    <w:rsid w:val="00357E35"/>
    <w:rsid w:val="00357E8E"/>
    <w:rsid w:val="00360017"/>
    <w:rsid w:val="003605BB"/>
    <w:rsid w:val="003612EA"/>
    <w:rsid w:val="00361ADA"/>
    <w:rsid w:val="00362336"/>
    <w:rsid w:val="00362366"/>
    <w:rsid w:val="00362573"/>
    <w:rsid w:val="003625F0"/>
    <w:rsid w:val="00362822"/>
    <w:rsid w:val="00362CD7"/>
    <w:rsid w:val="00362F0D"/>
    <w:rsid w:val="00363476"/>
    <w:rsid w:val="00363819"/>
    <w:rsid w:val="00363889"/>
    <w:rsid w:val="00363D1A"/>
    <w:rsid w:val="00363F93"/>
    <w:rsid w:val="00363FAE"/>
    <w:rsid w:val="003640BD"/>
    <w:rsid w:val="003642DA"/>
    <w:rsid w:val="00364A60"/>
    <w:rsid w:val="00365043"/>
    <w:rsid w:val="00365BB9"/>
    <w:rsid w:val="00365E6C"/>
    <w:rsid w:val="00365F4C"/>
    <w:rsid w:val="00366FAB"/>
    <w:rsid w:val="00367718"/>
    <w:rsid w:val="00367CA9"/>
    <w:rsid w:val="00370059"/>
    <w:rsid w:val="00371BBB"/>
    <w:rsid w:val="003721EE"/>
    <w:rsid w:val="003724AB"/>
    <w:rsid w:val="00372B97"/>
    <w:rsid w:val="00372EB5"/>
    <w:rsid w:val="003734DD"/>
    <w:rsid w:val="00373549"/>
    <w:rsid w:val="003735FA"/>
    <w:rsid w:val="003743E1"/>
    <w:rsid w:val="0037455F"/>
    <w:rsid w:val="003748B2"/>
    <w:rsid w:val="00374BEE"/>
    <w:rsid w:val="00374F9F"/>
    <w:rsid w:val="00375221"/>
    <w:rsid w:val="00375972"/>
    <w:rsid w:val="00375AA4"/>
    <w:rsid w:val="00375F5C"/>
    <w:rsid w:val="00376408"/>
    <w:rsid w:val="00376C8C"/>
    <w:rsid w:val="00376E21"/>
    <w:rsid w:val="00377159"/>
    <w:rsid w:val="00377486"/>
    <w:rsid w:val="00377FDA"/>
    <w:rsid w:val="003801E3"/>
    <w:rsid w:val="00380AF3"/>
    <w:rsid w:val="00381CCD"/>
    <w:rsid w:val="00382802"/>
    <w:rsid w:val="00382BC5"/>
    <w:rsid w:val="00383823"/>
    <w:rsid w:val="00383D27"/>
    <w:rsid w:val="0038405A"/>
    <w:rsid w:val="003844FB"/>
    <w:rsid w:val="00385384"/>
    <w:rsid w:val="00386004"/>
    <w:rsid w:val="003863B7"/>
    <w:rsid w:val="003865D6"/>
    <w:rsid w:val="0038661F"/>
    <w:rsid w:val="003875DE"/>
    <w:rsid w:val="00387A91"/>
    <w:rsid w:val="0039033F"/>
    <w:rsid w:val="00390405"/>
    <w:rsid w:val="00390AC8"/>
    <w:rsid w:val="00390DCE"/>
    <w:rsid w:val="003912BF"/>
    <w:rsid w:val="00391882"/>
    <w:rsid w:val="00391CC6"/>
    <w:rsid w:val="00392497"/>
    <w:rsid w:val="00392A22"/>
    <w:rsid w:val="00392DF6"/>
    <w:rsid w:val="003939CE"/>
    <w:rsid w:val="003948C1"/>
    <w:rsid w:val="00395249"/>
    <w:rsid w:val="00395367"/>
    <w:rsid w:val="00395DE5"/>
    <w:rsid w:val="00397022"/>
    <w:rsid w:val="00397090"/>
    <w:rsid w:val="00397201"/>
    <w:rsid w:val="003973ED"/>
    <w:rsid w:val="00397AE8"/>
    <w:rsid w:val="00397B74"/>
    <w:rsid w:val="00397D74"/>
    <w:rsid w:val="00397EF5"/>
    <w:rsid w:val="003A00DD"/>
    <w:rsid w:val="003A0819"/>
    <w:rsid w:val="003A0AD8"/>
    <w:rsid w:val="003A1178"/>
    <w:rsid w:val="003A169D"/>
    <w:rsid w:val="003A16F4"/>
    <w:rsid w:val="003A1746"/>
    <w:rsid w:val="003A17AF"/>
    <w:rsid w:val="003A18C5"/>
    <w:rsid w:val="003A1C62"/>
    <w:rsid w:val="003A1E6A"/>
    <w:rsid w:val="003A1F4F"/>
    <w:rsid w:val="003A2572"/>
    <w:rsid w:val="003A26BF"/>
    <w:rsid w:val="003A30B0"/>
    <w:rsid w:val="003A334B"/>
    <w:rsid w:val="003A3574"/>
    <w:rsid w:val="003A3849"/>
    <w:rsid w:val="003A3B79"/>
    <w:rsid w:val="003A3C85"/>
    <w:rsid w:val="003A4041"/>
    <w:rsid w:val="003A4519"/>
    <w:rsid w:val="003A4B32"/>
    <w:rsid w:val="003A4CF5"/>
    <w:rsid w:val="003A5422"/>
    <w:rsid w:val="003A5A44"/>
    <w:rsid w:val="003A5B89"/>
    <w:rsid w:val="003A5F68"/>
    <w:rsid w:val="003A6799"/>
    <w:rsid w:val="003A6BBB"/>
    <w:rsid w:val="003A6C6F"/>
    <w:rsid w:val="003B07F3"/>
    <w:rsid w:val="003B1311"/>
    <w:rsid w:val="003B15CA"/>
    <w:rsid w:val="003B16A6"/>
    <w:rsid w:val="003B185F"/>
    <w:rsid w:val="003B20B7"/>
    <w:rsid w:val="003B2269"/>
    <w:rsid w:val="003B2514"/>
    <w:rsid w:val="003B3013"/>
    <w:rsid w:val="003B3463"/>
    <w:rsid w:val="003B35EE"/>
    <w:rsid w:val="003B3898"/>
    <w:rsid w:val="003B417A"/>
    <w:rsid w:val="003B4234"/>
    <w:rsid w:val="003B5C9A"/>
    <w:rsid w:val="003B6E96"/>
    <w:rsid w:val="003B732F"/>
    <w:rsid w:val="003C081E"/>
    <w:rsid w:val="003C0FD9"/>
    <w:rsid w:val="003C127D"/>
    <w:rsid w:val="003C127F"/>
    <w:rsid w:val="003C1814"/>
    <w:rsid w:val="003C19C5"/>
    <w:rsid w:val="003C19E3"/>
    <w:rsid w:val="003C216C"/>
    <w:rsid w:val="003C23B2"/>
    <w:rsid w:val="003C4282"/>
    <w:rsid w:val="003C42C5"/>
    <w:rsid w:val="003C4485"/>
    <w:rsid w:val="003C4BA5"/>
    <w:rsid w:val="003C4C14"/>
    <w:rsid w:val="003C4C42"/>
    <w:rsid w:val="003C5F41"/>
    <w:rsid w:val="003C6753"/>
    <w:rsid w:val="003C68D7"/>
    <w:rsid w:val="003C6C05"/>
    <w:rsid w:val="003C6C6F"/>
    <w:rsid w:val="003C6D61"/>
    <w:rsid w:val="003C6E82"/>
    <w:rsid w:val="003C7EAD"/>
    <w:rsid w:val="003D05CB"/>
    <w:rsid w:val="003D09B0"/>
    <w:rsid w:val="003D1908"/>
    <w:rsid w:val="003D1A30"/>
    <w:rsid w:val="003D1A7E"/>
    <w:rsid w:val="003D1B89"/>
    <w:rsid w:val="003D2CB3"/>
    <w:rsid w:val="003D337A"/>
    <w:rsid w:val="003D3E58"/>
    <w:rsid w:val="003D3FC4"/>
    <w:rsid w:val="003D4080"/>
    <w:rsid w:val="003D4534"/>
    <w:rsid w:val="003D48F8"/>
    <w:rsid w:val="003D4D05"/>
    <w:rsid w:val="003D5D6A"/>
    <w:rsid w:val="003D5DD9"/>
    <w:rsid w:val="003D6BD5"/>
    <w:rsid w:val="003D7768"/>
    <w:rsid w:val="003D7E95"/>
    <w:rsid w:val="003E05CB"/>
    <w:rsid w:val="003E06F0"/>
    <w:rsid w:val="003E0B5B"/>
    <w:rsid w:val="003E0C9E"/>
    <w:rsid w:val="003E0D96"/>
    <w:rsid w:val="003E103F"/>
    <w:rsid w:val="003E18CD"/>
    <w:rsid w:val="003E2E5C"/>
    <w:rsid w:val="003E3574"/>
    <w:rsid w:val="003E41C9"/>
    <w:rsid w:val="003E48B8"/>
    <w:rsid w:val="003E4F24"/>
    <w:rsid w:val="003E4FA3"/>
    <w:rsid w:val="003E57D1"/>
    <w:rsid w:val="003E585F"/>
    <w:rsid w:val="003E5B38"/>
    <w:rsid w:val="003E5F22"/>
    <w:rsid w:val="003E5FE7"/>
    <w:rsid w:val="003E65B7"/>
    <w:rsid w:val="003E68E1"/>
    <w:rsid w:val="003E6B2A"/>
    <w:rsid w:val="003E6C7D"/>
    <w:rsid w:val="003E6CB4"/>
    <w:rsid w:val="003E6E78"/>
    <w:rsid w:val="003E7994"/>
    <w:rsid w:val="003E7D19"/>
    <w:rsid w:val="003F0103"/>
    <w:rsid w:val="003F03B5"/>
    <w:rsid w:val="003F0595"/>
    <w:rsid w:val="003F0624"/>
    <w:rsid w:val="003F062C"/>
    <w:rsid w:val="003F07D7"/>
    <w:rsid w:val="003F0DE6"/>
    <w:rsid w:val="003F1155"/>
    <w:rsid w:val="003F1B5F"/>
    <w:rsid w:val="003F315B"/>
    <w:rsid w:val="003F3215"/>
    <w:rsid w:val="003F33D1"/>
    <w:rsid w:val="003F3828"/>
    <w:rsid w:val="003F3884"/>
    <w:rsid w:val="003F394A"/>
    <w:rsid w:val="003F409E"/>
    <w:rsid w:val="003F45DC"/>
    <w:rsid w:val="003F4D27"/>
    <w:rsid w:val="003F4E90"/>
    <w:rsid w:val="003F4EDD"/>
    <w:rsid w:val="003F533F"/>
    <w:rsid w:val="003F56BC"/>
    <w:rsid w:val="003F589F"/>
    <w:rsid w:val="003F5B0A"/>
    <w:rsid w:val="003F5B2E"/>
    <w:rsid w:val="003F5DE5"/>
    <w:rsid w:val="003F643B"/>
    <w:rsid w:val="003F7B36"/>
    <w:rsid w:val="003F7B57"/>
    <w:rsid w:val="003F7C33"/>
    <w:rsid w:val="0040060C"/>
    <w:rsid w:val="004009B1"/>
    <w:rsid w:val="00400B67"/>
    <w:rsid w:val="00400D19"/>
    <w:rsid w:val="004010C7"/>
    <w:rsid w:val="00401D7A"/>
    <w:rsid w:val="00402578"/>
    <w:rsid w:val="00402CD7"/>
    <w:rsid w:val="00402F9C"/>
    <w:rsid w:val="004032DC"/>
    <w:rsid w:val="004036E1"/>
    <w:rsid w:val="00403774"/>
    <w:rsid w:val="004039DD"/>
    <w:rsid w:val="00404499"/>
    <w:rsid w:val="004044CA"/>
    <w:rsid w:val="004051A2"/>
    <w:rsid w:val="00405833"/>
    <w:rsid w:val="00405FA4"/>
    <w:rsid w:val="00406178"/>
    <w:rsid w:val="00406E93"/>
    <w:rsid w:val="00407352"/>
    <w:rsid w:val="0040745E"/>
    <w:rsid w:val="00407731"/>
    <w:rsid w:val="00407976"/>
    <w:rsid w:val="0041129C"/>
    <w:rsid w:val="0041139F"/>
    <w:rsid w:val="004114F4"/>
    <w:rsid w:val="004120EF"/>
    <w:rsid w:val="004121F9"/>
    <w:rsid w:val="004125C0"/>
    <w:rsid w:val="00413785"/>
    <w:rsid w:val="00413814"/>
    <w:rsid w:val="0041384B"/>
    <w:rsid w:val="00413AE1"/>
    <w:rsid w:val="00413E56"/>
    <w:rsid w:val="004147F0"/>
    <w:rsid w:val="004150EF"/>
    <w:rsid w:val="004152B1"/>
    <w:rsid w:val="00415850"/>
    <w:rsid w:val="00415C03"/>
    <w:rsid w:val="00415C54"/>
    <w:rsid w:val="00415CB9"/>
    <w:rsid w:val="00415ECA"/>
    <w:rsid w:val="00416578"/>
    <w:rsid w:val="00416850"/>
    <w:rsid w:val="004168FB"/>
    <w:rsid w:val="0041690C"/>
    <w:rsid w:val="004175AC"/>
    <w:rsid w:val="0041780D"/>
    <w:rsid w:val="00420450"/>
    <w:rsid w:val="00420679"/>
    <w:rsid w:val="00420D08"/>
    <w:rsid w:val="004211E5"/>
    <w:rsid w:val="00421480"/>
    <w:rsid w:val="004225E0"/>
    <w:rsid w:val="0042294B"/>
    <w:rsid w:val="00422D10"/>
    <w:rsid w:val="004232AB"/>
    <w:rsid w:val="0042403E"/>
    <w:rsid w:val="00424186"/>
    <w:rsid w:val="0042456D"/>
    <w:rsid w:val="0042476D"/>
    <w:rsid w:val="00424B4C"/>
    <w:rsid w:val="00424DAF"/>
    <w:rsid w:val="004253AD"/>
    <w:rsid w:val="004253C4"/>
    <w:rsid w:val="00425C0E"/>
    <w:rsid w:val="00426255"/>
    <w:rsid w:val="00426D62"/>
    <w:rsid w:val="004271EE"/>
    <w:rsid w:val="0042762E"/>
    <w:rsid w:val="004300DB"/>
    <w:rsid w:val="00430204"/>
    <w:rsid w:val="00430393"/>
    <w:rsid w:val="00430A49"/>
    <w:rsid w:val="00430CEF"/>
    <w:rsid w:val="004313DD"/>
    <w:rsid w:val="004313DE"/>
    <w:rsid w:val="00431629"/>
    <w:rsid w:val="00431A64"/>
    <w:rsid w:val="00432606"/>
    <w:rsid w:val="00432857"/>
    <w:rsid w:val="00432DA8"/>
    <w:rsid w:val="004332B8"/>
    <w:rsid w:val="00433E0E"/>
    <w:rsid w:val="004342E4"/>
    <w:rsid w:val="0043456F"/>
    <w:rsid w:val="0043460D"/>
    <w:rsid w:val="00434891"/>
    <w:rsid w:val="004352B8"/>
    <w:rsid w:val="004352DA"/>
    <w:rsid w:val="00435315"/>
    <w:rsid w:val="0043541F"/>
    <w:rsid w:val="0043550A"/>
    <w:rsid w:val="00435E50"/>
    <w:rsid w:val="00436247"/>
    <w:rsid w:val="0043727A"/>
    <w:rsid w:val="004376F9"/>
    <w:rsid w:val="00437E71"/>
    <w:rsid w:val="0044013A"/>
    <w:rsid w:val="004414AD"/>
    <w:rsid w:val="00441834"/>
    <w:rsid w:val="004419DF"/>
    <w:rsid w:val="004419FB"/>
    <w:rsid w:val="0044242B"/>
    <w:rsid w:val="00443596"/>
    <w:rsid w:val="00443BCE"/>
    <w:rsid w:val="00443CA3"/>
    <w:rsid w:val="00443D09"/>
    <w:rsid w:val="0044422A"/>
    <w:rsid w:val="004444C3"/>
    <w:rsid w:val="00444897"/>
    <w:rsid w:val="004449A9"/>
    <w:rsid w:val="00445091"/>
    <w:rsid w:val="00445418"/>
    <w:rsid w:val="0044577B"/>
    <w:rsid w:val="00445F21"/>
    <w:rsid w:val="0044611F"/>
    <w:rsid w:val="00446706"/>
    <w:rsid w:val="00447576"/>
    <w:rsid w:val="004500EA"/>
    <w:rsid w:val="004511D6"/>
    <w:rsid w:val="00451495"/>
    <w:rsid w:val="00451552"/>
    <w:rsid w:val="00451C99"/>
    <w:rsid w:val="004520D6"/>
    <w:rsid w:val="0045295B"/>
    <w:rsid w:val="004531B5"/>
    <w:rsid w:val="004534FE"/>
    <w:rsid w:val="0045353B"/>
    <w:rsid w:val="0045455B"/>
    <w:rsid w:val="00454955"/>
    <w:rsid w:val="00454A93"/>
    <w:rsid w:val="00454F92"/>
    <w:rsid w:val="00455277"/>
    <w:rsid w:val="0045579E"/>
    <w:rsid w:val="004562B6"/>
    <w:rsid w:val="00456B55"/>
    <w:rsid w:val="004570E1"/>
    <w:rsid w:val="00457122"/>
    <w:rsid w:val="00457340"/>
    <w:rsid w:val="004578CC"/>
    <w:rsid w:val="00460355"/>
    <w:rsid w:val="0046080A"/>
    <w:rsid w:val="00460F07"/>
    <w:rsid w:val="004610AE"/>
    <w:rsid w:val="00461283"/>
    <w:rsid w:val="0046192B"/>
    <w:rsid w:val="00461DFF"/>
    <w:rsid w:val="0046234C"/>
    <w:rsid w:val="0046303B"/>
    <w:rsid w:val="0046420E"/>
    <w:rsid w:val="004643AF"/>
    <w:rsid w:val="0046461E"/>
    <w:rsid w:val="00464A21"/>
    <w:rsid w:val="00464BD6"/>
    <w:rsid w:val="00464EAA"/>
    <w:rsid w:val="00465983"/>
    <w:rsid w:val="00465C46"/>
    <w:rsid w:val="00466353"/>
    <w:rsid w:val="00466FF6"/>
    <w:rsid w:val="00467551"/>
    <w:rsid w:val="00467710"/>
    <w:rsid w:val="004703FF"/>
    <w:rsid w:val="00471292"/>
    <w:rsid w:val="004715D1"/>
    <w:rsid w:val="00471C33"/>
    <w:rsid w:val="00471D8F"/>
    <w:rsid w:val="00471EA6"/>
    <w:rsid w:val="00471EE3"/>
    <w:rsid w:val="004728DD"/>
    <w:rsid w:val="00472A18"/>
    <w:rsid w:val="00472C92"/>
    <w:rsid w:val="00472E35"/>
    <w:rsid w:val="004731E0"/>
    <w:rsid w:val="00474211"/>
    <w:rsid w:val="004749F4"/>
    <w:rsid w:val="00474D01"/>
    <w:rsid w:val="00474E29"/>
    <w:rsid w:val="00475182"/>
    <w:rsid w:val="004752DC"/>
    <w:rsid w:val="00475BB8"/>
    <w:rsid w:val="00476278"/>
    <w:rsid w:val="004768A1"/>
    <w:rsid w:val="0047759B"/>
    <w:rsid w:val="0047792A"/>
    <w:rsid w:val="00477FAA"/>
    <w:rsid w:val="004801EC"/>
    <w:rsid w:val="00480DA7"/>
    <w:rsid w:val="00480E5B"/>
    <w:rsid w:val="0048147F"/>
    <w:rsid w:val="004819D1"/>
    <w:rsid w:val="004820B0"/>
    <w:rsid w:val="004820D7"/>
    <w:rsid w:val="00482143"/>
    <w:rsid w:val="00482153"/>
    <w:rsid w:val="004821B9"/>
    <w:rsid w:val="00482303"/>
    <w:rsid w:val="0048237A"/>
    <w:rsid w:val="004828FA"/>
    <w:rsid w:val="0048291D"/>
    <w:rsid w:val="00482A87"/>
    <w:rsid w:val="00482C9E"/>
    <w:rsid w:val="00483249"/>
    <w:rsid w:val="0048379E"/>
    <w:rsid w:val="00483EB6"/>
    <w:rsid w:val="004841AD"/>
    <w:rsid w:val="004855AA"/>
    <w:rsid w:val="00485F32"/>
    <w:rsid w:val="00486234"/>
    <w:rsid w:val="0048642E"/>
    <w:rsid w:val="0048736F"/>
    <w:rsid w:val="00487451"/>
    <w:rsid w:val="0048777E"/>
    <w:rsid w:val="00487B34"/>
    <w:rsid w:val="00487C22"/>
    <w:rsid w:val="00490077"/>
    <w:rsid w:val="004900F4"/>
    <w:rsid w:val="00490188"/>
    <w:rsid w:val="00490542"/>
    <w:rsid w:val="00490E89"/>
    <w:rsid w:val="00490FAE"/>
    <w:rsid w:val="00491071"/>
    <w:rsid w:val="00491424"/>
    <w:rsid w:val="0049194C"/>
    <w:rsid w:val="00491D44"/>
    <w:rsid w:val="004920B3"/>
    <w:rsid w:val="004923CD"/>
    <w:rsid w:val="004926A7"/>
    <w:rsid w:val="00492E05"/>
    <w:rsid w:val="004932F1"/>
    <w:rsid w:val="0049331D"/>
    <w:rsid w:val="00493534"/>
    <w:rsid w:val="0049358B"/>
    <w:rsid w:val="00493E92"/>
    <w:rsid w:val="0049403E"/>
    <w:rsid w:val="00494057"/>
    <w:rsid w:val="00494589"/>
    <w:rsid w:val="00494903"/>
    <w:rsid w:val="0049653A"/>
    <w:rsid w:val="00497842"/>
    <w:rsid w:val="00497BA1"/>
    <w:rsid w:val="00497EEE"/>
    <w:rsid w:val="004A03A5"/>
    <w:rsid w:val="004A04AE"/>
    <w:rsid w:val="004A04F0"/>
    <w:rsid w:val="004A0609"/>
    <w:rsid w:val="004A0D6E"/>
    <w:rsid w:val="004A1777"/>
    <w:rsid w:val="004A1A95"/>
    <w:rsid w:val="004A1E9F"/>
    <w:rsid w:val="004A2603"/>
    <w:rsid w:val="004A3178"/>
    <w:rsid w:val="004A3385"/>
    <w:rsid w:val="004A340F"/>
    <w:rsid w:val="004A4129"/>
    <w:rsid w:val="004A47AE"/>
    <w:rsid w:val="004A4C2A"/>
    <w:rsid w:val="004A4E1C"/>
    <w:rsid w:val="004A4EE0"/>
    <w:rsid w:val="004A52B6"/>
    <w:rsid w:val="004A6120"/>
    <w:rsid w:val="004A6568"/>
    <w:rsid w:val="004A67C4"/>
    <w:rsid w:val="004A6F22"/>
    <w:rsid w:val="004A7100"/>
    <w:rsid w:val="004A7601"/>
    <w:rsid w:val="004A77C8"/>
    <w:rsid w:val="004A79DC"/>
    <w:rsid w:val="004A7B1D"/>
    <w:rsid w:val="004A7CD7"/>
    <w:rsid w:val="004B08F6"/>
    <w:rsid w:val="004B0C10"/>
    <w:rsid w:val="004B0C3C"/>
    <w:rsid w:val="004B0E88"/>
    <w:rsid w:val="004B16DA"/>
    <w:rsid w:val="004B2924"/>
    <w:rsid w:val="004B2B10"/>
    <w:rsid w:val="004B3068"/>
    <w:rsid w:val="004B3396"/>
    <w:rsid w:val="004B54C4"/>
    <w:rsid w:val="004B581C"/>
    <w:rsid w:val="004B58A5"/>
    <w:rsid w:val="004B58F5"/>
    <w:rsid w:val="004B598F"/>
    <w:rsid w:val="004B5B49"/>
    <w:rsid w:val="004B6424"/>
    <w:rsid w:val="004B6E74"/>
    <w:rsid w:val="004B7A81"/>
    <w:rsid w:val="004C01D3"/>
    <w:rsid w:val="004C0359"/>
    <w:rsid w:val="004C0774"/>
    <w:rsid w:val="004C0FBA"/>
    <w:rsid w:val="004C14B1"/>
    <w:rsid w:val="004C18C4"/>
    <w:rsid w:val="004C1C73"/>
    <w:rsid w:val="004C2792"/>
    <w:rsid w:val="004C2D83"/>
    <w:rsid w:val="004C328F"/>
    <w:rsid w:val="004C3763"/>
    <w:rsid w:val="004C3EEC"/>
    <w:rsid w:val="004C4A8D"/>
    <w:rsid w:val="004C4B11"/>
    <w:rsid w:val="004C6300"/>
    <w:rsid w:val="004C6643"/>
    <w:rsid w:val="004C6E79"/>
    <w:rsid w:val="004C756C"/>
    <w:rsid w:val="004C7F77"/>
    <w:rsid w:val="004D0883"/>
    <w:rsid w:val="004D0B78"/>
    <w:rsid w:val="004D157B"/>
    <w:rsid w:val="004D19DD"/>
    <w:rsid w:val="004D1C5C"/>
    <w:rsid w:val="004D2317"/>
    <w:rsid w:val="004D23B5"/>
    <w:rsid w:val="004D24B3"/>
    <w:rsid w:val="004D2A43"/>
    <w:rsid w:val="004D2F12"/>
    <w:rsid w:val="004D316C"/>
    <w:rsid w:val="004D36FB"/>
    <w:rsid w:val="004D3D7C"/>
    <w:rsid w:val="004D3EC2"/>
    <w:rsid w:val="004D3FB6"/>
    <w:rsid w:val="004D4CDE"/>
    <w:rsid w:val="004D4E68"/>
    <w:rsid w:val="004D524C"/>
    <w:rsid w:val="004D5846"/>
    <w:rsid w:val="004D5AEC"/>
    <w:rsid w:val="004D60F4"/>
    <w:rsid w:val="004D657A"/>
    <w:rsid w:val="004D6B69"/>
    <w:rsid w:val="004D6E73"/>
    <w:rsid w:val="004D78B7"/>
    <w:rsid w:val="004D7AA9"/>
    <w:rsid w:val="004D7D3C"/>
    <w:rsid w:val="004D7F46"/>
    <w:rsid w:val="004E00C1"/>
    <w:rsid w:val="004E04BF"/>
    <w:rsid w:val="004E1929"/>
    <w:rsid w:val="004E1C9B"/>
    <w:rsid w:val="004E394E"/>
    <w:rsid w:val="004E440A"/>
    <w:rsid w:val="004E47D9"/>
    <w:rsid w:val="004E4A11"/>
    <w:rsid w:val="004E4C96"/>
    <w:rsid w:val="004E4D8B"/>
    <w:rsid w:val="004E4FCE"/>
    <w:rsid w:val="004E5A32"/>
    <w:rsid w:val="004E5BAC"/>
    <w:rsid w:val="004E6173"/>
    <w:rsid w:val="004E6180"/>
    <w:rsid w:val="004E6620"/>
    <w:rsid w:val="004E6E89"/>
    <w:rsid w:val="004E7D68"/>
    <w:rsid w:val="004E7EA3"/>
    <w:rsid w:val="004F1BC1"/>
    <w:rsid w:val="004F2808"/>
    <w:rsid w:val="004F2B46"/>
    <w:rsid w:val="004F2D79"/>
    <w:rsid w:val="004F2F53"/>
    <w:rsid w:val="004F31D8"/>
    <w:rsid w:val="004F372E"/>
    <w:rsid w:val="004F37F9"/>
    <w:rsid w:val="004F4E07"/>
    <w:rsid w:val="004F5031"/>
    <w:rsid w:val="004F558E"/>
    <w:rsid w:val="004F5D4E"/>
    <w:rsid w:val="004F6087"/>
    <w:rsid w:val="004F6403"/>
    <w:rsid w:val="004F66A3"/>
    <w:rsid w:val="004F6924"/>
    <w:rsid w:val="004F6F1A"/>
    <w:rsid w:val="004F73E2"/>
    <w:rsid w:val="004F77B2"/>
    <w:rsid w:val="004F796A"/>
    <w:rsid w:val="0050083E"/>
    <w:rsid w:val="00500A2E"/>
    <w:rsid w:val="005018A3"/>
    <w:rsid w:val="00501FE1"/>
    <w:rsid w:val="00502686"/>
    <w:rsid w:val="005028EF"/>
    <w:rsid w:val="00503B6D"/>
    <w:rsid w:val="00503B9C"/>
    <w:rsid w:val="00503EE0"/>
    <w:rsid w:val="00504733"/>
    <w:rsid w:val="00504C85"/>
    <w:rsid w:val="00504E29"/>
    <w:rsid w:val="00504EB3"/>
    <w:rsid w:val="00504FF4"/>
    <w:rsid w:val="00505365"/>
    <w:rsid w:val="00506E31"/>
    <w:rsid w:val="00506E9D"/>
    <w:rsid w:val="00506FEE"/>
    <w:rsid w:val="00507780"/>
    <w:rsid w:val="005103C6"/>
    <w:rsid w:val="00510E2F"/>
    <w:rsid w:val="0051133D"/>
    <w:rsid w:val="0051162F"/>
    <w:rsid w:val="005118D4"/>
    <w:rsid w:val="005122BB"/>
    <w:rsid w:val="005124E1"/>
    <w:rsid w:val="00512E4A"/>
    <w:rsid w:val="00513169"/>
    <w:rsid w:val="00513383"/>
    <w:rsid w:val="00513940"/>
    <w:rsid w:val="0051442E"/>
    <w:rsid w:val="00514B28"/>
    <w:rsid w:val="005154B1"/>
    <w:rsid w:val="0051606E"/>
    <w:rsid w:val="0051635D"/>
    <w:rsid w:val="005163F3"/>
    <w:rsid w:val="005168E6"/>
    <w:rsid w:val="00516A73"/>
    <w:rsid w:val="00516EA8"/>
    <w:rsid w:val="0051747D"/>
    <w:rsid w:val="00517AC0"/>
    <w:rsid w:val="00517B67"/>
    <w:rsid w:val="005200B7"/>
    <w:rsid w:val="00520915"/>
    <w:rsid w:val="0052163E"/>
    <w:rsid w:val="00522542"/>
    <w:rsid w:val="0052256B"/>
    <w:rsid w:val="00522721"/>
    <w:rsid w:val="005228DE"/>
    <w:rsid w:val="0052299F"/>
    <w:rsid w:val="00523548"/>
    <w:rsid w:val="00523890"/>
    <w:rsid w:val="00523A23"/>
    <w:rsid w:val="00524037"/>
    <w:rsid w:val="005243AE"/>
    <w:rsid w:val="00524E3C"/>
    <w:rsid w:val="00525361"/>
    <w:rsid w:val="00525625"/>
    <w:rsid w:val="00525B37"/>
    <w:rsid w:val="00526B64"/>
    <w:rsid w:val="00527692"/>
    <w:rsid w:val="00527A91"/>
    <w:rsid w:val="00530EE3"/>
    <w:rsid w:val="0053138B"/>
    <w:rsid w:val="00531E50"/>
    <w:rsid w:val="005326F4"/>
    <w:rsid w:val="00533031"/>
    <w:rsid w:val="00533261"/>
    <w:rsid w:val="00533A49"/>
    <w:rsid w:val="0053476D"/>
    <w:rsid w:val="0053488D"/>
    <w:rsid w:val="00534AC8"/>
    <w:rsid w:val="0053589F"/>
    <w:rsid w:val="00535DFA"/>
    <w:rsid w:val="00537080"/>
    <w:rsid w:val="00537801"/>
    <w:rsid w:val="00537873"/>
    <w:rsid w:val="005379FC"/>
    <w:rsid w:val="00541235"/>
    <w:rsid w:val="0054141F"/>
    <w:rsid w:val="005419CC"/>
    <w:rsid w:val="005419ED"/>
    <w:rsid w:val="005420C1"/>
    <w:rsid w:val="005429C4"/>
    <w:rsid w:val="00542C6E"/>
    <w:rsid w:val="005430A4"/>
    <w:rsid w:val="0054330B"/>
    <w:rsid w:val="005438C4"/>
    <w:rsid w:val="00543984"/>
    <w:rsid w:val="00543B75"/>
    <w:rsid w:val="00543F5B"/>
    <w:rsid w:val="00544972"/>
    <w:rsid w:val="00544A25"/>
    <w:rsid w:val="00545466"/>
    <w:rsid w:val="00545778"/>
    <w:rsid w:val="00546096"/>
    <w:rsid w:val="00546196"/>
    <w:rsid w:val="005464EC"/>
    <w:rsid w:val="0054683B"/>
    <w:rsid w:val="00546888"/>
    <w:rsid w:val="005468FF"/>
    <w:rsid w:val="00546990"/>
    <w:rsid w:val="005470B1"/>
    <w:rsid w:val="00547B29"/>
    <w:rsid w:val="00547F76"/>
    <w:rsid w:val="00550A32"/>
    <w:rsid w:val="00550AA9"/>
    <w:rsid w:val="00550BD5"/>
    <w:rsid w:val="00550EDB"/>
    <w:rsid w:val="00551451"/>
    <w:rsid w:val="005515AD"/>
    <w:rsid w:val="0055161D"/>
    <w:rsid w:val="00551DC5"/>
    <w:rsid w:val="00551F37"/>
    <w:rsid w:val="00552161"/>
    <w:rsid w:val="00552D4B"/>
    <w:rsid w:val="00552FBB"/>
    <w:rsid w:val="0055317A"/>
    <w:rsid w:val="0055352C"/>
    <w:rsid w:val="005536EC"/>
    <w:rsid w:val="005539D8"/>
    <w:rsid w:val="00554050"/>
    <w:rsid w:val="00554D17"/>
    <w:rsid w:val="00554D53"/>
    <w:rsid w:val="00554ED4"/>
    <w:rsid w:val="00555D72"/>
    <w:rsid w:val="00555FE4"/>
    <w:rsid w:val="005564C6"/>
    <w:rsid w:val="0055666B"/>
    <w:rsid w:val="00556BA7"/>
    <w:rsid w:val="00556E07"/>
    <w:rsid w:val="0055713D"/>
    <w:rsid w:val="0055733F"/>
    <w:rsid w:val="0055745F"/>
    <w:rsid w:val="0055775E"/>
    <w:rsid w:val="00557A0B"/>
    <w:rsid w:val="00557C8C"/>
    <w:rsid w:val="00557DFA"/>
    <w:rsid w:val="00560703"/>
    <w:rsid w:val="00560903"/>
    <w:rsid w:val="00560EE9"/>
    <w:rsid w:val="00561475"/>
    <w:rsid w:val="00561F54"/>
    <w:rsid w:val="00562255"/>
    <w:rsid w:val="005622A1"/>
    <w:rsid w:val="005623DD"/>
    <w:rsid w:val="0056333E"/>
    <w:rsid w:val="00563376"/>
    <w:rsid w:val="005635AA"/>
    <w:rsid w:val="00563C0A"/>
    <w:rsid w:val="005640B0"/>
    <w:rsid w:val="00564991"/>
    <w:rsid w:val="005657A3"/>
    <w:rsid w:val="00565BD7"/>
    <w:rsid w:val="005670A8"/>
    <w:rsid w:val="00567185"/>
    <w:rsid w:val="0056799E"/>
    <w:rsid w:val="00567B69"/>
    <w:rsid w:val="00570097"/>
    <w:rsid w:val="00570B16"/>
    <w:rsid w:val="0057145F"/>
    <w:rsid w:val="005715E3"/>
    <w:rsid w:val="00572054"/>
    <w:rsid w:val="005733B2"/>
    <w:rsid w:val="00574772"/>
    <w:rsid w:val="00574B7E"/>
    <w:rsid w:val="00574DEC"/>
    <w:rsid w:val="0057532B"/>
    <w:rsid w:val="005758FA"/>
    <w:rsid w:val="00575E62"/>
    <w:rsid w:val="0057655B"/>
    <w:rsid w:val="00576C13"/>
    <w:rsid w:val="005776C0"/>
    <w:rsid w:val="005779DA"/>
    <w:rsid w:val="00577A05"/>
    <w:rsid w:val="00577EEC"/>
    <w:rsid w:val="005801D8"/>
    <w:rsid w:val="005808A6"/>
    <w:rsid w:val="00580A96"/>
    <w:rsid w:val="00580D4A"/>
    <w:rsid w:val="005810AF"/>
    <w:rsid w:val="00581246"/>
    <w:rsid w:val="005819C8"/>
    <w:rsid w:val="00581AAA"/>
    <w:rsid w:val="005820F5"/>
    <w:rsid w:val="0058264B"/>
    <w:rsid w:val="005827A6"/>
    <w:rsid w:val="005848D7"/>
    <w:rsid w:val="00584ACB"/>
    <w:rsid w:val="00584C76"/>
    <w:rsid w:val="00584EA7"/>
    <w:rsid w:val="00585126"/>
    <w:rsid w:val="005854D3"/>
    <w:rsid w:val="0058577E"/>
    <w:rsid w:val="00585E1C"/>
    <w:rsid w:val="005861B2"/>
    <w:rsid w:val="005862E3"/>
    <w:rsid w:val="00586D21"/>
    <w:rsid w:val="00586D77"/>
    <w:rsid w:val="00587547"/>
    <w:rsid w:val="00590549"/>
    <w:rsid w:val="005910B9"/>
    <w:rsid w:val="00591361"/>
    <w:rsid w:val="00591605"/>
    <w:rsid w:val="00591D20"/>
    <w:rsid w:val="00592E08"/>
    <w:rsid w:val="00592F9B"/>
    <w:rsid w:val="005935B9"/>
    <w:rsid w:val="00593805"/>
    <w:rsid w:val="0059392E"/>
    <w:rsid w:val="00593BD9"/>
    <w:rsid w:val="00593F81"/>
    <w:rsid w:val="00594B5A"/>
    <w:rsid w:val="00595087"/>
    <w:rsid w:val="00596003"/>
    <w:rsid w:val="005960B7"/>
    <w:rsid w:val="005962A2"/>
    <w:rsid w:val="005962EA"/>
    <w:rsid w:val="005964D8"/>
    <w:rsid w:val="00596614"/>
    <w:rsid w:val="00596AC5"/>
    <w:rsid w:val="00597242"/>
    <w:rsid w:val="005974B6"/>
    <w:rsid w:val="00597E14"/>
    <w:rsid w:val="005A01E1"/>
    <w:rsid w:val="005A0D68"/>
    <w:rsid w:val="005A156C"/>
    <w:rsid w:val="005A1D2B"/>
    <w:rsid w:val="005A1EB9"/>
    <w:rsid w:val="005A2407"/>
    <w:rsid w:val="005A24BB"/>
    <w:rsid w:val="005A2DDD"/>
    <w:rsid w:val="005A2E94"/>
    <w:rsid w:val="005A3197"/>
    <w:rsid w:val="005A3225"/>
    <w:rsid w:val="005A3326"/>
    <w:rsid w:val="005A398F"/>
    <w:rsid w:val="005A3FBF"/>
    <w:rsid w:val="005A4368"/>
    <w:rsid w:val="005A46BC"/>
    <w:rsid w:val="005A55FA"/>
    <w:rsid w:val="005A61DB"/>
    <w:rsid w:val="005A65C8"/>
    <w:rsid w:val="005A698F"/>
    <w:rsid w:val="005A7315"/>
    <w:rsid w:val="005A735B"/>
    <w:rsid w:val="005A76F3"/>
    <w:rsid w:val="005B09CD"/>
    <w:rsid w:val="005B0A56"/>
    <w:rsid w:val="005B141D"/>
    <w:rsid w:val="005B1B0D"/>
    <w:rsid w:val="005B27E8"/>
    <w:rsid w:val="005B382B"/>
    <w:rsid w:val="005B3F65"/>
    <w:rsid w:val="005B3F69"/>
    <w:rsid w:val="005B424A"/>
    <w:rsid w:val="005B4621"/>
    <w:rsid w:val="005B4F61"/>
    <w:rsid w:val="005B53D0"/>
    <w:rsid w:val="005B5641"/>
    <w:rsid w:val="005B5937"/>
    <w:rsid w:val="005B6690"/>
    <w:rsid w:val="005C0387"/>
    <w:rsid w:val="005C07BE"/>
    <w:rsid w:val="005C0868"/>
    <w:rsid w:val="005C09F1"/>
    <w:rsid w:val="005C0ABF"/>
    <w:rsid w:val="005C1003"/>
    <w:rsid w:val="005C1138"/>
    <w:rsid w:val="005C11DB"/>
    <w:rsid w:val="005C1375"/>
    <w:rsid w:val="005C183A"/>
    <w:rsid w:val="005C1849"/>
    <w:rsid w:val="005C2CF9"/>
    <w:rsid w:val="005C2E66"/>
    <w:rsid w:val="005C2F3B"/>
    <w:rsid w:val="005C2F8D"/>
    <w:rsid w:val="005C332B"/>
    <w:rsid w:val="005C3435"/>
    <w:rsid w:val="005C34A1"/>
    <w:rsid w:val="005C4C6E"/>
    <w:rsid w:val="005C4D44"/>
    <w:rsid w:val="005C54E9"/>
    <w:rsid w:val="005C569C"/>
    <w:rsid w:val="005C5AA3"/>
    <w:rsid w:val="005C5DE2"/>
    <w:rsid w:val="005C62F2"/>
    <w:rsid w:val="005C7C97"/>
    <w:rsid w:val="005D0272"/>
    <w:rsid w:val="005D10D5"/>
    <w:rsid w:val="005D1303"/>
    <w:rsid w:val="005D1783"/>
    <w:rsid w:val="005D19EC"/>
    <w:rsid w:val="005D1CB0"/>
    <w:rsid w:val="005D1F74"/>
    <w:rsid w:val="005D20D8"/>
    <w:rsid w:val="005D2459"/>
    <w:rsid w:val="005D2693"/>
    <w:rsid w:val="005D2989"/>
    <w:rsid w:val="005D2D5A"/>
    <w:rsid w:val="005D2D5C"/>
    <w:rsid w:val="005D3725"/>
    <w:rsid w:val="005D4E24"/>
    <w:rsid w:val="005D5590"/>
    <w:rsid w:val="005D56D6"/>
    <w:rsid w:val="005D59A5"/>
    <w:rsid w:val="005D5D5E"/>
    <w:rsid w:val="005D6153"/>
    <w:rsid w:val="005D6250"/>
    <w:rsid w:val="005D70E0"/>
    <w:rsid w:val="005D70E2"/>
    <w:rsid w:val="005D7286"/>
    <w:rsid w:val="005D7288"/>
    <w:rsid w:val="005D746F"/>
    <w:rsid w:val="005D7512"/>
    <w:rsid w:val="005D78E7"/>
    <w:rsid w:val="005D7A6E"/>
    <w:rsid w:val="005D7C5C"/>
    <w:rsid w:val="005D7E1B"/>
    <w:rsid w:val="005D7F38"/>
    <w:rsid w:val="005E1095"/>
    <w:rsid w:val="005E14C5"/>
    <w:rsid w:val="005E1628"/>
    <w:rsid w:val="005E1B90"/>
    <w:rsid w:val="005E1E03"/>
    <w:rsid w:val="005E2270"/>
    <w:rsid w:val="005E31A2"/>
    <w:rsid w:val="005E34C7"/>
    <w:rsid w:val="005E3E69"/>
    <w:rsid w:val="005E41FA"/>
    <w:rsid w:val="005E424D"/>
    <w:rsid w:val="005E448F"/>
    <w:rsid w:val="005E5C40"/>
    <w:rsid w:val="005E60A1"/>
    <w:rsid w:val="005E66C5"/>
    <w:rsid w:val="005E6D0F"/>
    <w:rsid w:val="005E70E9"/>
    <w:rsid w:val="005E7161"/>
    <w:rsid w:val="005E777D"/>
    <w:rsid w:val="005E7ED9"/>
    <w:rsid w:val="005F0193"/>
    <w:rsid w:val="005F0D25"/>
    <w:rsid w:val="005F0D8F"/>
    <w:rsid w:val="005F1029"/>
    <w:rsid w:val="005F15A0"/>
    <w:rsid w:val="005F19BD"/>
    <w:rsid w:val="005F1B5D"/>
    <w:rsid w:val="005F2A06"/>
    <w:rsid w:val="005F2C78"/>
    <w:rsid w:val="005F3011"/>
    <w:rsid w:val="005F3C51"/>
    <w:rsid w:val="005F42D5"/>
    <w:rsid w:val="005F435D"/>
    <w:rsid w:val="005F4443"/>
    <w:rsid w:val="005F4B3B"/>
    <w:rsid w:val="005F547D"/>
    <w:rsid w:val="005F5741"/>
    <w:rsid w:val="005F62E2"/>
    <w:rsid w:val="005F62FD"/>
    <w:rsid w:val="005F6DAA"/>
    <w:rsid w:val="005F6EDA"/>
    <w:rsid w:val="005F7B0D"/>
    <w:rsid w:val="005F7C4F"/>
    <w:rsid w:val="005F7DB7"/>
    <w:rsid w:val="00600FCB"/>
    <w:rsid w:val="00601C23"/>
    <w:rsid w:val="00601CCA"/>
    <w:rsid w:val="006022A2"/>
    <w:rsid w:val="006023D1"/>
    <w:rsid w:val="006023F3"/>
    <w:rsid w:val="006024BF"/>
    <w:rsid w:val="006026C8"/>
    <w:rsid w:val="0060281E"/>
    <w:rsid w:val="0060295D"/>
    <w:rsid w:val="00602B91"/>
    <w:rsid w:val="00602ED6"/>
    <w:rsid w:val="00603040"/>
    <w:rsid w:val="0060366F"/>
    <w:rsid w:val="00603694"/>
    <w:rsid w:val="006036AE"/>
    <w:rsid w:val="00603D08"/>
    <w:rsid w:val="00603D4E"/>
    <w:rsid w:val="00604B0B"/>
    <w:rsid w:val="00605279"/>
    <w:rsid w:val="006055C4"/>
    <w:rsid w:val="00605A26"/>
    <w:rsid w:val="00606EBE"/>
    <w:rsid w:val="00606FF3"/>
    <w:rsid w:val="006073F1"/>
    <w:rsid w:val="00607507"/>
    <w:rsid w:val="00607617"/>
    <w:rsid w:val="00607754"/>
    <w:rsid w:val="00611178"/>
    <w:rsid w:val="00611707"/>
    <w:rsid w:val="00611AF2"/>
    <w:rsid w:val="00611C62"/>
    <w:rsid w:val="00611E2B"/>
    <w:rsid w:val="006121BB"/>
    <w:rsid w:val="006121F9"/>
    <w:rsid w:val="00612518"/>
    <w:rsid w:val="00612756"/>
    <w:rsid w:val="00612799"/>
    <w:rsid w:val="0061288B"/>
    <w:rsid w:val="00612F0F"/>
    <w:rsid w:val="00612F85"/>
    <w:rsid w:val="006130A7"/>
    <w:rsid w:val="00613263"/>
    <w:rsid w:val="00613AB6"/>
    <w:rsid w:val="00613F2B"/>
    <w:rsid w:val="00614E1C"/>
    <w:rsid w:val="00615A3F"/>
    <w:rsid w:val="00615C03"/>
    <w:rsid w:val="0061618C"/>
    <w:rsid w:val="006166FF"/>
    <w:rsid w:val="00616922"/>
    <w:rsid w:val="00616AA9"/>
    <w:rsid w:val="0061706E"/>
    <w:rsid w:val="00617DCA"/>
    <w:rsid w:val="006210FD"/>
    <w:rsid w:val="006211AD"/>
    <w:rsid w:val="00621C06"/>
    <w:rsid w:val="00622203"/>
    <w:rsid w:val="00622C61"/>
    <w:rsid w:val="00623623"/>
    <w:rsid w:val="00623A42"/>
    <w:rsid w:val="00623F32"/>
    <w:rsid w:val="00624FF7"/>
    <w:rsid w:val="006251E2"/>
    <w:rsid w:val="0062539D"/>
    <w:rsid w:val="006257FE"/>
    <w:rsid w:val="00626148"/>
    <w:rsid w:val="006268F7"/>
    <w:rsid w:val="00627052"/>
    <w:rsid w:val="0062749B"/>
    <w:rsid w:val="0062755A"/>
    <w:rsid w:val="006279A0"/>
    <w:rsid w:val="006301A8"/>
    <w:rsid w:val="0063071E"/>
    <w:rsid w:val="00630916"/>
    <w:rsid w:val="00630B1B"/>
    <w:rsid w:val="00630C93"/>
    <w:rsid w:val="00630FCE"/>
    <w:rsid w:val="0063119C"/>
    <w:rsid w:val="00631CD3"/>
    <w:rsid w:val="00631D65"/>
    <w:rsid w:val="006320B2"/>
    <w:rsid w:val="0063222A"/>
    <w:rsid w:val="00632ABF"/>
    <w:rsid w:val="00632D85"/>
    <w:rsid w:val="00632EC0"/>
    <w:rsid w:val="006333FE"/>
    <w:rsid w:val="006339AF"/>
    <w:rsid w:val="00633A3F"/>
    <w:rsid w:val="00633B6B"/>
    <w:rsid w:val="00633B83"/>
    <w:rsid w:val="0063425D"/>
    <w:rsid w:val="00635C50"/>
    <w:rsid w:val="00635D9C"/>
    <w:rsid w:val="00635EF2"/>
    <w:rsid w:val="00637104"/>
    <w:rsid w:val="00637A26"/>
    <w:rsid w:val="00640904"/>
    <w:rsid w:val="006409C0"/>
    <w:rsid w:val="00640FBB"/>
    <w:rsid w:val="006414CE"/>
    <w:rsid w:val="0064192C"/>
    <w:rsid w:val="0064193A"/>
    <w:rsid w:val="00641BAD"/>
    <w:rsid w:val="00641D73"/>
    <w:rsid w:val="00641DE6"/>
    <w:rsid w:val="00641EFB"/>
    <w:rsid w:val="00642451"/>
    <w:rsid w:val="0064258A"/>
    <w:rsid w:val="00642B50"/>
    <w:rsid w:val="00642B84"/>
    <w:rsid w:val="00642D4F"/>
    <w:rsid w:val="00643C4E"/>
    <w:rsid w:val="00643DD2"/>
    <w:rsid w:val="00644582"/>
    <w:rsid w:val="006445A4"/>
    <w:rsid w:val="00644614"/>
    <w:rsid w:val="0064483A"/>
    <w:rsid w:val="00644DB5"/>
    <w:rsid w:val="00645066"/>
    <w:rsid w:val="006453CB"/>
    <w:rsid w:val="00645852"/>
    <w:rsid w:val="0064598F"/>
    <w:rsid w:val="00645A41"/>
    <w:rsid w:val="00647123"/>
    <w:rsid w:val="006474CF"/>
    <w:rsid w:val="00647995"/>
    <w:rsid w:val="006507DF"/>
    <w:rsid w:val="006507EC"/>
    <w:rsid w:val="00650D74"/>
    <w:rsid w:val="00650E0B"/>
    <w:rsid w:val="00651613"/>
    <w:rsid w:val="00651D08"/>
    <w:rsid w:val="00651D52"/>
    <w:rsid w:val="00651EB0"/>
    <w:rsid w:val="00652A40"/>
    <w:rsid w:val="00652A5C"/>
    <w:rsid w:val="00652E6F"/>
    <w:rsid w:val="0065343E"/>
    <w:rsid w:val="006539BD"/>
    <w:rsid w:val="00654EBF"/>
    <w:rsid w:val="00655A3D"/>
    <w:rsid w:val="00655D6F"/>
    <w:rsid w:val="00656114"/>
    <w:rsid w:val="00657161"/>
    <w:rsid w:val="00657292"/>
    <w:rsid w:val="0065746F"/>
    <w:rsid w:val="00657B0F"/>
    <w:rsid w:val="00657F34"/>
    <w:rsid w:val="00661C70"/>
    <w:rsid w:val="0066206D"/>
    <w:rsid w:val="00662527"/>
    <w:rsid w:val="00662889"/>
    <w:rsid w:val="00662F6F"/>
    <w:rsid w:val="00663043"/>
    <w:rsid w:val="006633CE"/>
    <w:rsid w:val="0066360C"/>
    <w:rsid w:val="00663E56"/>
    <w:rsid w:val="00663F6C"/>
    <w:rsid w:val="006640F4"/>
    <w:rsid w:val="006649BD"/>
    <w:rsid w:val="00665633"/>
    <w:rsid w:val="006659E2"/>
    <w:rsid w:val="00667470"/>
    <w:rsid w:val="006676FC"/>
    <w:rsid w:val="00670DC9"/>
    <w:rsid w:val="00670F94"/>
    <w:rsid w:val="0067121B"/>
    <w:rsid w:val="00671FB3"/>
    <w:rsid w:val="00672005"/>
    <w:rsid w:val="00672253"/>
    <w:rsid w:val="00672314"/>
    <w:rsid w:val="00672461"/>
    <w:rsid w:val="006724DE"/>
    <w:rsid w:val="00672536"/>
    <w:rsid w:val="006725C5"/>
    <w:rsid w:val="006727AD"/>
    <w:rsid w:val="00672FF8"/>
    <w:rsid w:val="006736CB"/>
    <w:rsid w:val="00674351"/>
    <w:rsid w:val="006745A0"/>
    <w:rsid w:val="00674AA3"/>
    <w:rsid w:val="00674C26"/>
    <w:rsid w:val="0067506D"/>
    <w:rsid w:val="00675682"/>
    <w:rsid w:val="00675961"/>
    <w:rsid w:val="00675E59"/>
    <w:rsid w:val="00676820"/>
    <w:rsid w:val="00676F3D"/>
    <w:rsid w:val="00677735"/>
    <w:rsid w:val="006778D8"/>
    <w:rsid w:val="00677987"/>
    <w:rsid w:val="00677E2F"/>
    <w:rsid w:val="006801C6"/>
    <w:rsid w:val="00680349"/>
    <w:rsid w:val="00680356"/>
    <w:rsid w:val="00680B39"/>
    <w:rsid w:val="00680C35"/>
    <w:rsid w:val="00680D64"/>
    <w:rsid w:val="00680D7B"/>
    <w:rsid w:val="00681367"/>
    <w:rsid w:val="006816CB"/>
    <w:rsid w:val="006820EC"/>
    <w:rsid w:val="00682684"/>
    <w:rsid w:val="00682839"/>
    <w:rsid w:val="00683408"/>
    <w:rsid w:val="00683C3C"/>
    <w:rsid w:val="00683F35"/>
    <w:rsid w:val="006840F8"/>
    <w:rsid w:val="00684152"/>
    <w:rsid w:val="00684363"/>
    <w:rsid w:val="00684387"/>
    <w:rsid w:val="00684548"/>
    <w:rsid w:val="00684802"/>
    <w:rsid w:val="00685071"/>
    <w:rsid w:val="006853D8"/>
    <w:rsid w:val="00685B98"/>
    <w:rsid w:val="00685D7C"/>
    <w:rsid w:val="00685F3D"/>
    <w:rsid w:val="00686BF1"/>
    <w:rsid w:val="00687194"/>
    <w:rsid w:val="00687C55"/>
    <w:rsid w:val="00690CBC"/>
    <w:rsid w:val="006920F8"/>
    <w:rsid w:val="0069212A"/>
    <w:rsid w:val="00692311"/>
    <w:rsid w:val="006927D8"/>
    <w:rsid w:val="0069304E"/>
    <w:rsid w:val="006938F6"/>
    <w:rsid w:val="00693FA4"/>
    <w:rsid w:val="006944B9"/>
    <w:rsid w:val="0069466B"/>
    <w:rsid w:val="00694991"/>
    <w:rsid w:val="00695017"/>
    <w:rsid w:val="006958EE"/>
    <w:rsid w:val="00695BB6"/>
    <w:rsid w:val="0069624F"/>
    <w:rsid w:val="00696267"/>
    <w:rsid w:val="006964D6"/>
    <w:rsid w:val="00697484"/>
    <w:rsid w:val="0069790C"/>
    <w:rsid w:val="00697CA8"/>
    <w:rsid w:val="006A04EA"/>
    <w:rsid w:val="006A0C93"/>
    <w:rsid w:val="006A105E"/>
    <w:rsid w:val="006A1D23"/>
    <w:rsid w:val="006A230D"/>
    <w:rsid w:val="006A243E"/>
    <w:rsid w:val="006A3201"/>
    <w:rsid w:val="006A3E67"/>
    <w:rsid w:val="006A42AA"/>
    <w:rsid w:val="006A4475"/>
    <w:rsid w:val="006A46C4"/>
    <w:rsid w:val="006A48B7"/>
    <w:rsid w:val="006A4AD3"/>
    <w:rsid w:val="006A4C5C"/>
    <w:rsid w:val="006A4E5A"/>
    <w:rsid w:val="006A5321"/>
    <w:rsid w:val="006A625B"/>
    <w:rsid w:val="006A68A0"/>
    <w:rsid w:val="006A6FD4"/>
    <w:rsid w:val="006A7155"/>
    <w:rsid w:val="006A7257"/>
    <w:rsid w:val="006A7548"/>
    <w:rsid w:val="006A7BF9"/>
    <w:rsid w:val="006A7EE9"/>
    <w:rsid w:val="006B009C"/>
    <w:rsid w:val="006B14D7"/>
    <w:rsid w:val="006B18B2"/>
    <w:rsid w:val="006B2353"/>
    <w:rsid w:val="006B2548"/>
    <w:rsid w:val="006B298A"/>
    <w:rsid w:val="006B2B5B"/>
    <w:rsid w:val="006B3A2C"/>
    <w:rsid w:val="006B3E12"/>
    <w:rsid w:val="006B3E25"/>
    <w:rsid w:val="006B45DA"/>
    <w:rsid w:val="006B470D"/>
    <w:rsid w:val="006B4742"/>
    <w:rsid w:val="006B4B24"/>
    <w:rsid w:val="006B50E0"/>
    <w:rsid w:val="006B57F4"/>
    <w:rsid w:val="006B5808"/>
    <w:rsid w:val="006B65E8"/>
    <w:rsid w:val="006B65F1"/>
    <w:rsid w:val="006B66C1"/>
    <w:rsid w:val="006B7911"/>
    <w:rsid w:val="006C027A"/>
    <w:rsid w:val="006C06D5"/>
    <w:rsid w:val="006C14F0"/>
    <w:rsid w:val="006C15D0"/>
    <w:rsid w:val="006C173E"/>
    <w:rsid w:val="006C1ED9"/>
    <w:rsid w:val="006C27E2"/>
    <w:rsid w:val="006C2DB6"/>
    <w:rsid w:val="006C2E69"/>
    <w:rsid w:val="006C31E0"/>
    <w:rsid w:val="006C358A"/>
    <w:rsid w:val="006C423D"/>
    <w:rsid w:val="006C4F92"/>
    <w:rsid w:val="006C5090"/>
    <w:rsid w:val="006C5434"/>
    <w:rsid w:val="006C561E"/>
    <w:rsid w:val="006C5621"/>
    <w:rsid w:val="006C6004"/>
    <w:rsid w:val="006C60B5"/>
    <w:rsid w:val="006C641B"/>
    <w:rsid w:val="006C6879"/>
    <w:rsid w:val="006C6F2D"/>
    <w:rsid w:val="006C763E"/>
    <w:rsid w:val="006C7752"/>
    <w:rsid w:val="006C7860"/>
    <w:rsid w:val="006D0771"/>
    <w:rsid w:val="006D077B"/>
    <w:rsid w:val="006D1098"/>
    <w:rsid w:val="006D1CB0"/>
    <w:rsid w:val="006D1D19"/>
    <w:rsid w:val="006D1D26"/>
    <w:rsid w:val="006D1FF8"/>
    <w:rsid w:val="006D24FD"/>
    <w:rsid w:val="006D2C07"/>
    <w:rsid w:val="006D2EE9"/>
    <w:rsid w:val="006D3A81"/>
    <w:rsid w:val="006D3E2A"/>
    <w:rsid w:val="006D4A9C"/>
    <w:rsid w:val="006D57AD"/>
    <w:rsid w:val="006D58BF"/>
    <w:rsid w:val="006D5EC5"/>
    <w:rsid w:val="006D614A"/>
    <w:rsid w:val="006D66F5"/>
    <w:rsid w:val="006D68A8"/>
    <w:rsid w:val="006D7682"/>
    <w:rsid w:val="006D7A75"/>
    <w:rsid w:val="006E06E5"/>
    <w:rsid w:val="006E0A92"/>
    <w:rsid w:val="006E1371"/>
    <w:rsid w:val="006E1971"/>
    <w:rsid w:val="006E226F"/>
    <w:rsid w:val="006E30D5"/>
    <w:rsid w:val="006E385F"/>
    <w:rsid w:val="006E39A3"/>
    <w:rsid w:val="006E3FB1"/>
    <w:rsid w:val="006E4A7A"/>
    <w:rsid w:val="006E4B97"/>
    <w:rsid w:val="006E5381"/>
    <w:rsid w:val="006E553F"/>
    <w:rsid w:val="006E5AD4"/>
    <w:rsid w:val="006E5F39"/>
    <w:rsid w:val="006E60C3"/>
    <w:rsid w:val="006E62E8"/>
    <w:rsid w:val="006E66D8"/>
    <w:rsid w:val="006E6802"/>
    <w:rsid w:val="006E6A23"/>
    <w:rsid w:val="006E6AAA"/>
    <w:rsid w:val="006E6D6C"/>
    <w:rsid w:val="006E6E34"/>
    <w:rsid w:val="006E79A8"/>
    <w:rsid w:val="006E7CC1"/>
    <w:rsid w:val="006E7E4C"/>
    <w:rsid w:val="006F031F"/>
    <w:rsid w:val="006F0DD9"/>
    <w:rsid w:val="006F0EEF"/>
    <w:rsid w:val="006F128B"/>
    <w:rsid w:val="006F2125"/>
    <w:rsid w:val="006F2291"/>
    <w:rsid w:val="006F28B6"/>
    <w:rsid w:val="006F2B2E"/>
    <w:rsid w:val="006F366F"/>
    <w:rsid w:val="006F3757"/>
    <w:rsid w:val="006F3B47"/>
    <w:rsid w:val="006F4091"/>
    <w:rsid w:val="006F44E3"/>
    <w:rsid w:val="006F4FBE"/>
    <w:rsid w:val="006F5059"/>
    <w:rsid w:val="006F603A"/>
    <w:rsid w:val="006F6612"/>
    <w:rsid w:val="006F77B8"/>
    <w:rsid w:val="006F7F73"/>
    <w:rsid w:val="00700A9E"/>
    <w:rsid w:val="00700AA9"/>
    <w:rsid w:val="00700ACA"/>
    <w:rsid w:val="00700E0E"/>
    <w:rsid w:val="00701991"/>
    <w:rsid w:val="00701B3E"/>
    <w:rsid w:val="00701EBF"/>
    <w:rsid w:val="00702D3B"/>
    <w:rsid w:val="00704278"/>
    <w:rsid w:val="00704699"/>
    <w:rsid w:val="00704763"/>
    <w:rsid w:val="007048C4"/>
    <w:rsid w:val="00704CF9"/>
    <w:rsid w:val="00705063"/>
    <w:rsid w:val="00705989"/>
    <w:rsid w:val="00705AF1"/>
    <w:rsid w:val="00705F01"/>
    <w:rsid w:val="007062F4"/>
    <w:rsid w:val="007064CD"/>
    <w:rsid w:val="00706AB9"/>
    <w:rsid w:val="00707436"/>
    <w:rsid w:val="00707465"/>
    <w:rsid w:val="007079AE"/>
    <w:rsid w:val="007118AE"/>
    <w:rsid w:val="00711955"/>
    <w:rsid w:val="00711981"/>
    <w:rsid w:val="007120E4"/>
    <w:rsid w:val="0071212B"/>
    <w:rsid w:val="00712CFD"/>
    <w:rsid w:val="007130D5"/>
    <w:rsid w:val="0071318D"/>
    <w:rsid w:val="00713836"/>
    <w:rsid w:val="00714315"/>
    <w:rsid w:val="00714EAC"/>
    <w:rsid w:val="00714F64"/>
    <w:rsid w:val="00715952"/>
    <w:rsid w:val="00715B28"/>
    <w:rsid w:val="00716492"/>
    <w:rsid w:val="0071677F"/>
    <w:rsid w:val="00717A11"/>
    <w:rsid w:val="00720900"/>
    <w:rsid w:val="00721012"/>
    <w:rsid w:val="00721088"/>
    <w:rsid w:val="007215E0"/>
    <w:rsid w:val="007222EB"/>
    <w:rsid w:val="007224DE"/>
    <w:rsid w:val="007229D5"/>
    <w:rsid w:val="00722C4D"/>
    <w:rsid w:val="007236BA"/>
    <w:rsid w:val="00723A16"/>
    <w:rsid w:val="00723F0A"/>
    <w:rsid w:val="007247E8"/>
    <w:rsid w:val="00725610"/>
    <w:rsid w:val="0072569D"/>
    <w:rsid w:val="0072581C"/>
    <w:rsid w:val="007258CB"/>
    <w:rsid w:val="00725CCD"/>
    <w:rsid w:val="00725CF7"/>
    <w:rsid w:val="00725F54"/>
    <w:rsid w:val="00726973"/>
    <w:rsid w:val="00726DA8"/>
    <w:rsid w:val="00726FA3"/>
    <w:rsid w:val="007279FC"/>
    <w:rsid w:val="00727EFC"/>
    <w:rsid w:val="007300CE"/>
    <w:rsid w:val="0073030D"/>
    <w:rsid w:val="007306EE"/>
    <w:rsid w:val="00730CFD"/>
    <w:rsid w:val="007310E8"/>
    <w:rsid w:val="007318E8"/>
    <w:rsid w:val="00731A0A"/>
    <w:rsid w:val="0073307C"/>
    <w:rsid w:val="007333B3"/>
    <w:rsid w:val="00733CD8"/>
    <w:rsid w:val="00734983"/>
    <w:rsid w:val="00735CBE"/>
    <w:rsid w:val="0073733A"/>
    <w:rsid w:val="007373C1"/>
    <w:rsid w:val="0073744A"/>
    <w:rsid w:val="00737D8F"/>
    <w:rsid w:val="00737F39"/>
    <w:rsid w:val="00740725"/>
    <w:rsid w:val="00740B53"/>
    <w:rsid w:val="00740E12"/>
    <w:rsid w:val="00740F69"/>
    <w:rsid w:val="00741ACE"/>
    <w:rsid w:val="007426C6"/>
    <w:rsid w:val="00742983"/>
    <w:rsid w:val="00742B09"/>
    <w:rsid w:val="00742EAC"/>
    <w:rsid w:val="00742F67"/>
    <w:rsid w:val="00743C98"/>
    <w:rsid w:val="00743CE9"/>
    <w:rsid w:val="007440B0"/>
    <w:rsid w:val="00745C99"/>
    <w:rsid w:val="007461A9"/>
    <w:rsid w:val="007461EC"/>
    <w:rsid w:val="007463C4"/>
    <w:rsid w:val="00746742"/>
    <w:rsid w:val="00746C52"/>
    <w:rsid w:val="00746CDD"/>
    <w:rsid w:val="00747526"/>
    <w:rsid w:val="007478B7"/>
    <w:rsid w:val="00747CBB"/>
    <w:rsid w:val="00747DBF"/>
    <w:rsid w:val="0075039F"/>
    <w:rsid w:val="0075046E"/>
    <w:rsid w:val="00750E7B"/>
    <w:rsid w:val="00750F69"/>
    <w:rsid w:val="007511B9"/>
    <w:rsid w:val="007514F3"/>
    <w:rsid w:val="0075193A"/>
    <w:rsid w:val="007526D4"/>
    <w:rsid w:val="00752DA9"/>
    <w:rsid w:val="00752E1C"/>
    <w:rsid w:val="007530A9"/>
    <w:rsid w:val="0075332A"/>
    <w:rsid w:val="0075347D"/>
    <w:rsid w:val="00753697"/>
    <w:rsid w:val="007536C5"/>
    <w:rsid w:val="00753A59"/>
    <w:rsid w:val="00753AA8"/>
    <w:rsid w:val="00754529"/>
    <w:rsid w:val="007549C5"/>
    <w:rsid w:val="00754DB1"/>
    <w:rsid w:val="00755111"/>
    <w:rsid w:val="0075520F"/>
    <w:rsid w:val="00755C26"/>
    <w:rsid w:val="00755DED"/>
    <w:rsid w:val="0075617F"/>
    <w:rsid w:val="007561F8"/>
    <w:rsid w:val="00756686"/>
    <w:rsid w:val="00756AAF"/>
    <w:rsid w:val="00756ABE"/>
    <w:rsid w:val="00756F3F"/>
    <w:rsid w:val="00757B0D"/>
    <w:rsid w:val="00757E18"/>
    <w:rsid w:val="007605D4"/>
    <w:rsid w:val="007608F7"/>
    <w:rsid w:val="007612CA"/>
    <w:rsid w:val="00761519"/>
    <w:rsid w:val="00761720"/>
    <w:rsid w:val="0076193E"/>
    <w:rsid w:val="00762D0F"/>
    <w:rsid w:val="0076351A"/>
    <w:rsid w:val="007637B8"/>
    <w:rsid w:val="00763C42"/>
    <w:rsid w:val="00763D7C"/>
    <w:rsid w:val="00763EF4"/>
    <w:rsid w:val="0076408C"/>
    <w:rsid w:val="00764138"/>
    <w:rsid w:val="0076473E"/>
    <w:rsid w:val="0076481D"/>
    <w:rsid w:val="007649F1"/>
    <w:rsid w:val="00764B43"/>
    <w:rsid w:val="00765069"/>
    <w:rsid w:val="00765149"/>
    <w:rsid w:val="007656CC"/>
    <w:rsid w:val="0076582F"/>
    <w:rsid w:val="00765F35"/>
    <w:rsid w:val="00765FC0"/>
    <w:rsid w:val="00766131"/>
    <w:rsid w:val="00766334"/>
    <w:rsid w:val="007666E6"/>
    <w:rsid w:val="00766C22"/>
    <w:rsid w:val="007676B5"/>
    <w:rsid w:val="00767AFC"/>
    <w:rsid w:val="00770407"/>
    <w:rsid w:val="00770EBF"/>
    <w:rsid w:val="007713F5"/>
    <w:rsid w:val="0077143A"/>
    <w:rsid w:val="00771773"/>
    <w:rsid w:val="007724E8"/>
    <w:rsid w:val="00772D81"/>
    <w:rsid w:val="007730FB"/>
    <w:rsid w:val="0077359F"/>
    <w:rsid w:val="00773921"/>
    <w:rsid w:val="00773D75"/>
    <w:rsid w:val="007747B4"/>
    <w:rsid w:val="00774E8E"/>
    <w:rsid w:val="00775F9C"/>
    <w:rsid w:val="007769D3"/>
    <w:rsid w:val="00777066"/>
    <w:rsid w:val="00777404"/>
    <w:rsid w:val="00777AF6"/>
    <w:rsid w:val="00777ED4"/>
    <w:rsid w:val="007802BA"/>
    <w:rsid w:val="00780EFB"/>
    <w:rsid w:val="007810AB"/>
    <w:rsid w:val="00781800"/>
    <w:rsid w:val="00781B97"/>
    <w:rsid w:val="00782BA5"/>
    <w:rsid w:val="00782FA0"/>
    <w:rsid w:val="00783042"/>
    <w:rsid w:val="0078339F"/>
    <w:rsid w:val="00783ECC"/>
    <w:rsid w:val="00786245"/>
    <w:rsid w:val="00787C75"/>
    <w:rsid w:val="007902EB"/>
    <w:rsid w:val="00790B93"/>
    <w:rsid w:val="007910FA"/>
    <w:rsid w:val="0079111D"/>
    <w:rsid w:val="007920B8"/>
    <w:rsid w:val="0079230E"/>
    <w:rsid w:val="00792442"/>
    <w:rsid w:val="00792B5E"/>
    <w:rsid w:val="00792E91"/>
    <w:rsid w:val="00792F95"/>
    <w:rsid w:val="00793034"/>
    <w:rsid w:val="007931E7"/>
    <w:rsid w:val="00793814"/>
    <w:rsid w:val="00793BF5"/>
    <w:rsid w:val="00793FB8"/>
    <w:rsid w:val="00795487"/>
    <w:rsid w:val="00795582"/>
    <w:rsid w:val="00795E36"/>
    <w:rsid w:val="007962B7"/>
    <w:rsid w:val="0079689A"/>
    <w:rsid w:val="007A0E0B"/>
    <w:rsid w:val="007A1D94"/>
    <w:rsid w:val="007A1F62"/>
    <w:rsid w:val="007A3A65"/>
    <w:rsid w:val="007A3D95"/>
    <w:rsid w:val="007A46EF"/>
    <w:rsid w:val="007A4922"/>
    <w:rsid w:val="007A4B50"/>
    <w:rsid w:val="007A4FE0"/>
    <w:rsid w:val="007A5A2F"/>
    <w:rsid w:val="007A5AB1"/>
    <w:rsid w:val="007A5D25"/>
    <w:rsid w:val="007A5D74"/>
    <w:rsid w:val="007A5F1C"/>
    <w:rsid w:val="007A5F92"/>
    <w:rsid w:val="007A5FD5"/>
    <w:rsid w:val="007A60B7"/>
    <w:rsid w:val="007A61BF"/>
    <w:rsid w:val="007A68FE"/>
    <w:rsid w:val="007A69B3"/>
    <w:rsid w:val="007A6EF6"/>
    <w:rsid w:val="007A72D0"/>
    <w:rsid w:val="007A775E"/>
    <w:rsid w:val="007A7AEE"/>
    <w:rsid w:val="007A7BEA"/>
    <w:rsid w:val="007B0670"/>
    <w:rsid w:val="007B086B"/>
    <w:rsid w:val="007B1003"/>
    <w:rsid w:val="007B14C6"/>
    <w:rsid w:val="007B157B"/>
    <w:rsid w:val="007B1678"/>
    <w:rsid w:val="007B1A85"/>
    <w:rsid w:val="007B1B73"/>
    <w:rsid w:val="007B2E46"/>
    <w:rsid w:val="007B3059"/>
    <w:rsid w:val="007B31FB"/>
    <w:rsid w:val="007B33D9"/>
    <w:rsid w:val="007B449A"/>
    <w:rsid w:val="007B46BF"/>
    <w:rsid w:val="007B4B8D"/>
    <w:rsid w:val="007B4F0E"/>
    <w:rsid w:val="007B5087"/>
    <w:rsid w:val="007B5704"/>
    <w:rsid w:val="007B5868"/>
    <w:rsid w:val="007B5B08"/>
    <w:rsid w:val="007B5C46"/>
    <w:rsid w:val="007B5D1D"/>
    <w:rsid w:val="007B7154"/>
    <w:rsid w:val="007B7699"/>
    <w:rsid w:val="007B7D21"/>
    <w:rsid w:val="007B7FE3"/>
    <w:rsid w:val="007C11CE"/>
    <w:rsid w:val="007C1341"/>
    <w:rsid w:val="007C215B"/>
    <w:rsid w:val="007C2EDE"/>
    <w:rsid w:val="007C31A7"/>
    <w:rsid w:val="007C3EFA"/>
    <w:rsid w:val="007C3F32"/>
    <w:rsid w:val="007C3F5F"/>
    <w:rsid w:val="007C406A"/>
    <w:rsid w:val="007C40AB"/>
    <w:rsid w:val="007C4876"/>
    <w:rsid w:val="007C4CC0"/>
    <w:rsid w:val="007C6572"/>
    <w:rsid w:val="007C687C"/>
    <w:rsid w:val="007C6FCF"/>
    <w:rsid w:val="007C7459"/>
    <w:rsid w:val="007C7510"/>
    <w:rsid w:val="007C7726"/>
    <w:rsid w:val="007D00D5"/>
    <w:rsid w:val="007D082C"/>
    <w:rsid w:val="007D0924"/>
    <w:rsid w:val="007D1B8A"/>
    <w:rsid w:val="007D1FD4"/>
    <w:rsid w:val="007D2831"/>
    <w:rsid w:val="007D2DDB"/>
    <w:rsid w:val="007D3217"/>
    <w:rsid w:val="007D3570"/>
    <w:rsid w:val="007D359A"/>
    <w:rsid w:val="007D3DB1"/>
    <w:rsid w:val="007D4271"/>
    <w:rsid w:val="007D42AA"/>
    <w:rsid w:val="007D4872"/>
    <w:rsid w:val="007D4E7F"/>
    <w:rsid w:val="007D533D"/>
    <w:rsid w:val="007D56F2"/>
    <w:rsid w:val="007D58C0"/>
    <w:rsid w:val="007D5FEC"/>
    <w:rsid w:val="007D6858"/>
    <w:rsid w:val="007D69D3"/>
    <w:rsid w:val="007D6B85"/>
    <w:rsid w:val="007D6DB4"/>
    <w:rsid w:val="007D72CF"/>
    <w:rsid w:val="007E1029"/>
    <w:rsid w:val="007E18EA"/>
    <w:rsid w:val="007E194A"/>
    <w:rsid w:val="007E1A46"/>
    <w:rsid w:val="007E367B"/>
    <w:rsid w:val="007E3712"/>
    <w:rsid w:val="007E3834"/>
    <w:rsid w:val="007E3A24"/>
    <w:rsid w:val="007E3C85"/>
    <w:rsid w:val="007E3E31"/>
    <w:rsid w:val="007E4B3F"/>
    <w:rsid w:val="007E5046"/>
    <w:rsid w:val="007E56BF"/>
    <w:rsid w:val="007E5D02"/>
    <w:rsid w:val="007E5E4A"/>
    <w:rsid w:val="007E63BF"/>
    <w:rsid w:val="007E6509"/>
    <w:rsid w:val="007E6AAE"/>
    <w:rsid w:val="007E6D91"/>
    <w:rsid w:val="007E70DD"/>
    <w:rsid w:val="007E7136"/>
    <w:rsid w:val="007E7410"/>
    <w:rsid w:val="007E75E0"/>
    <w:rsid w:val="007E7EF7"/>
    <w:rsid w:val="007E7F3B"/>
    <w:rsid w:val="007F0AF7"/>
    <w:rsid w:val="007F0CFF"/>
    <w:rsid w:val="007F0D5F"/>
    <w:rsid w:val="007F17C9"/>
    <w:rsid w:val="007F18A0"/>
    <w:rsid w:val="007F1D79"/>
    <w:rsid w:val="007F21FF"/>
    <w:rsid w:val="007F2361"/>
    <w:rsid w:val="007F23E7"/>
    <w:rsid w:val="007F297B"/>
    <w:rsid w:val="007F34D9"/>
    <w:rsid w:val="007F3975"/>
    <w:rsid w:val="007F3C00"/>
    <w:rsid w:val="007F4686"/>
    <w:rsid w:val="007F55AE"/>
    <w:rsid w:val="007F5AC5"/>
    <w:rsid w:val="007F5B94"/>
    <w:rsid w:val="007F5EDC"/>
    <w:rsid w:val="007F660C"/>
    <w:rsid w:val="007F671B"/>
    <w:rsid w:val="007F73EA"/>
    <w:rsid w:val="007F79A0"/>
    <w:rsid w:val="0080021F"/>
    <w:rsid w:val="00800C2F"/>
    <w:rsid w:val="00800D50"/>
    <w:rsid w:val="008011F5"/>
    <w:rsid w:val="00801A7B"/>
    <w:rsid w:val="00801A9E"/>
    <w:rsid w:val="008023D6"/>
    <w:rsid w:val="00802491"/>
    <w:rsid w:val="00802A7D"/>
    <w:rsid w:val="008039D7"/>
    <w:rsid w:val="00804E2F"/>
    <w:rsid w:val="00805732"/>
    <w:rsid w:val="00805C02"/>
    <w:rsid w:val="00805F45"/>
    <w:rsid w:val="00806555"/>
    <w:rsid w:val="008065AB"/>
    <w:rsid w:val="008067EE"/>
    <w:rsid w:val="0080710C"/>
    <w:rsid w:val="008071E5"/>
    <w:rsid w:val="0080732B"/>
    <w:rsid w:val="0080774B"/>
    <w:rsid w:val="00807A85"/>
    <w:rsid w:val="00807AB0"/>
    <w:rsid w:val="00807BD2"/>
    <w:rsid w:val="00807C6F"/>
    <w:rsid w:val="00807C83"/>
    <w:rsid w:val="00810200"/>
    <w:rsid w:val="00810270"/>
    <w:rsid w:val="00810752"/>
    <w:rsid w:val="00810DA9"/>
    <w:rsid w:val="00810EF3"/>
    <w:rsid w:val="0081158F"/>
    <w:rsid w:val="00811D11"/>
    <w:rsid w:val="00811E9B"/>
    <w:rsid w:val="008121CA"/>
    <w:rsid w:val="00812807"/>
    <w:rsid w:val="008133C3"/>
    <w:rsid w:val="00813B3E"/>
    <w:rsid w:val="00813D25"/>
    <w:rsid w:val="00814B11"/>
    <w:rsid w:val="0081507B"/>
    <w:rsid w:val="008152F9"/>
    <w:rsid w:val="00815513"/>
    <w:rsid w:val="00815601"/>
    <w:rsid w:val="0081648B"/>
    <w:rsid w:val="008168A4"/>
    <w:rsid w:val="00817613"/>
    <w:rsid w:val="0081782B"/>
    <w:rsid w:val="00817A92"/>
    <w:rsid w:val="00817D75"/>
    <w:rsid w:val="00820C7A"/>
    <w:rsid w:val="00820ED4"/>
    <w:rsid w:val="008212BE"/>
    <w:rsid w:val="008219C4"/>
    <w:rsid w:val="00821B00"/>
    <w:rsid w:val="00821BCC"/>
    <w:rsid w:val="00821C90"/>
    <w:rsid w:val="00821FFC"/>
    <w:rsid w:val="008224A0"/>
    <w:rsid w:val="00822D47"/>
    <w:rsid w:val="008236F5"/>
    <w:rsid w:val="00823725"/>
    <w:rsid w:val="00823B05"/>
    <w:rsid w:val="00823BB9"/>
    <w:rsid w:val="00823F45"/>
    <w:rsid w:val="00824833"/>
    <w:rsid w:val="00824C3E"/>
    <w:rsid w:val="00824F51"/>
    <w:rsid w:val="00825010"/>
    <w:rsid w:val="0082503C"/>
    <w:rsid w:val="008250ED"/>
    <w:rsid w:val="00825369"/>
    <w:rsid w:val="00825A74"/>
    <w:rsid w:val="00826035"/>
    <w:rsid w:val="00826861"/>
    <w:rsid w:val="00826C30"/>
    <w:rsid w:val="008270B5"/>
    <w:rsid w:val="00827241"/>
    <w:rsid w:val="00827627"/>
    <w:rsid w:val="00827CA2"/>
    <w:rsid w:val="00827EB7"/>
    <w:rsid w:val="00827FF5"/>
    <w:rsid w:val="00832580"/>
    <w:rsid w:val="00832D43"/>
    <w:rsid w:val="00832D85"/>
    <w:rsid w:val="0083449F"/>
    <w:rsid w:val="00834512"/>
    <w:rsid w:val="00834A65"/>
    <w:rsid w:val="00834D5D"/>
    <w:rsid w:val="00834E6C"/>
    <w:rsid w:val="0083521B"/>
    <w:rsid w:val="0083535F"/>
    <w:rsid w:val="008377F9"/>
    <w:rsid w:val="00837F0A"/>
    <w:rsid w:val="00840801"/>
    <w:rsid w:val="00840809"/>
    <w:rsid w:val="00840B33"/>
    <w:rsid w:val="00841082"/>
    <w:rsid w:val="0084158E"/>
    <w:rsid w:val="0084163B"/>
    <w:rsid w:val="00841FA1"/>
    <w:rsid w:val="00842F9C"/>
    <w:rsid w:val="008430D9"/>
    <w:rsid w:val="00843322"/>
    <w:rsid w:val="00844453"/>
    <w:rsid w:val="00844467"/>
    <w:rsid w:val="00845254"/>
    <w:rsid w:val="00845D3B"/>
    <w:rsid w:val="008465DA"/>
    <w:rsid w:val="00847461"/>
    <w:rsid w:val="00847C6F"/>
    <w:rsid w:val="008500DD"/>
    <w:rsid w:val="00851229"/>
    <w:rsid w:val="00852FEF"/>
    <w:rsid w:val="0085366D"/>
    <w:rsid w:val="00853913"/>
    <w:rsid w:val="00854C3A"/>
    <w:rsid w:val="00855284"/>
    <w:rsid w:val="00855551"/>
    <w:rsid w:val="00855BF1"/>
    <w:rsid w:val="00855DCB"/>
    <w:rsid w:val="00855F25"/>
    <w:rsid w:val="00856002"/>
    <w:rsid w:val="008560E2"/>
    <w:rsid w:val="00856588"/>
    <w:rsid w:val="00857253"/>
    <w:rsid w:val="00857284"/>
    <w:rsid w:val="00857304"/>
    <w:rsid w:val="00857395"/>
    <w:rsid w:val="008576B8"/>
    <w:rsid w:val="008579BD"/>
    <w:rsid w:val="00857B46"/>
    <w:rsid w:val="00860073"/>
    <w:rsid w:val="008603BC"/>
    <w:rsid w:val="00860D3C"/>
    <w:rsid w:val="00861421"/>
    <w:rsid w:val="0086181B"/>
    <w:rsid w:val="008620FA"/>
    <w:rsid w:val="0086378C"/>
    <w:rsid w:val="00863D20"/>
    <w:rsid w:val="00863FC9"/>
    <w:rsid w:val="008646B7"/>
    <w:rsid w:val="00864A9F"/>
    <w:rsid w:val="00864F7B"/>
    <w:rsid w:val="00867E40"/>
    <w:rsid w:val="00867E55"/>
    <w:rsid w:val="0087000A"/>
    <w:rsid w:val="00870D31"/>
    <w:rsid w:val="00871165"/>
    <w:rsid w:val="00871252"/>
    <w:rsid w:val="008719EE"/>
    <w:rsid w:val="00871F2C"/>
    <w:rsid w:val="00872330"/>
    <w:rsid w:val="0087247D"/>
    <w:rsid w:val="0087260F"/>
    <w:rsid w:val="0087276E"/>
    <w:rsid w:val="00872B75"/>
    <w:rsid w:val="00872F6D"/>
    <w:rsid w:val="00873274"/>
    <w:rsid w:val="0087346D"/>
    <w:rsid w:val="00873E1C"/>
    <w:rsid w:val="008742EC"/>
    <w:rsid w:val="0087492B"/>
    <w:rsid w:val="00874F90"/>
    <w:rsid w:val="008752A6"/>
    <w:rsid w:val="00875327"/>
    <w:rsid w:val="0087593A"/>
    <w:rsid w:val="00875983"/>
    <w:rsid w:val="00876143"/>
    <w:rsid w:val="008762B8"/>
    <w:rsid w:val="008764AB"/>
    <w:rsid w:val="008768CA"/>
    <w:rsid w:val="00876A06"/>
    <w:rsid w:val="00876C27"/>
    <w:rsid w:val="00876D72"/>
    <w:rsid w:val="00876EDF"/>
    <w:rsid w:val="008775B3"/>
    <w:rsid w:val="0087764D"/>
    <w:rsid w:val="00877C06"/>
    <w:rsid w:val="00877D87"/>
    <w:rsid w:val="00880964"/>
    <w:rsid w:val="008816E2"/>
    <w:rsid w:val="00881811"/>
    <w:rsid w:val="00881865"/>
    <w:rsid w:val="00881F0C"/>
    <w:rsid w:val="00881F21"/>
    <w:rsid w:val="008828A8"/>
    <w:rsid w:val="00882CAA"/>
    <w:rsid w:val="00883AC6"/>
    <w:rsid w:val="008840D3"/>
    <w:rsid w:val="008844C5"/>
    <w:rsid w:val="008845D0"/>
    <w:rsid w:val="008859A4"/>
    <w:rsid w:val="00885A8B"/>
    <w:rsid w:val="008869A9"/>
    <w:rsid w:val="00886C3E"/>
    <w:rsid w:val="00886C71"/>
    <w:rsid w:val="00886F08"/>
    <w:rsid w:val="00887062"/>
    <w:rsid w:val="008871F1"/>
    <w:rsid w:val="00887420"/>
    <w:rsid w:val="0088749F"/>
    <w:rsid w:val="00887538"/>
    <w:rsid w:val="00887AB4"/>
    <w:rsid w:val="00887EB2"/>
    <w:rsid w:val="0089022F"/>
    <w:rsid w:val="00890613"/>
    <w:rsid w:val="00891084"/>
    <w:rsid w:val="00891746"/>
    <w:rsid w:val="00892F1F"/>
    <w:rsid w:val="00892F8C"/>
    <w:rsid w:val="008936DC"/>
    <w:rsid w:val="008938CA"/>
    <w:rsid w:val="00893CDE"/>
    <w:rsid w:val="00895051"/>
    <w:rsid w:val="0089585F"/>
    <w:rsid w:val="00895AAD"/>
    <w:rsid w:val="00895E2F"/>
    <w:rsid w:val="0089628C"/>
    <w:rsid w:val="00896869"/>
    <w:rsid w:val="00896F76"/>
    <w:rsid w:val="00897F4A"/>
    <w:rsid w:val="00897F6B"/>
    <w:rsid w:val="008A06CC"/>
    <w:rsid w:val="008A0CC7"/>
    <w:rsid w:val="008A12A6"/>
    <w:rsid w:val="008A135E"/>
    <w:rsid w:val="008A16A3"/>
    <w:rsid w:val="008A1712"/>
    <w:rsid w:val="008A1B9A"/>
    <w:rsid w:val="008A2A0B"/>
    <w:rsid w:val="008A3632"/>
    <w:rsid w:val="008A3F22"/>
    <w:rsid w:val="008A467A"/>
    <w:rsid w:val="008A470D"/>
    <w:rsid w:val="008A50DD"/>
    <w:rsid w:val="008A55AF"/>
    <w:rsid w:val="008A56D7"/>
    <w:rsid w:val="008A581E"/>
    <w:rsid w:val="008A5821"/>
    <w:rsid w:val="008A615F"/>
    <w:rsid w:val="008A65C2"/>
    <w:rsid w:val="008A676F"/>
    <w:rsid w:val="008A6AF6"/>
    <w:rsid w:val="008A6D1D"/>
    <w:rsid w:val="008A7148"/>
    <w:rsid w:val="008A75AE"/>
    <w:rsid w:val="008B07DC"/>
    <w:rsid w:val="008B0D21"/>
    <w:rsid w:val="008B14FB"/>
    <w:rsid w:val="008B192A"/>
    <w:rsid w:val="008B26EB"/>
    <w:rsid w:val="008B28A6"/>
    <w:rsid w:val="008B2AD1"/>
    <w:rsid w:val="008B2C7D"/>
    <w:rsid w:val="008B2D47"/>
    <w:rsid w:val="008B39A6"/>
    <w:rsid w:val="008B3B15"/>
    <w:rsid w:val="008B3DC6"/>
    <w:rsid w:val="008B4451"/>
    <w:rsid w:val="008B4AF9"/>
    <w:rsid w:val="008B5E87"/>
    <w:rsid w:val="008B621A"/>
    <w:rsid w:val="008B6D7C"/>
    <w:rsid w:val="008B6DCB"/>
    <w:rsid w:val="008B743F"/>
    <w:rsid w:val="008B7ACF"/>
    <w:rsid w:val="008B7CAC"/>
    <w:rsid w:val="008C04A8"/>
    <w:rsid w:val="008C066E"/>
    <w:rsid w:val="008C0A86"/>
    <w:rsid w:val="008C0D04"/>
    <w:rsid w:val="008C14EE"/>
    <w:rsid w:val="008C178C"/>
    <w:rsid w:val="008C17E2"/>
    <w:rsid w:val="008C226E"/>
    <w:rsid w:val="008C22AE"/>
    <w:rsid w:val="008C3003"/>
    <w:rsid w:val="008C36DF"/>
    <w:rsid w:val="008C38B5"/>
    <w:rsid w:val="008C3E6D"/>
    <w:rsid w:val="008C4805"/>
    <w:rsid w:val="008C49C1"/>
    <w:rsid w:val="008C4C0E"/>
    <w:rsid w:val="008C4EFB"/>
    <w:rsid w:val="008C531E"/>
    <w:rsid w:val="008C5667"/>
    <w:rsid w:val="008C6D8D"/>
    <w:rsid w:val="008C71E5"/>
    <w:rsid w:val="008C7524"/>
    <w:rsid w:val="008C759F"/>
    <w:rsid w:val="008D0035"/>
    <w:rsid w:val="008D0A81"/>
    <w:rsid w:val="008D0EA1"/>
    <w:rsid w:val="008D22B7"/>
    <w:rsid w:val="008D2654"/>
    <w:rsid w:val="008D2A5F"/>
    <w:rsid w:val="008D3286"/>
    <w:rsid w:val="008D34B8"/>
    <w:rsid w:val="008D35CC"/>
    <w:rsid w:val="008D3C94"/>
    <w:rsid w:val="008D3CC9"/>
    <w:rsid w:val="008D53B1"/>
    <w:rsid w:val="008D5FE3"/>
    <w:rsid w:val="008D6C2D"/>
    <w:rsid w:val="008D7799"/>
    <w:rsid w:val="008D7A9C"/>
    <w:rsid w:val="008E05EE"/>
    <w:rsid w:val="008E09E8"/>
    <w:rsid w:val="008E0C36"/>
    <w:rsid w:val="008E0D27"/>
    <w:rsid w:val="008E0DC6"/>
    <w:rsid w:val="008E17D1"/>
    <w:rsid w:val="008E2512"/>
    <w:rsid w:val="008E2EEE"/>
    <w:rsid w:val="008E3114"/>
    <w:rsid w:val="008E3975"/>
    <w:rsid w:val="008E3991"/>
    <w:rsid w:val="008E49E2"/>
    <w:rsid w:val="008E512E"/>
    <w:rsid w:val="008E54B7"/>
    <w:rsid w:val="008E6C1F"/>
    <w:rsid w:val="008E7023"/>
    <w:rsid w:val="008E74AD"/>
    <w:rsid w:val="008E7D76"/>
    <w:rsid w:val="008F059A"/>
    <w:rsid w:val="008F108C"/>
    <w:rsid w:val="008F1707"/>
    <w:rsid w:val="008F1CEB"/>
    <w:rsid w:val="008F237F"/>
    <w:rsid w:val="008F25D3"/>
    <w:rsid w:val="008F2641"/>
    <w:rsid w:val="008F27CA"/>
    <w:rsid w:val="008F2A6E"/>
    <w:rsid w:val="008F2A85"/>
    <w:rsid w:val="008F3975"/>
    <w:rsid w:val="008F3C53"/>
    <w:rsid w:val="008F4D90"/>
    <w:rsid w:val="008F52BA"/>
    <w:rsid w:val="008F66D5"/>
    <w:rsid w:val="008F6943"/>
    <w:rsid w:val="008F7CBE"/>
    <w:rsid w:val="00900D06"/>
    <w:rsid w:val="009010A2"/>
    <w:rsid w:val="00901205"/>
    <w:rsid w:val="0090229C"/>
    <w:rsid w:val="00902AA9"/>
    <w:rsid w:val="00902F64"/>
    <w:rsid w:val="00904417"/>
    <w:rsid w:val="00904463"/>
    <w:rsid w:val="00904A74"/>
    <w:rsid w:val="00904CCB"/>
    <w:rsid w:val="00904D6D"/>
    <w:rsid w:val="00904FAB"/>
    <w:rsid w:val="00905173"/>
    <w:rsid w:val="0090519C"/>
    <w:rsid w:val="009055EC"/>
    <w:rsid w:val="0090578B"/>
    <w:rsid w:val="00905934"/>
    <w:rsid w:val="00906352"/>
    <w:rsid w:val="009067F3"/>
    <w:rsid w:val="00906A90"/>
    <w:rsid w:val="00906C3D"/>
    <w:rsid w:val="00906FA2"/>
    <w:rsid w:val="00907193"/>
    <w:rsid w:val="00907206"/>
    <w:rsid w:val="00907590"/>
    <w:rsid w:val="00907678"/>
    <w:rsid w:val="00910321"/>
    <w:rsid w:val="0091082D"/>
    <w:rsid w:val="00910C3F"/>
    <w:rsid w:val="00910DAD"/>
    <w:rsid w:val="00911052"/>
    <w:rsid w:val="00911F3E"/>
    <w:rsid w:val="0091246C"/>
    <w:rsid w:val="009126D7"/>
    <w:rsid w:val="009136CD"/>
    <w:rsid w:val="00913866"/>
    <w:rsid w:val="00913AC1"/>
    <w:rsid w:val="009140C6"/>
    <w:rsid w:val="00914298"/>
    <w:rsid w:val="009144A1"/>
    <w:rsid w:val="00914778"/>
    <w:rsid w:val="009149F6"/>
    <w:rsid w:val="009154D1"/>
    <w:rsid w:val="009154D6"/>
    <w:rsid w:val="0091551E"/>
    <w:rsid w:val="00915FE3"/>
    <w:rsid w:val="00915FED"/>
    <w:rsid w:val="00916243"/>
    <w:rsid w:val="00916C5C"/>
    <w:rsid w:val="00916F11"/>
    <w:rsid w:val="00917AE3"/>
    <w:rsid w:val="00917F41"/>
    <w:rsid w:val="00920364"/>
    <w:rsid w:val="00920BCE"/>
    <w:rsid w:val="00921BB1"/>
    <w:rsid w:val="00921E10"/>
    <w:rsid w:val="0092211D"/>
    <w:rsid w:val="009221FA"/>
    <w:rsid w:val="00922243"/>
    <w:rsid w:val="00922283"/>
    <w:rsid w:val="009226A0"/>
    <w:rsid w:val="00922BF5"/>
    <w:rsid w:val="009230A2"/>
    <w:rsid w:val="00923BDF"/>
    <w:rsid w:val="00923CD7"/>
    <w:rsid w:val="009249DA"/>
    <w:rsid w:val="00924BED"/>
    <w:rsid w:val="00924C98"/>
    <w:rsid w:val="00925129"/>
    <w:rsid w:val="00925773"/>
    <w:rsid w:val="009265EE"/>
    <w:rsid w:val="00926890"/>
    <w:rsid w:val="009268BD"/>
    <w:rsid w:val="00926A22"/>
    <w:rsid w:val="00927241"/>
    <w:rsid w:val="009279C4"/>
    <w:rsid w:val="00927F9F"/>
    <w:rsid w:val="00930DD9"/>
    <w:rsid w:val="009311AE"/>
    <w:rsid w:val="00931D0E"/>
    <w:rsid w:val="00931DBA"/>
    <w:rsid w:val="00931F41"/>
    <w:rsid w:val="00932355"/>
    <w:rsid w:val="009329B6"/>
    <w:rsid w:val="00932C52"/>
    <w:rsid w:val="00933568"/>
    <w:rsid w:val="00933DCD"/>
    <w:rsid w:val="0093417C"/>
    <w:rsid w:val="00934303"/>
    <w:rsid w:val="00934372"/>
    <w:rsid w:val="0093479B"/>
    <w:rsid w:val="0093496F"/>
    <w:rsid w:val="009350A8"/>
    <w:rsid w:val="00935B40"/>
    <w:rsid w:val="00936632"/>
    <w:rsid w:val="0093677A"/>
    <w:rsid w:val="00936901"/>
    <w:rsid w:val="009372BA"/>
    <w:rsid w:val="0093749B"/>
    <w:rsid w:val="00937B16"/>
    <w:rsid w:val="009401E9"/>
    <w:rsid w:val="00940750"/>
    <w:rsid w:val="00940A95"/>
    <w:rsid w:val="00940C12"/>
    <w:rsid w:val="00940E1C"/>
    <w:rsid w:val="00941494"/>
    <w:rsid w:val="009421EE"/>
    <w:rsid w:val="009426C1"/>
    <w:rsid w:val="00942971"/>
    <w:rsid w:val="00944033"/>
    <w:rsid w:val="00944422"/>
    <w:rsid w:val="00944558"/>
    <w:rsid w:val="009448BD"/>
    <w:rsid w:val="0094594B"/>
    <w:rsid w:val="00945B6B"/>
    <w:rsid w:val="00945E15"/>
    <w:rsid w:val="00945FD9"/>
    <w:rsid w:val="00946504"/>
    <w:rsid w:val="009466DE"/>
    <w:rsid w:val="009467AD"/>
    <w:rsid w:val="009469CE"/>
    <w:rsid w:val="009470AB"/>
    <w:rsid w:val="009470D6"/>
    <w:rsid w:val="00947AD0"/>
    <w:rsid w:val="00947BCA"/>
    <w:rsid w:val="00947D05"/>
    <w:rsid w:val="009502A7"/>
    <w:rsid w:val="00950490"/>
    <w:rsid w:val="0095224C"/>
    <w:rsid w:val="009522B0"/>
    <w:rsid w:val="00952969"/>
    <w:rsid w:val="00953629"/>
    <w:rsid w:val="00953F19"/>
    <w:rsid w:val="00955183"/>
    <w:rsid w:val="00955A31"/>
    <w:rsid w:val="009563E3"/>
    <w:rsid w:val="009563F4"/>
    <w:rsid w:val="0095670B"/>
    <w:rsid w:val="0095696A"/>
    <w:rsid w:val="00956BBF"/>
    <w:rsid w:val="00957C38"/>
    <w:rsid w:val="00960557"/>
    <w:rsid w:val="009607BC"/>
    <w:rsid w:val="00960938"/>
    <w:rsid w:val="00960BEE"/>
    <w:rsid w:val="00961219"/>
    <w:rsid w:val="009616E9"/>
    <w:rsid w:val="00961D5A"/>
    <w:rsid w:val="00962116"/>
    <w:rsid w:val="00962E9A"/>
    <w:rsid w:val="0096375F"/>
    <w:rsid w:val="00963995"/>
    <w:rsid w:val="0096435C"/>
    <w:rsid w:val="00964586"/>
    <w:rsid w:val="00964969"/>
    <w:rsid w:val="00964BFC"/>
    <w:rsid w:val="00964C7D"/>
    <w:rsid w:val="00964DC3"/>
    <w:rsid w:val="009650BA"/>
    <w:rsid w:val="009652DC"/>
    <w:rsid w:val="00965727"/>
    <w:rsid w:val="009659D3"/>
    <w:rsid w:val="00966837"/>
    <w:rsid w:val="00966AA9"/>
    <w:rsid w:val="00966ED6"/>
    <w:rsid w:val="009672B4"/>
    <w:rsid w:val="00967688"/>
    <w:rsid w:val="00970153"/>
    <w:rsid w:val="00970347"/>
    <w:rsid w:val="00970A39"/>
    <w:rsid w:val="00970AA5"/>
    <w:rsid w:val="00971A70"/>
    <w:rsid w:val="0097253A"/>
    <w:rsid w:val="00972940"/>
    <w:rsid w:val="00972DF5"/>
    <w:rsid w:val="00972FF9"/>
    <w:rsid w:val="009743C2"/>
    <w:rsid w:val="0097494D"/>
    <w:rsid w:val="00974988"/>
    <w:rsid w:val="0097501F"/>
    <w:rsid w:val="0097588B"/>
    <w:rsid w:val="00976073"/>
    <w:rsid w:val="00976086"/>
    <w:rsid w:val="009762AD"/>
    <w:rsid w:val="00976305"/>
    <w:rsid w:val="00976DED"/>
    <w:rsid w:val="00976F26"/>
    <w:rsid w:val="00977C37"/>
    <w:rsid w:val="00977D94"/>
    <w:rsid w:val="009804DA"/>
    <w:rsid w:val="009805F6"/>
    <w:rsid w:val="0098114D"/>
    <w:rsid w:val="009820B6"/>
    <w:rsid w:val="00982387"/>
    <w:rsid w:val="009836BC"/>
    <w:rsid w:val="00983B16"/>
    <w:rsid w:val="00983C16"/>
    <w:rsid w:val="00983F1B"/>
    <w:rsid w:val="009840F6"/>
    <w:rsid w:val="009847B7"/>
    <w:rsid w:val="0098559F"/>
    <w:rsid w:val="0098577E"/>
    <w:rsid w:val="00985EE4"/>
    <w:rsid w:val="00986531"/>
    <w:rsid w:val="00986698"/>
    <w:rsid w:val="009866E3"/>
    <w:rsid w:val="00986F6B"/>
    <w:rsid w:val="00987341"/>
    <w:rsid w:val="00990132"/>
    <w:rsid w:val="009901F5"/>
    <w:rsid w:val="0099139A"/>
    <w:rsid w:val="0099139E"/>
    <w:rsid w:val="00991786"/>
    <w:rsid w:val="00991AF7"/>
    <w:rsid w:val="00992151"/>
    <w:rsid w:val="00992192"/>
    <w:rsid w:val="00992312"/>
    <w:rsid w:val="009926B3"/>
    <w:rsid w:val="0099274C"/>
    <w:rsid w:val="00992DD9"/>
    <w:rsid w:val="009932A7"/>
    <w:rsid w:val="00993674"/>
    <w:rsid w:val="00993723"/>
    <w:rsid w:val="00993796"/>
    <w:rsid w:val="00993876"/>
    <w:rsid w:val="00993BC6"/>
    <w:rsid w:val="00993C06"/>
    <w:rsid w:val="00995913"/>
    <w:rsid w:val="00996197"/>
    <w:rsid w:val="009965E6"/>
    <w:rsid w:val="00997074"/>
    <w:rsid w:val="009973CA"/>
    <w:rsid w:val="00997F6E"/>
    <w:rsid w:val="009A0255"/>
    <w:rsid w:val="009A0294"/>
    <w:rsid w:val="009A0539"/>
    <w:rsid w:val="009A0723"/>
    <w:rsid w:val="009A0C68"/>
    <w:rsid w:val="009A0D80"/>
    <w:rsid w:val="009A1A2F"/>
    <w:rsid w:val="009A1A65"/>
    <w:rsid w:val="009A23D8"/>
    <w:rsid w:val="009A2848"/>
    <w:rsid w:val="009A371A"/>
    <w:rsid w:val="009A446F"/>
    <w:rsid w:val="009A49F8"/>
    <w:rsid w:val="009A4CB2"/>
    <w:rsid w:val="009A5738"/>
    <w:rsid w:val="009A6289"/>
    <w:rsid w:val="009A6589"/>
    <w:rsid w:val="009A7035"/>
    <w:rsid w:val="009A7E90"/>
    <w:rsid w:val="009B009F"/>
    <w:rsid w:val="009B10B6"/>
    <w:rsid w:val="009B10C9"/>
    <w:rsid w:val="009B1497"/>
    <w:rsid w:val="009B33CD"/>
    <w:rsid w:val="009B365A"/>
    <w:rsid w:val="009B37DA"/>
    <w:rsid w:val="009B39F0"/>
    <w:rsid w:val="009B40D5"/>
    <w:rsid w:val="009B441B"/>
    <w:rsid w:val="009B48FC"/>
    <w:rsid w:val="009B58DF"/>
    <w:rsid w:val="009B5BD5"/>
    <w:rsid w:val="009B6410"/>
    <w:rsid w:val="009B6707"/>
    <w:rsid w:val="009B6A3D"/>
    <w:rsid w:val="009B6FAD"/>
    <w:rsid w:val="009B6FCA"/>
    <w:rsid w:val="009B702F"/>
    <w:rsid w:val="009B7CE7"/>
    <w:rsid w:val="009C0057"/>
    <w:rsid w:val="009C0A99"/>
    <w:rsid w:val="009C0C5D"/>
    <w:rsid w:val="009C0CFF"/>
    <w:rsid w:val="009C0F9C"/>
    <w:rsid w:val="009C166B"/>
    <w:rsid w:val="009C1826"/>
    <w:rsid w:val="009C1A80"/>
    <w:rsid w:val="009C1B0E"/>
    <w:rsid w:val="009C20A1"/>
    <w:rsid w:val="009C20D0"/>
    <w:rsid w:val="009C21D0"/>
    <w:rsid w:val="009C23F5"/>
    <w:rsid w:val="009C2FA5"/>
    <w:rsid w:val="009C301E"/>
    <w:rsid w:val="009C336E"/>
    <w:rsid w:val="009C3D16"/>
    <w:rsid w:val="009C543F"/>
    <w:rsid w:val="009C5F93"/>
    <w:rsid w:val="009C6148"/>
    <w:rsid w:val="009C6197"/>
    <w:rsid w:val="009C61D9"/>
    <w:rsid w:val="009C71D0"/>
    <w:rsid w:val="009C72FA"/>
    <w:rsid w:val="009C7649"/>
    <w:rsid w:val="009C77F5"/>
    <w:rsid w:val="009C78D7"/>
    <w:rsid w:val="009D0238"/>
    <w:rsid w:val="009D0411"/>
    <w:rsid w:val="009D0467"/>
    <w:rsid w:val="009D0D2E"/>
    <w:rsid w:val="009D0F5D"/>
    <w:rsid w:val="009D0FCB"/>
    <w:rsid w:val="009D13ED"/>
    <w:rsid w:val="009D15BC"/>
    <w:rsid w:val="009D1AB4"/>
    <w:rsid w:val="009D1E55"/>
    <w:rsid w:val="009D1F7B"/>
    <w:rsid w:val="009D2381"/>
    <w:rsid w:val="009D28E2"/>
    <w:rsid w:val="009D2A58"/>
    <w:rsid w:val="009D2F22"/>
    <w:rsid w:val="009D3224"/>
    <w:rsid w:val="009D32A5"/>
    <w:rsid w:val="009D347A"/>
    <w:rsid w:val="009D3505"/>
    <w:rsid w:val="009D3601"/>
    <w:rsid w:val="009D3BC1"/>
    <w:rsid w:val="009D445B"/>
    <w:rsid w:val="009D4AF2"/>
    <w:rsid w:val="009D50A5"/>
    <w:rsid w:val="009D5314"/>
    <w:rsid w:val="009D533F"/>
    <w:rsid w:val="009D62B5"/>
    <w:rsid w:val="009D6843"/>
    <w:rsid w:val="009D706F"/>
    <w:rsid w:val="009D7915"/>
    <w:rsid w:val="009D7A30"/>
    <w:rsid w:val="009E065E"/>
    <w:rsid w:val="009E07C5"/>
    <w:rsid w:val="009E0B39"/>
    <w:rsid w:val="009E1104"/>
    <w:rsid w:val="009E19F2"/>
    <w:rsid w:val="009E1C99"/>
    <w:rsid w:val="009E1DD7"/>
    <w:rsid w:val="009E25D6"/>
    <w:rsid w:val="009E279A"/>
    <w:rsid w:val="009E2BAE"/>
    <w:rsid w:val="009E2E78"/>
    <w:rsid w:val="009E3582"/>
    <w:rsid w:val="009E4E47"/>
    <w:rsid w:val="009E515A"/>
    <w:rsid w:val="009E579F"/>
    <w:rsid w:val="009E641F"/>
    <w:rsid w:val="009E6F9E"/>
    <w:rsid w:val="009E7412"/>
    <w:rsid w:val="009E75A0"/>
    <w:rsid w:val="009E7682"/>
    <w:rsid w:val="009F027C"/>
    <w:rsid w:val="009F0651"/>
    <w:rsid w:val="009F0CB7"/>
    <w:rsid w:val="009F1B0D"/>
    <w:rsid w:val="009F29BE"/>
    <w:rsid w:val="009F2AD7"/>
    <w:rsid w:val="009F2E70"/>
    <w:rsid w:val="009F2EAF"/>
    <w:rsid w:val="009F3780"/>
    <w:rsid w:val="009F4C6F"/>
    <w:rsid w:val="009F50CD"/>
    <w:rsid w:val="009F5471"/>
    <w:rsid w:val="009F5977"/>
    <w:rsid w:val="009F5AEF"/>
    <w:rsid w:val="009F5D47"/>
    <w:rsid w:val="009F5F01"/>
    <w:rsid w:val="009F71D8"/>
    <w:rsid w:val="009F76AB"/>
    <w:rsid w:val="009F7A88"/>
    <w:rsid w:val="009F7C27"/>
    <w:rsid w:val="009F7D20"/>
    <w:rsid w:val="009F7EA0"/>
    <w:rsid w:val="00A0073B"/>
    <w:rsid w:val="00A01629"/>
    <w:rsid w:val="00A01947"/>
    <w:rsid w:val="00A01DF9"/>
    <w:rsid w:val="00A01EAE"/>
    <w:rsid w:val="00A026EC"/>
    <w:rsid w:val="00A02A76"/>
    <w:rsid w:val="00A02EBC"/>
    <w:rsid w:val="00A04090"/>
    <w:rsid w:val="00A04588"/>
    <w:rsid w:val="00A04C43"/>
    <w:rsid w:val="00A04E24"/>
    <w:rsid w:val="00A04F6F"/>
    <w:rsid w:val="00A05678"/>
    <w:rsid w:val="00A059D8"/>
    <w:rsid w:val="00A0638B"/>
    <w:rsid w:val="00A068FF"/>
    <w:rsid w:val="00A06AD3"/>
    <w:rsid w:val="00A06B37"/>
    <w:rsid w:val="00A06B71"/>
    <w:rsid w:val="00A06BAE"/>
    <w:rsid w:val="00A07138"/>
    <w:rsid w:val="00A07231"/>
    <w:rsid w:val="00A072AD"/>
    <w:rsid w:val="00A079CB"/>
    <w:rsid w:val="00A07FEB"/>
    <w:rsid w:val="00A10207"/>
    <w:rsid w:val="00A10348"/>
    <w:rsid w:val="00A105DC"/>
    <w:rsid w:val="00A10C51"/>
    <w:rsid w:val="00A10DFD"/>
    <w:rsid w:val="00A10F8F"/>
    <w:rsid w:val="00A11A89"/>
    <w:rsid w:val="00A13313"/>
    <w:rsid w:val="00A13469"/>
    <w:rsid w:val="00A1367F"/>
    <w:rsid w:val="00A13828"/>
    <w:rsid w:val="00A13F5A"/>
    <w:rsid w:val="00A1409A"/>
    <w:rsid w:val="00A1472B"/>
    <w:rsid w:val="00A14B86"/>
    <w:rsid w:val="00A15958"/>
    <w:rsid w:val="00A15C58"/>
    <w:rsid w:val="00A166D2"/>
    <w:rsid w:val="00A16A6B"/>
    <w:rsid w:val="00A17707"/>
    <w:rsid w:val="00A17795"/>
    <w:rsid w:val="00A177D3"/>
    <w:rsid w:val="00A200BD"/>
    <w:rsid w:val="00A20726"/>
    <w:rsid w:val="00A20AD4"/>
    <w:rsid w:val="00A21F6A"/>
    <w:rsid w:val="00A2229D"/>
    <w:rsid w:val="00A227EE"/>
    <w:rsid w:val="00A22828"/>
    <w:rsid w:val="00A22D6D"/>
    <w:rsid w:val="00A22D8D"/>
    <w:rsid w:val="00A232FD"/>
    <w:rsid w:val="00A23D74"/>
    <w:rsid w:val="00A24015"/>
    <w:rsid w:val="00A245D4"/>
    <w:rsid w:val="00A247FA"/>
    <w:rsid w:val="00A250E3"/>
    <w:rsid w:val="00A25369"/>
    <w:rsid w:val="00A2558E"/>
    <w:rsid w:val="00A2559F"/>
    <w:rsid w:val="00A25C72"/>
    <w:rsid w:val="00A263A8"/>
    <w:rsid w:val="00A2696A"/>
    <w:rsid w:val="00A27012"/>
    <w:rsid w:val="00A27051"/>
    <w:rsid w:val="00A27218"/>
    <w:rsid w:val="00A2764A"/>
    <w:rsid w:val="00A27FA5"/>
    <w:rsid w:val="00A300CB"/>
    <w:rsid w:val="00A30402"/>
    <w:rsid w:val="00A30667"/>
    <w:rsid w:val="00A30816"/>
    <w:rsid w:val="00A31768"/>
    <w:rsid w:val="00A31790"/>
    <w:rsid w:val="00A31B1E"/>
    <w:rsid w:val="00A31C89"/>
    <w:rsid w:val="00A31D94"/>
    <w:rsid w:val="00A3233F"/>
    <w:rsid w:val="00A3293F"/>
    <w:rsid w:val="00A3298C"/>
    <w:rsid w:val="00A32C5E"/>
    <w:rsid w:val="00A32C63"/>
    <w:rsid w:val="00A330C9"/>
    <w:rsid w:val="00A34143"/>
    <w:rsid w:val="00A34244"/>
    <w:rsid w:val="00A34375"/>
    <w:rsid w:val="00A3441B"/>
    <w:rsid w:val="00A347A2"/>
    <w:rsid w:val="00A349BC"/>
    <w:rsid w:val="00A34A24"/>
    <w:rsid w:val="00A34ACC"/>
    <w:rsid w:val="00A35667"/>
    <w:rsid w:val="00A36067"/>
    <w:rsid w:val="00A368EB"/>
    <w:rsid w:val="00A37041"/>
    <w:rsid w:val="00A37072"/>
    <w:rsid w:val="00A372DF"/>
    <w:rsid w:val="00A4079D"/>
    <w:rsid w:val="00A40DDC"/>
    <w:rsid w:val="00A41214"/>
    <w:rsid w:val="00A4121F"/>
    <w:rsid w:val="00A413DB"/>
    <w:rsid w:val="00A413EB"/>
    <w:rsid w:val="00A418D5"/>
    <w:rsid w:val="00A41AD7"/>
    <w:rsid w:val="00A42A4F"/>
    <w:rsid w:val="00A432CC"/>
    <w:rsid w:val="00A43828"/>
    <w:rsid w:val="00A4393B"/>
    <w:rsid w:val="00A43DB2"/>
    <w:rsid w:val="00A4462E"/>
    <w:rsid w:val="00A44646"/>
    <w:rsid w:val="00A459E8"/>
    <w:rsid w:val="00A45AA3"/>
    <w:rsid w:val="00A45E8E"/>
    <w:rsid w:val="00A460A9"/>
    <w:rsid w:val="00A46E25"/>
    <w:rsid w:val="00A46E63"/>
    <w:rsid w:val="00A46E8B"/>
    <w:rsid w:val="00A5090C"/>
    <w:rsid w:val="00A515CC"/>
    <w:rsid w:val="00A5191D"/>
    <w:rsid w:val="00A52239"/>
    <w:rsid w:val="00A5262F"/>
    <w:rsid w:val="00A5289C"/>
    <w:rsid w:val="00A52955"/>
    <w:rsid w:val="00A53206"/>
    <w:rsid w:val="00A533EE"/>
    <w:rsid w:val="00A536DB"/>
    <w:rsid w:val="00A54B00"/>
    <w:rsid w:val="00A552BE"/>
    <w:rsid w:val="00A558E9"/>
    <w:rsid w:val="00A55927"/>
    <w:rsid w:val="00A55C8B"/>
    <w:rsid w:val="00A560E1"/>
    <w:rsid w:val="00A56BA8"/>
    <w:rsid w:val="00A56EE2"/>
    <w:rsid w:val="00A57117"/>
    <w:rsid w:val="00A57692"/>
    <w:rsid w:val="00A57E16"/>
    <w:rsid w:val="00A601AC"/>
    <w:rsid w:val="00A60791"/>
    <w:rsid w:val="00A61040"/>
    <w:rsid w:val="00A61585"/>
    <w:rsid w:val="00A61D5E"/>
    <w:rsid w:val="00A61D99"/>
    <w:rsid w:val="00A6207B"/>
    <w:rsid w:val="00A62D80"/>
    <w:rsid w:val="00A62DBE"/>
    <w:rsid w:val="00A62FD7"/>
    <w:rsid w:val="00A63B73"/>
    <w:rsid w:val="00A63DB8"/>
    <w:rsid w:val="00A6418B"/>
    <w:rsid w:val="00A641E3"/>
    <w:rsid w:val="00A64615"/>
    <w:rsid w:val="00A64643"/>
    <w:rsid w:val="00A655EE"/>
    <w:rsid w:val="00A65C3A"/>
    <w:rsid w:val="00A65FAF"/>
    <w:rsid w:val="00A660B6"/>
    <w:rsid w:val="00A67096"/>
    <w:rsid w:val="00A671A0"/>
    <w:rsid w:val="00A676F3"/>
    <w:rsid w:val="00A67705"/>
    <w:rsid w:val="00A67DB5"/>
    <w:rsid w:val="00A67FD9"/>
    <w:rsid w:val="00A70CDC"/>
    <w:rsid w:val="00A71A43"/>
    <w:rsid w:val="00A72B5B"/>
    <w:rsid w:val="00A732D1"/>
    <w:rsid w:val="00A7343E"/>
    <w:rsid w:val="00A7398C"/>
    <w:rsid w:val="00A73F8C"/>
    <w:rsid w:val="00A7471C"/>
    <w:rsid w:val="00A749FA"/>
    <w:rsid w:val="00A74CD8"/>
    <w:rsid w:val="00A750AC"/>
    <w:rsid w:val="00A7521D"/>
    <w:rsid w:val="00A77AAD"/>
    <w:rsid w:val="00A801DA"/>
    <w:rsid w:val="00A80FFE"/>
    <w:rsid w:val="00A81430"/>
    <w:rsid w:val="00A8157E"/>
    <w:rsid w:val="00A81580"/>
    <w:rsid w:val="00A8211D"/>
    <w:rsid w:val="00A825B0"/>
    <w:rsid w:val="00A835EF"/>
    <w:rsid w:val="00A83610"/>
    <w:rsid w:val="00A8372B"/>
    <w:rsid w:val="00A83C23"/>
    <w:rsid w:val="00A843C1"/>
    <w:rsid w:val="00A85879"/>
    <w:rsid w:val="00A860E0"/>
    <w:rsid w:val="00A864BA"/>
    <w:rsid w:val="00A864E3"/>
    <w:rsid w:val="00A869D0"/>
    <w:rsid w:val="00A90395"/>
    <w:rsid w:val="00A9074C"/>
    <w:rsid w:val="00A9110A"/>
    <w:rsid w:val="00A91244"/>
    <w:rsid w:val="00A91344"/>
    <w:rsid w:val="00A91796"/>
    <w:rsid w:val="00A91BF5"/>
    <w:rsid w:val="00A92D6E"/>
    <w:rsid w:val="00A93675"/>
    <w:rsid w:val="00A938BE"/>
    <w:rsid w:val="00A938D9"/>
    <w:rsid w:val="00A93992"/>
    <w:rsid w:val="00A93F10"/>
    <w:rsid w:val="00A940D3"/>
    <w:rsid w:val="00A942B4"/>
    <w:rsid w:val="00A942CC"/>
    <w:rsid w:val="00A94C09"/>
    <w:rsid w:val="00A94CA7"/>
    <w:rsid w:val="00A94ECC"/>
    <w:rsid w:val="00A95CDE"/>
    <w:rsid w:val="00A96588"/>
    <w:rsid w:val="00A971C2"/>
    <w:rsid w:val="00A97C04"/>
    <w:rsid w:val="00A97F46"/>
    <w:rsid w:val="00AA028E"/>
    <w:rsid w:val="00AA033A"/>
    <w:rsid w:val="00AA03F4"/>
    <w:rsid w:val="00AA12A3"/>
    <w:rsid w:val="00AA1566"/>
    <w:rsid w:val="00AA1BCD"/>
    <w:rsid w:val="00AA259B"/>
    <w:rsid w:val="00AA2713"/>
    <w:rsid w:val="00AA29E1"/>
    <w:rsid w:val="00AA2B3F"/>
    <w:rsid w:val="00AA2DA6"/>
    <w:rsid w:val="00AA2EBC"/>
    <w:rsid w:val="00AA2EE6"/>
    <w:rsid w:val="00AA3432"/>
    <w:rsid w:val="00AA36AD"/>
    <w:rsid w:val="00AA3FE0"/>
    <w:rsid w:val="00AA4303"/>
    <w:rsid w:val="00AA4617"/>
    <w:rsid w:val="00AA46F5"/>
    <w:rsid w:val="00AA47AA"/>
    <w:rsid w:val="00AA5C80"/>
    <w:rsid w:val="00AA6423"/>
    <w:rsid w:val="00AA6536"/>
    <w:rsid w:val="00AA66AA"/>
    <w:rsid w:val="00AA6A77"/>
    <w:rsid w:val="00AA6D54"/>
    <w:rsid w:val="00AA7040"/>
    <w:rsid w:val="00AA70CF"/>
    <w:rsid w:val="00AA7870"/>
    <w:rsid w:val="00AA7A1B"/>
    <w:rsid w:val="00AB0408"/>
    <w:rsid w:val="00AB0C1F"/>
    <w:rsid w:val="00AB114B"/>
    <w:rsid w:val="00AB1E81"/>
    <w:rsid w:val="00AB2242"/>
    <w:rsid w:val="00AB2313"/>
    <w:rsid w:val="00AB23D0"/>
    <w:rsid w:val="00AB28F9"/>
    <w:rsid w:val="00AB2FCC"/>
    <w:rsid w:val="00AB3208"/>
    <w:rsid w:val="00AB3D06"/>
    <w:rsid w:val="00AB3F8A"/>
    <w:rsid w:val="00AB420A"/>
    <w:rsid w:val="00AB4606"/>
    <w:rsid w:val="00AB47C1"/>
    <w:rsid w:val="00AB5515"/>
    <w:rsid w:val="00AB5D47"/>
    <w:rsid w:val="00AB6088"/>
    <w:rsid w:val="00AB65E7"/>
    <w:rsid w:val="00AB7865"/>
    <w:rsid w:val="00AB7D3F"/>
    <w:rsid w:val="00AC044A"/>
    <w:rsid w:val="00AC097C"/>
    <w:rsid w:val="00AC11A2"/>
    <w:rsid w:val="00AC16A3"/>
    <w:rsid w:val="00AC215D"/>
    <w:rsid w:val="00AC2336"/>
    <w:rsid w:val="00AC2473"/>
    <w:rsid w:val="00AC292F"/>
    <w:rsid w:val="00AC2D6C"/>
    <w:rsid w:val="00AC31D0"/>
    <w:rsid w:val="00AC3396"/>
    <w:rsid w:val="00AC3635"/>
    <w:rsid w:val="00AC3675"/>
    <w:rsid w:val="00AC4366"/>
    <w:rsid w:val="00AC474F"/>
    <w:rsid w:val="00AC4D26"/>
    <w:rsid w:val="00AC54D0"/>
    <w:rsid w:val="00AC55AD"/>
    <w:rsid w:val="00AC580C"/>
    <w:rsid w:val="00AC607A"/>
    <w:rsid w:val="00AC67FE"/>
    <w:rsid w:val="00AC6F74"/>
    <w:rsid w:val="00AC709B"/>
    <w:rsid w:val="00AC7572"/>
    <w:rsid w:val="00AC7EAE"/>
    <w:rsid w:val="00AC7FA5"/>
    <w:rsid w:val="00AD006F"/>
    <w:rsid w:val="00AD0C3E"/>
    <w:rsid w:val="00AD11A6"/>
    <w:rsid w:val="00AD1563"/>
    <w:rsid w:val="00AD173D"/>
    <w:rsid w:val="00AD1D90"/>
    <w:rsid w:val="00AD20F0"/>
    <w:rsid w:val="00AD26FD"/>
    <w:rsid w:val="00AD2E4C"/>
    <w:rsid w:val="00AD307E"/>
    <w:rsid w:val="00AD3947"/>
    <w:rsid w:val="00AD4491"/>
    <w:rsid w:val="00AD4BCD"/>
    <w:rsid w:val="00AD5685"/>
    <w:rsid w:val="00AD5B6F"/>
    <w:rsid w:val="00AD60A2"/>
    <w:rsid w:val="00AD60B9"/>
    <w:rsid w:val="00AD72A6"/>
    <w:rsid w:val="00AD7C5B"/>
    <w:rsid w:val="00AE0461"/>
    <w:rsid w:val="00AE19F5"/>
    <w:rsid w:val="00AE205B"/>
    <w:rsid w:val="00AE2590"/>
    <w:rsid w:val="00AE2CD0"/>
    <w:rsid w:val="00AE2FE4"/>
    <w:rsid w:val="00AE3FC8"/>
    <w:rsid w:val="00AE44AB"/>
    <w:rsid w:val="00AE45F9"/>
    <w:rsid w:val="00AE4C35"/>
    <w:rsid w:val="00AE5593"/>
    <w:rsid w:val="00AE55EE"/>
    <w:rsid w:val="00AE5E28"/>
    <w:rsid w:val="00AE63CD"/>
    <w:rsid w:val="00AE6D3D"/>
    <w:rsid w:val="00AE6E7D"/>
    <w:rsid w:val="00AE6FA8"/>
    <w:rsid w:val="00AE7178"/>
    <w:rsid w:val="00AE79D9"/>
    <w:rsid w:val="00AE7A09"/>
    <w:rsid w:val="00AE7A67"/>
    <w:rsid w:val="00AF00EE"/>
    <w:rsid w:val="00AF01F7"/>
    <w:rsid w:val="00AF0264"/>
    <w:rsid w:val="00AF075E"/>
    <w:rsid w:val="00AF1584"/>
    <w:rsid w:val="00AF1C09"/>
    <w:rsid w:val="00AF1D51"/>
    <w:rsid w:val="00AF1F16"/>
    <w:rsid w:val="00AF2195"/>
    <w:rsid w:val="00AF2474"/>
    <w:rsid w:val="00AF2776"/>
    <w:rsid w:val="00AF28E5"/>
    <w:rsid w:val="00AF2C40"/>
    <w:rsid w:val="00AF2F51"/>
    <w:rsid w:val="00AF3BB2"/>
    <w:rsid w:val="00AF40E2"/>
    <w:rsid w:val="00AF473D"/>
    <w:rsid w:val="00AF4778"/>
    <w:rsid w:val="00AF507D"/>
    <w:rsid w:val="00AF5373"/>
    <w:rsid w:val="00AF56FF"/>
    <w:rsid w:val="00AF5F76"/>
    <w:rsid w:val="00AF611A"/>
    <w:rsid w:val="00AF648C"/>
    <w:rsid w:val="00AF69DF"/>
    <w:rsid w:val="00AF6DE2"/>
    <w:rsid w:val="00AF79AB"/>
    <w:rsid w:val="00AF7BDB"/>
    <w:rsid w:val="00AF7C73"/>
    <w:rsid w:val="00AF7E25"/>
    <w:rsid w:val="00B0051C"/>
    <w:rsid w:val="00B00F80"/>
    <w:rsid w:val="00B01464"/>
    <w:rsid w:val="00B0173D"/>
    <w:rsid w:val="00B01754"/>
    <w:rsid w:val="00B02251"/>
    <w:rsid w:val="00B0266C"/>
    <w:rsid w:val="00B03223"/>
    <w:rsid w:val="00B03AC1"/>
    <w:rsid w:val="00B03E86"/>
    <w:rsid w:val="00B03F6E"/>
    <w:rsid w:val="00B04735"/>
    <w:rsid w:val="00B0493C"/>
    <w:rsid w:val="00B0563A"/>
    <w:rsid w:val="00B0579A"/>
    <w:rsid w:val="00B05AAC"/>
    <w:rsid w:val="00B0615A"/>
    <w:rsid w:val="00B06216"/>
    <w:rsid w:val="00B062D0"/>
    <w:rsid w:val="00B06FA6"/>
    <w:rsid w:val="00B076E5"/>
    <w:rsid w:val="00B077FA"/>
    <w:rsid w:val="00B0785C"/>
    <w:rsid w:val="00B078D4"/>
    <w:rsid w:val="00B1033A"/>
    <w:rsid w:val="00B107E6"/>
    <w:rsid w:val="00B10848"/>
    <w:rsid w:val="00B1089F"/>
    <w:rsid w:val="00B10951"/>
    <w:rsid w:val="00B10B3F"/>
    <w:rsid w:val="00B1105F"/>
    <w:rsid w:val="00B1111D"/>
    <w:rsid w:val="00B117E9"/>
    <w:rsid w:val="00B11FD4"/>
    <w:rsid w:val="00B126D6"/>
    <w:rsid w:val="00B1282D"/>
    <w:rsid w:val="00B12B3C"/>
    <w:rsid w:val="00B1313E"/>
    <w:rsid w:val="00B1380D"/>
    <w:rsid w:val="00B13A16"/>
    <w:rsid w:val="00B13B85"/>
    <w:rsid w:val="00B13CAB"/>
    <w:rsid w:val="00B13F41"/>
    <w:rsid w:val="00B145C9"/>
    <w:rsid w:val="00B14E1B"/>
    <w:rsid w:val="00B15805"/>
    <w:rsid w:val="00B15B13"/>
    <w:rsid w:val="00B15DE2"/>
    <w:rsid w:val="00B15E19"/>
    <w:rsid w:val="00B15E25"/>
    <w:rsid w:val="00B160E2"/>
    <w:rsid w:val="00B16219"/>
    <w:rsid w:val="00B16295"/>
    <w:rsid w:val="00B17149"/>
    <w:rsid w:val="00B171AF"/>
    <w:rsid w:val="00B179E1"/>
    <w:rsid w:val="00B17A35"/>
    <w:rsid w:val="00B17F4A"/>
    <w:rsid w:val="00B20B6C"/>
    <w:rsid w:val="00B20E7F"/>
    <w:rsid w:val="00B21022"/>
    <w:rsid w:val="00B21233"/>
    <w:rsid w:val="00B212EC"/>
    <w:rsid w:val="00B21515"/>
    <w:rsid w:val="00B21C39"/>
    <w:rsid w:val="00B21CAD"/>
    <w:rsid w:val="00B22530"/>
    <w:rsid w:val="00B22A88"/>
    <w:rsid w:val="00B22AA2"/>
    <w:rsid w:val="00B23226"/>
    <w:rsid w:val="00B2348F"/>
    <w:rsid w:val="00B23C63"/>
    <w:rsid w:val="00B240D7"/>
    <w:rsid w:val="00B24437"/>
    <w:rsid w:val="00B24A8C"/>
    <w:rsid w:val="00B24EB7"/>
    <w:rsid w:val="00B25CAF"/>
    <w:rsid w:val="00B25E68"/>
    <w:rsid w:val="00B2604A"/>
    <w:rsid w:val="00B260B0"/>
    <w:rsid w:val="00B26CD2"/>
    <w:rsid w:val="00B26D39"/>
    <w:rsid w:val="00B27364"/>
    <w:rsid w:val="00B300FA"/>
    <w:rsid w:val="00B302E1"/>
    <w:rsid w:val="00B30827"/>
    <w:rsid w:val="00B3098F"/>
    <w:rsid w:val="00B30B4B"/>
    <w:rsid w:val="00B318E0"/>
    <w:rsid w:val="00B31D09"/>
    <w:rsid w:val="00B32920"/>
    <w:rsid w:val="00B3350A"/>
    <w:rsid w:val="00B33BDF"/>
    <w:rsid w:val="00B34F01"/>
    <w:rsid w:val="00B35427"/>
    <w:rsid w:val="00B35CC6"/>
    <w:rsid w:val="00B35F14"/>
    <w:rsid w:val="00B36A0A"/>
    <w:rsid w:val="00B3799D"/>
    <w:rsid w:val="00B37C3B"/>
    <w:rsid w:val="00B4035D"/>
    <w:rsid w:val="00B40915"/>
    <w:rsid w:val="00B418EA"/>
    <w:rsid w:val="00B41CCA"/>
    <w:rsid w:val="00B42578"/>
    <w:rsid w:val="00B42710"/>
    <w:rsid w:val="00B4320F"/>
    <w:rsid w:val="00B43732"/>
    <w:rsid w:val="00B44A4C"/>
    <w:rsid w:val="00B44BBE"/>
    <w:rsid w:val="00B45B05"/>
    <w:rsid w:val="00B46E18"/>
    <w:rsid w:val="00B475B7"/>
    <w:rsid w:val="00B47829"/>
    <w:rsid w:val="00B509C5"/>
    <w:rsid w:val="00B517A1"/>
    <w:rsid w:val="00B51FAC"/>
    <w:rsid w:val="00B521E5"/>
    <w:rsid w:val="00B52A06"/>
    <w:rsid w:val="00B52AD1"/>
    <w:rsid w:val="00B53444"/>
    <w:rsid w:val="00B53B0D"/>
    <w:rsid w:val="00B53E5E"/>
    <w:rsid w:val="00B53E85"/>
    <w:rsid w:val="00B54098"/>
    <w:rsid w:val="00B5440C"/>
    <w:rsid w:val="00B547CF"/>
    <w:rsid w:val="00B54A18"/>
    <w:rsid w:val="00B54C18"/>
    <w:rsid w:val="00B55E3D"/>
    <w:rsid w:val="00B560ED"/>
    <w:rsid w:val="00B5655A"/>
    <w:rsid w:val="00B56E7A"/>
    <w:rsid w:val="00B575CF"/>
    <w:rsid w:val="00B5799E"/>
    <w:rsid w:val="00B57B61"/>
    <w:rsid w:val="00B602B5"/>
    <w:rsid w:val="00B60869"/>
    <w:rsid w:val="00B609D5"/>
    <w:rsid w:val="00B60A35"/>
    <w:rsid w:val="00B6179C"/>
    <w:rsid w:val="00B61B5F"/>
    <w:rsid w:val="00B61D68"/>
    <w:rsid w:val="00B62021"/>
    <w:rsid w:val="00B62DA2"/>
    <w:rsid w:val="00B62EFF"/>
    <w:rsid w:val="00B630F0"/>
    <w:rsid w:val="00B63249"/>
    <w:rsid w:val="00B63A10"/>
    <w:rsid w:val="00B6439F"/>
    <w:rsid w:val="00B64611"/>
    <w:rsid w:val="00B6470E"/>
    <w:rsid w:val="00B651D2"/>
    <w:rsid w:val="00B6536B"/>
    <w:rsid w:val="00B6572D"/>
    <w:rsid w:val="00B65E39"/>
    <w:rsid w:val="00B65FEF"/>
    <w:rsid w:val="00B6692C"/>
    <w:rsid w:val="00B67092"/>
    <w:rsid w:val="00B67181"/>
    <w:rsid w:val="00B67512"/>
    <w:rsid w:val="00B67B50"/>
    <w:rsid w:val="00B70E7C"/>
    <w:rsid w:val="00B7154A"/>
    <w:rsid w:val="00B71B35"/>
    <w:rsid w:val="00B724B7"/>
    <w:rsid w:val="00B724D4"/>
    <w:rsid w:val="00B72D47"/>
    <w:rsid w:val="00B72E19"/>
    <w:rsid w:val="00B73DDC"/>
    <w:rsid w:val="00B74202"/>
    <w:rsid w:val="00B74D18"/>
    <w:rsid w:val="00B7500A"/>
    <w:rsid w:val="00B755FB"/>
    <w:rsid w:val="00B75DBE"/>
    <w:rsid w:val="00B75F4F"/>
    <w:rsid w:val="00B7602C"/>
    <w:rsid w:val="00B7621C"/>
    <w:rsid w:val="00B7677F"/>
    <w:rsid w:val="00B772C4"/>
    <w:rsid w:val="00B773BF"/>
    <w:rsid w:val="00B77408"/>
    <w:rsid w:val="00B77C27"/>
    <w:rsid w:val="00B8051C"/>
    <w:rsid w:val="00B80956"/>
    <w:rsid w:val="00B80BD6"/>
    <w:rsid w:val="00B80E48"/>
    <w:rsid w:val="00B810C8"/>
    <w:rsid w:val="00B8211A"/>
    <w:rsid w:val="00B82EFE"/>
    <w:rsid w:val="00B8379D"/>
    <w:rsid w:val="00B837CF"/>
    <w:rsid w:val="00B83D54"/>
    <w:rsid w:val="00B848BB"/>
    <w:rsid w:val="00B85833"/>
    <w:rsid w:val="00B85F47"/>
    <w:rsid w:val="00B86C4D"/>
    <w:rsid w:val="00B86F74"/>
    <w:rsid w:val="00B87053"/>
    <w:rsid w:val="00B900FD"/>
    <w:rsid w:val="00B90333"/>
    <w:rsid w:val="00B908F8"/>
    <w:rsid w:val="00B90ACD"/>
    <w:rsid w:val="00B90B20"/>
    <w:rsid w:val="00B90B45"/>
    <w:rsid w:val="00B90E7D"/>
    <w:rsid w:val="00B91ADE"/>
    <w:rsid w:val="00B92181"/>
    <w:rsid w:val="00B930F4"/>
    <w:rsid w:val="00B935BD"/>
    <w:rsid w:val="00B938A9"/>
    <w:rsid w:val="00B939DA"/>
    <w:rsid w:val="00B93D53"/>
    <w:rsid w:val="00B93E81"/>
    <w:rsid w:val="00B93FA4"/>
    <w:rsid w:val="00B943BD"/>
    <w:rsid w:val="00B94C6E"/>
    <w:rsid w:val="00B94F34"/>
    <w:rsid w:val="00B95936"/>
    <w:rsid w:val="00B95AAE"/>
    <w:rsid w:val="00B96FBA"/>
    <w:rsid w:val="00B9703B"/>
    <w:rsid w:val="00B9758C"/>
    <w:rsid w:val="00B9787F"/>
    <w:rsid w:val="00B9797C"/>
    <w:rsid w:val="00B9799A"/>
    <w:rsid w:val="00BA1228"/>
    <w:rsid w:val="00BA1E23"/>
    <w:rsid w:val="00BA1F08"/>
    <w:rsid w:val="00BA22EE"/>
    <w:rsid w:val="00BA2965"/>
    <w:rsid w:val="00BA3112"/>
    <w:rsid w:val="00BA37EE"/>
    <w:rsid w:val="00BA388D"/>
    <w:rsid w:val="00BA4277"/>
    <w:rsid w:val="00BA4C2E"/>
    <w:rsid w:val="00BA4E19"/>
    <w:rsid w:val="00BA4E36"/>
    <w:rsid w:val="00BA4E48"/>
    <w:rsid w:val="00BA4FAD"/>
    <w:rsid w:val="00BA518F"/>
    <w:rsid w:val="00BA55CB"/>
    <w:rsid w:val="00BA5901"/>
    <w:rsid w:val="00BA7D52"/>
    <w:rsid w:val="00BA7DF7"/>
    <w:rsid w:val="00BB01A9"/>
    <w:rsid w:val="00BB04D3"/>
    <w:rsid w:val="00BB12C8"/>
    <w:rsid w:val="00BB1F57"/>
    <w:rsid w:val="00BB23AC"/>
    <w:rsid w:val="00BB2F30"/>
    <w:rsid w:val="00BB340A"/>
    <w:rsid w:val="00BB348C"/>
    <w:rsid w:val="00BB3962"/>
    <w:rsid w:val="00BB42FE"/>
    <w:rsid w:val="00BB4881"/>
    <w:rsid w:val="00BB4943"/>
    <w:rsid w:val="00BB4BA3"/>
    <w:rsid w:val="00BB5119"/>
    <w:rsid w:val="00BB59CA"/>
    <w:rsid w:val="00BB59F3"/>
    <w:rsid w:val="00BB6378"/>
    <w:rsid w:val="00BB704B"/>
    <w:rsid w:val="00BB767B"/>
    <w:rsid w:val="00BB7AD9"/>
    <w:rsid w:val="00BC000F"/>
    <w:rsid w:val="00BC0064"/>
    <w:rsid w:val="00BC0078"/>
    <w:rsid w:val="00BC050F"/>
    <w:rsid w:val="00BC0D84"/>
    <w:rsid w:val="00BC15CF"/>
    <w:rsid w:val="00BC1A88"/>
    <w:rsid w:val="00BC2227"/>
    <w:rsid w:val="00BC2AE7"/>
    <w:rsid w:val="00BC2C00"/>
    <w:rsid w:val="00BC2F13"/>
    <w:rsid w:val="00BC310B"/>
    <w:rsid w:val="00BC359E"/>
    <w:rsid w:val="00BC3705"/>
    <w:rsid w:val="00BC38F3"/>
    <w:rsid w:val="00BC424F"/>
    <w:rsid w:val="00BC459F"/>
    <w:rsid w:val="00BC4BD5"/>
    <w:rsid w:val="00BC4CA5"/>
    <w:rsid w:val="00BC506D"/>
    <w:rsid w:val="00BC5EEC"/>
    <w:rsid w:val="00BC64FA"/>
    <w:rsid w:val="00BC6DC6"/>
    <w:rsid w:val="00BC6FEB"/>
    <w:rsid w:val="00BD026A"/>
    <w:rsid w:val="00BD1623"/>
    <w:rsid w:val="00BD1B6C"/>
    <w:rsid w:val="00BD24AD"/>
    <w:rsid w:val="00BD26FB"/>
    <w:rsid w:val="00BD2914"/>
    <w:rsid w:val="00BD326D"/>
    <w:rsid w:val="00BD3376"/>
    <w:rsid w:val="00BD3B06"/>
    <w:rsid w:val="00BD4317"/>
    <w:rsid w:val="00BD4AA9"/>
    <w:rsid w:val="00BD4BA3"/>
    <w:rsid w:val="00BD58DA"/>
    <w:rsid w:val="00BD5912"/>
    <w:rsid w:val="00BD5AFC"/>
    <w:rsid w:val="00BD61D9"/>
    <w:rsid w:val="00BD62FA"/>
    <w:rsid w:val="00BD67DE"/>
    <w:rsid w:val="00BD6B16"/>
    <w:rsid w:val="00BD7047"/>
    <w:rsid w:val="00BD7196"/>
    <w:rsid w:val="00BD77B8"/>
    <w:rsid w:val="00BD781B"/>
    <w:rsid w:val="00BD7E76"/>
    <w:rsid w:val="00BE026D"/>
    <w:rsid w:val="00BE1C5F"/>
    <w:rsid w:val="00BE20B2"/>
    <w:rsid w:val="00BE2B69"/>
    <w:rsid w:val="00BE305B"/>
    <w:rsid w:val="00BE4B69"/>
    <w:rsid w:val="00BE50DC"/>
    <w:rsid w:val="00BE573D"/>
    <w:rsid w:val="00BE584A"/>
    <w:rsid w:val="00BE5B62"/>
    <w:rsid w:val="00BE6150"/>
    <w:rsid w:val="00BE6216"/>
    <w:rsid w:val="00BE6427"/>
    <w:rsid w:val="00BE65A9"/>
    <w:rsid w:val="00BE6747"/>
    <w:rsid w:val="00BE7492"/>
    <w:rsid w:val="00BE7774"/>
    <w:rsid w:val="00BE789E"/>
    <w:rsid w:val="00BF053A"/>
    <w:rsid w:val="00BF1226"/>
    <w:rsid w:val="00BF17AF"/>
    <w:rsid w:val="00BF1D0B"/>
    <w:rsid w:val="00BF1D9D"/>
    <w:rsid w:val="00BF2638"/>
    <w:rsid w:val="00BF2722"/>
    <w:rsid w:val="00BF2B32"/>
    <w:rsid w:val="00BF2B39"/>
    <w:rsid w:val="00BF3087"/>
    <w:rsid w:val="00BF37C1"/>
    <w:rsid w:val="00BF45F4"/>
    <w:rsid w:val="00BF4636"/>
    <w:rsid w:val="00BF4C11"/>
    <w:rsid w:val="00BF4EB1"/>
    <w:rsid w:val="00BF60CD"/>
    <w:rsid w:val="00BF64CC"/>
    <w:rsid w:val="00BF6CE5"/>
    <w:rsid w:val="00BF6E27"/>
    <w:rsid w:val="00C001DF"/>
    <w:rsid w:val="00C00C48"/>
    <w:rsid w:val="00C00DC1"/>
    <w:rsid w:val="00C00DDF"/>
    <w:rsid w:val="00C01204"/>
    <w:rsid w:val="00C016A5"/>
    <w:rsid w:val="00C01BB3"/>
    <w:rsid w:val="00C04A47"/>
    <w:rsid w:val="00C050D5"/>
    <w:rsid w:val="00C05A52"/>
    <w:rsid w:val="00C05FE0"/>
    <w:rsid w:val="00C06027"/>
    <w:rsid w:val="00C06432"/>
    <w:rsid w:val="00C065D3"/>
    <w:rsid w:val="00C07078"/>
    <w:rsid w:val="00C071F6"/>
    <w:rsid w:val="00C1016A"/>
    <w:rsid w:val="00C10219"/>
    <w:rsid w:val="00C104BA"/>
    <w:rsid w:val="00C112FC"/>
    <w:rsid w:val="00C1133C"/>
    <w:rsid w:val="00C1136C"/>
    <w:rsid w:val="00C117B5"/>
    <w:rsid w:val="00C11C4E"/>
    <w:rsid w:val="00C11D30"/>
    <w:rsid w:val="00C123E4"/>
    <w:rsid w:val="00C125A6"/>
    <w:rsid w:val="00C126ED"/>
    <w:rsid w:val="00C12F04"/>
    <w:rsid w:val="00C13CC6"/>
    <w:rsid w:val="00C14061"/>
    <w:rsid w:val="00C14716"/>
    <w:rsid w:val="00C14CF6"/>
    <w:rsid w:val="00C1511C"/>
    <w:rsid w:val="00C15B8C"/>
    <w:rsid w:val="00C15D7C"/>
    <w:rsid w:val="00C16162"/>
    <w:rsid w:val="00C164F8"/>
    <w:rsid w:val="00C16B66"/>
    <w:rsid w:val="00C178A0"/>
    <w:rsid w:val="00C20188"/>
    <w:rsid w:val="00C20258"/>
    <w:rsid w:val="00C20664"/>
    <w:rsid w:val="00C207A6"/>
    <w:rsid w:val="00C20852"/>
    <w:rsid w:val="00C20EAA"/>
    <w:rsid w:val="00C21727"/>
    <w:rsid w:val="00C22346"/>
    <w:rsid w:val="00C236BF"/>
    <w:rsid w:val="00C23CC3"/>
    <w:rsid w:val="00C24486"/>
    <w:rsid w:val="00C24803"/>
    <w:rsid w:val="00C24817"/>
    <w:rsid w:val="00C25285"/>
    <w:rsid w:val="00C25981"/>
    <w:rsid w:val="00C25A1B"/>
    <w:rsid w:val="00C25B0E"/>
    <w:rsid w:val="00C25F92"/>
    <w:rsid w:val="00C26566"/>
    <w:rsid w:val="00C26C41"/>
    <w:rsid w:val="00C26CBA"/>
    <w:rsid w:val="00C274F7"/>
    <w:rsid w:val="00C275DA"/>
    <w:rsid w:val="00C27B9B"/>
    <w:rsid w:val="00C27D63"/>
    <w:rsid w:val="00C27D70"/>
    <w:rsid w:val="00C302C0"/>
    <w:rsid w:val="00C3084F"/>
    <w:rsid w:val="00C309D0"/>
    <w:rsid w:val="00C30DC7"/>
    <w:rsid w:val="00C31093"/>
    <w:rsid w:val="00C317CC"/>
    <w:rsid w:val="00C3188E"/>
    <w:rsid w:val="00C3255A"/>
    <w:rsid w:val="00C329E2"/>
    <w:rsid w:val="00C32CBD"/>
    <w:rsid w:val="00C32F2D"/>
    <w:rsid w:val="00C3315F"/>
    <w:rsid w:val="00C338E4"/>
    <w:rsid w:val="00C33D26"/>
    <w:rsid w:val="00C3421B"/>
    <w:rsid w:val="00C342D2"/>
    <w:rsid w:val="00C34841"/>
    <w:rsid w:val="00C355E0"/>
    <w:rsid w:val="00C35AA8"/>
    <w:rsid w:val="00C36740"/>
    <w:rsid w:val="00C36869"/>
    <w:rsid w:val="00C37589"/>
    <w:rsid w:val="00C37B42"/>
    <w:rsid w:val="00C405F7"/>
    <w:rsid w:val="00C40EE5"/>
    <w:rsid w:val="00C410B4"/>
    <w:rsid w:val="00C41209"/>
    <w:rsid w:val="00C41D7B"/>
    <w:rsid w:val="00C42AD1"/>
    <w:rsid w:val="00C43056"/>
    <w:rsid w:val="00C43D19"/>
    <w:rsid w:val="00C43E35"/>
    <w:rsid w:val="00C44676"/>
    <w:rsid w:val="00C4470F"/>
    <w:rsid w:val="00C44FD8"/>
    <w:rsid w:val="00C44FF6"/>
    <w:rsid w:val="00C44FFD"/>
    <w:rsid w:val="00C45C7F"/>
    <w:rsid w:val="00C46484"/>
    <w:rsid w:val="00C46516"/>
    <w:rsid w:val="00C46B4B"/>
    <w:rsid w:val="00C46BC0"/>
    <w:rsid w:val="00C47053"/>
    <w:rsid w:val="00C47E21"/>
    <w:rsid w:val="00C47F34"/>
    <w:rsid w:val="00C50063"/>
    <w:rsid w:val="00C51166"/>
    <w:rsid w:val="00C51311"/>
    <w:rsid w:val="00C5189F"/>
    <w:rsid w:val="00C51A80"/>
    <w:rsid w:val="00C51CAF"/>
    <w:rsid w:val="00C52483"/>
    <w:rsid w:val="00C531BB"/>
    <w:rsid w:val="00C53DB0"/>
    <w:rsid w:val="00C53EDB"/>
    <w:rsid w:val="00C54214"/>
    <w:rsid w:val="00C556BD"/>
    <w:rsid w:val="00C558B3"/>
    <w:rsid w:val="00C558D5"/>
    <w:rsid w:val="00C55CA0"/>
    <w:rsid w:val="00C55DD7"/>
    <w:rsid w:val="00C55FC1"/>
    <w:rsid w:val="00C5609D"/>
    <w:rsid w:val="00C565BA"/>
    <w:rsid w:val="00C5688B"/>
    <w:rsid w:val="00C569F5"/>
    <w:rsid w:val="00C57F6F"/>
    <w:rsid w:val="00C60106"/>
    <w:rsid w:val="00C60A99"/>
    <w:rsid w:val="00C60D2F"/>
    <w:rsid w:val="00C6168C"/>
    <w:rsid w:val="00C62041"/>
    <w:rsid w:val="00C627FD"/>
    <w:rsid w:val="00C63144"/>
    <w:rsid w:val="00C63B84"/>
    <w:rsid w:val="00C63C59"/>
    <w:rsid w:val="00C63E70"/>
    <w:rsid w:val="00C6464C"/>
    <w:rsid w:val="00C64B5A"/>
    <w:rsid w:val="00C64DC3"/>
    <w:rsid w:val="00C655DC"/>
    <w:rsid w:val="00C65870"/>
    <w:rsid w:val="00C6593E"/>
    <w:rsid w:val="00C659D3"/>
    <w:rsid w:val="00C65AA7"/>
    <w:rsid w:val="00C66572"/>
    <w:rsid w:val="00C6696E"/>
    <w:rsid w:val="00C66A3E"/>
    <w:rsid w:val="00C67D6C"/>
    <w:rsid w:val="00C7057A"/>
    <w:rsid w:val="00C7058C"/>
    <w:rsid w:val="00C70EC3"/>
    <w:rsid w:val="00C70FEA"/>
    <w:rsid w:val="00C71450"/>
    <w:rsid w:val="00C71AFD"/>
    <w:rsid w:val="00C724EF"/>
    <w:rsid w:val="00C72BCF"/>
    <w:rsid w:val="00C73468"/>
    <w:rsid w:val="00C73475"/>
    <w:rsid w:val="00C73585"/>
    <w:rsid w:val="00C74025"/>
    <w:rsid w:val="00C7461E"/>
    <w:rsid w:val="00C7463C"/>
    <w:rsid w:val="00C74AD9"/>
    <w:rsid w:val="00C750F4"/>
    <w:rsid w:val="00C75B8C"/>
    <w:rsid w:val="00C75C44"/>
    <w:rsid w:val="00C75CDB"/>
    <w:rsid w:val="00C76469"/>
    <w:rsid w:val="00C767D8"/>
    <w:rsid w:val="00C769DC"/>
    <w:rsid w:val="00C76A2B"/>
    <w:rsid w:val="00C76C17"/>
    <w:rsid w:val="00C76D85"/>
    <w:rsid w:val="00C76F94"/>
    <w:rsid w:val="00C77F87"/>
    <w:rsid w:val="00C806C7"/>
    <w:rsid w:val="00C80ECC"/>
    <w:rsid w:val="00C81ABB"/>
    <w:rsid w:val="00C81CBE"/>
    <w:rsid w:val="00C81DAE"/>
    <w:rsid w:val="00C81F65"/>
    <w:rsid w:val="00C8235D"/>
    <w:rsid w:val="00C829C1"/>
    <w:rsid w:val="00C82B0F"/>
    <w:rsid w:val="00C82BBA"/>
    <w:rsid w:val="00C83195"/>
    <w:rsid w:val="00C8342D"/>
    <w:rsid w:val="00C8399D"/>
    <w:rsid w:val="00C83A8A"/>
    <w:rsid w:val="00C83C06"/>
    <w:rsid w:val="00C84176"/>
    <w:rsid w:val="00C84661"/>
    <w:rsid w:val="00C84B53"/>
    <w:rsid w:val="00C84F79"/>
    <w:rsid w:val="00C8575D"/>
    <w:rsid w:val="00C85D21"/>
    <w:rsid w:val="00C87AB3"/>
    <w:rsid w:val="00C87F1A"/>
    <w:rsid w:val="00C9019C"/>
    <w:rsid w:val="00C90257"/>
    <w:rsid w:val="00C90512"/>
    <w:rsid w:val="00C90D5D"/>
    <w:rsid w:val="00C91096"/>
    <w:rsid w:val="00C91D94"/>
    <w:rsid w:val="00C9212A"/>
    <w:rsid w:val="00C929FC"/>
    <w:rsid w:val="00C92DCF"/>
    <w:rsid w:val="00C93180"/>
    <w:rsid w:val="00C9318A"/>
    <w:rsid w:val="00C935A0"/>
    <w:rsid w:val="00C9376B"/>
    <w:rsid w:val="00C9423E"/>
    <w:rsid w:val="00C95B89"/>
    <w:rsid w:val="00C961FE"/>
    <w:rsid w:val="00C96524"/>
    <w:rsid w:val="00C96B51"/>
    <w:rsid w:val="00C96E9D"/>
    <w:rsid w:val="00C96F5D"/>
    <w:rsid w:val="00C97783"/>
    <w:rsid w:val="00CA0549"/>
    <w:rsid w:val="00CA05E5"/>
    <w:rsid w:val="00CA07A7"/>
    <w:rsid w:val="00CA1D59"/>
    <w:rsid w:val="00CA21BE"/>
    <w:rsid w:val="00CA2274"/>
    <w:rsid w:val="00CA22A7"/>
    <w:rsid w:val="00CA25EE"/>
    <w:rsid w:val="00CA26A2"/>
    <w:rsid w:val="00CA26F2"/>
    <w:rsid w:val="00CA2D8E"/>
    <w:rsid w:val="00CA367B"/>
    <w:rsid w:val="00CA3868"/>
    <w:rsid w:val="00CA3FD8"/>
    <w:rsid w:val="00CA48DF"/>
    <w:rsid w:val="00CA490B"/>
    <w:rsid w:val="00CA4B93"/>
    <w:rsid w:val="00CA5351"/>
    <w:rsid w:val="00CA5520"/>
    <w:rsid w:val="00CA5840"/>
    <w:rsid w:val="00CA58C3"/>
    <w:rsid w:val="00CA5AEB"/>
    <w:rsid w:val="00CA5E33"/>
    <w:rsid w:val="00CA6308"/>
    <w:rsid w:val="00CA7100"/>
    <w:rsid w:val="00CA7373"/>
    <w:rsid w:val="00CA7475"/>
    <w:rsid w:val="00CA74E5"/>
    <w:rsid w:val="00CA7768"/>
    <w:rsid w:val="00CA7B11"/>
    <w:rsid w:val="00CB016D"/>
    <w:rsid w:val="00CB08E8"/>
    <w:rsid w:val="00CB0C84"/>
    <w:rsid w:val="00CB15A5"/>
    <w:rsid w:val="00CB1B04"/>
    <w:rsid w:val="00CB1FFB"/>
    <w:rsid w:val="00CB22A7"/>
    <w:rsid w:val="00CB22CF"/>
    <w:rsid w:val="00CB275C"/>
    <w:rsid w:val="00CB2A33"/>
    <w:rsid w:val="00CB2FF9"/>
    <w:rsid w:val="00CB3C2E"/>
    <w:rsid w:val="00CB447E"/>
    <w:rsid w:val="00CB47F1"/>
    <w:rsid w:val="00CB49CE"/>
    <w:rsid w:val="00CB5003"/>
    <w:rsid w:val="00CB5397"/>
    <w:rsid w:val="00CB5529"/>
    <w:rsid w:val="00CB6157"/>
    <w:rsid w:val="00CB638E"/>
    <w:rsid w:val="00CB68A9"/>
    <w:rsid w:val="00CB6C71"/>
    <w:rsid w:val="00CB6ED2"/>
    <w:rsid w:val="00CB740B"/>
    <w:rsid w:val="00CB7725"/>
    <w:rsid w:val="00CB7ADD"/>
    <w:rsid w:val="00CB7FEF"/>
    <w:rsid w:val="00CC02F7"/>
    <w:rsid w:val="00CC0845"/>
    <w:rsid w:val="00CC0933"/>
    <w:rsid w:val="00CC178B"/>
    <w:rsid w:val="00CC199B"/>
    <w:rsid w:val="00CC1F6C"/>
    <w:rsid w:val="00CC26E1"/>
    <w:rsid w:val="00CC27F5"/>
    <w:rsid w:val="00CC28F9"/>
    <w:rsid w:val="00CC3460"/>
    <w:rsid w:val="00CC4394"/>
    <w:rsid w:val="00CC466E"/>
    <w:rsid w:val="00CC4D62"/>
    <w:rsid w:val="00CC548E"/>
    <w:rsid w:val="00CC5654"/>
    <w:rsid w:val="00CC5BAE"/>
    <w:rsid w:val="00CC624F"/>
    <w:rsid w:val="00CC6E95"/>
    <w:rsid w:val="00CC72FB"/>
    <w:rsid w:val="00CC7A55"/>
    <w:rsid w:val="00CC7CEB"/>
    <w:rsid w:val="00CD02B6"/>
    <w:rsid w:val="00CD0446"/>
    <w:rsid w:val="00CD0629"/>
    <w:rsid w:val="00CD1219"/>
    <w:rsid w:val="00CD163E"/>
    <w:rsid w:val="00CD1785"/>
    <w:rsid w:val="00CD2888"/>
    <w:rsid w:val="00CD293D"/>
    <w:rsid w:val="00CD397F"/>
    <w:rsid w:val="00CD3B0B"/>
    <w:rsid w:val="00CD41E9"/>
    <w:rsid w:val="00CD42A7"/>
    <w:rsid w:val="00CD514E"/>
    <w:rsid w:val="00CD5342"/>
    <w:rsid w:val="00CD5774"/>
    <w:rsid w:val="00CD5FC5"/>
    <w:rsid w:val="00CD6BE6"/>
    <w:rsid w:val="00CD6F94"/>
    <w:rsid w:val="00CD7436"/>
    <w:rsid w:val="00CD7BEC"/>
    <w:rsid w:val="00CD7C76"/>
    <w:rsid w:val="00CE03A5"/>
    <w:rsid w:val="00CE059F"/>
    <w:rsid w:val="00CE0B73"/>
    <w:rsid w:val="00CE0FEE"/>
    <w:rsid w:val="00CE11D8"/>
    <w:rsid w:val="00CE1565"/>
    <w:rsid w:val="00CE1DAE"/>
    <w:rsid w:val="00CE2202"/>
    <w:rsid w:val="00CE29B0"/>
    <w:rsid w:val="00CE33A3"/>
    <w:rsid w:val="00CE4A42"/>
    <w:rsid w:val="00CE4D07"/>
    <w:rsid w:val="00CE4EF2"/>
    <w:rsid w:val="00CE5513"/>
    <w:rsid w:val="00CE5DFF"/>
    <w:rsid w:val="00CE5FC6"/>
    <w:rsid w:val="00CE6310"/>
    <w:rsid w:val="00CE63A6"/>
    <w:rsid w:val="00CE67E2"/>
    <w:rsid w:val="00CE6B7D"/>
    <w:rsid w:val="00CE7322"/>
    <w:rsid w:val="00CE739B"/>
    <w:rsid w:val="00CF0012"/>
    <w:rsid w:val="00CF0096"/>
    <w:rsid w:val="00CF0393"/>
    <w:rsid w:val="00CF042C"/>
    <w:rsid w:val="00CF0986"/>
    <w:rsid w:val="00CF0D52"/>
    <w:rsid w:val="00CF0E62"/>
    <w:rsid w:val="00CF10FB"/>
    <w:rsid w:val="00CF1131"/>
    <w:rsid w:val="00CF2081"/>
    <w:rsid w:val="00CF21D5"/>
    <w:rsid w:val="00CF26CF"/>
    <w:rsid w:val="00CF2901"/>
    <w:rsid w:val="00CF39D0"/>
    <w:rsid w:val="00CF3E31"/>
    <w:rsid w:val="00CF41B8"/>
    <w:rsid w:val="00CF4999"/>
    <w:rsid w:val="00CF5578"/>
    <w:rsid w:val="00CF59D8"/>
    <w:rsid w:val="00CF5DDF"/>
    <w:rsid w:val="00CF6318"/>
    <w:rsid w:val="00CF6651"/>
    <w:rsid w:val="00CF67EB"/>
    <w:rsid w:val="00CF690C"/>
    <w:rsid w:val="00CF70F7"/>
    <w:rsid w:val="00D0049E"/>
    <w:rsid w:val="00D00A56"/>
    <w:rsid w:val="00D00A5B"/>
    <w:rsid w:val="00D01273"/>
    <w:rsid w:val="00D012D2"/>
    <w:rsid w:val="00D0220D"/>
    <w:rsid w:val="00D02259"/>
    <w:rsid w:val="00D02291"/>
    <w:rsid w:val="00D02F77"/>
    <w:rsid w:val="00D03381"/>
    <w:rsid w:val="00D0376C"/>
    <w:rsid w:val="00D03A36"/>
    <w:rsid w:val="00D03AB6"/>
    <w:rsid w:val="00D03BB5"/>
    <w:rsid w:val="00D03FB3"/>
    <w:rsid w:val="00D04E7E"/>
    <w:rsid w:val="00D05687"/>
    <w:rsid w:val="00D05AC2"/>
    <w:rsid w:val="00D05B2B"/>
    <w:rsid w:val="00D05C3E"/>
    <w:rsid w:val="00D05D5E"/>
    <w:rsid w:val="00D063D6"/>
    <w:rsid w:val="00D063E5"/>
    <w:rsid w:val="00D073A4"/>
    <w:rsid w:val="00D1015A"/>
    <w:rsid w:val="00D1101B"/>
    <w:rsid w:val="00D1178A"/>
    <w:rsid w:val="00D11C9D"/>
    <w:rsid w:val="00D11CCD"/>
    <w:rsid w:val="00D12C63"/>
    <w:rsid w:val="00D12CF5"/>
    <w:rsid w:val="00D12D98"/>
    <w:rsid w:val="00D13024"/>
    <w:rsid w:val="00D130BC"/>
    <w:rsid w:val="00D132FC"/>
    <w:rsid w:val="00D13DFB"/>
    <w:rsid w:val="00D146DD"/>
    <w:rsid w:val="00D152CD"/>
    <w:rsid w:val="00D15593"/>
    <w:rsid w:val="00D158A7"/>
    <w:rsid w:val="00D15946"/>
    <w:rsid w:val="00D15C90"/>
    <w:rsid w:val="00D15D2E"/>
    <w:rsid w:val="00D166F9"/>
    <w:rsid w:val="00D16BB1"/>
    <w:rsid w:val="00D175E1"/>
    <w:rsid w:val="00D17730"/>
    <w:rsid w:val="00D17970"/>
    <w:rsid w:val="00D20058"/>
    <w:rsid w:val="00D2010D"/>
    <w:rsid w:val="00D20281"/>
    <w:rsid w:val="00D205B9"/>
    <w:rsid w:val="00D22061"/>
    <w:rsid w:val="00D22377"/>
    <w:rsid w:val="00D226A4"/>
    <w:rsid w:val="00D226B8"/>
    <w:rsid w:val="00D229E0"/>
    <w:rsid w:val="00D232F0"/>
    <w:rsid w:val="00D23930"/>
    <w:rsid w:val="00D23D47"/>
    <w:rsid w:val="00D24374"/>
    <w:rsid w:val="00D24DA1"/>
    <w:rsid w:val="00D25B7A"/>
    <w:rsid w:val="00D25EAA"/>
    <w:rsid w:val="00D260C5"/>
    <w:rsid w:val="00D2647F"/>
    <w:rsid w:val="00D26695"/>
    <w:rsid w:val="00D26E0A"/>
    <w:rsid w:val="00D2775F"/>
    <w:rsid w:val="00D278C8"/>
    <w:rsid w:val="00D27AA2"/>
    <w:rsid w:val="00D27BA4"/>
    <w:rsid w:val="00D27CAC"/>
    <w:rsid w:val="00D27E32"/>
    <w:rsid w:val="00D30461"/>
    <w:rsid w:val="00D30651"/>
    <w:rsid w:val="00D30B92"/>
    <w:rsid w:val="00D31722"/>
    <w:rsid w:val="00D31AB6"/>
    <w:rsid w:val="00D31B1D"/>
    <w:rsid w:val="00D31E5E"/>
    <w:rsid w:val="00D32294"/>
    <w:rsid w:val="00D32886"/>
    <w:rsid w:val="00D329F7"/>
    <w:rsid w:val="00D32ED2"/>
    <w:rsid w:val="00D32F23"/>
    <w:rsid w:val="00D33026"/>
    <w:rsid w:val="00D33145"/>
    <w:rsid w:val="00D33428"/>
    <w:rsid w:val="00D34455"/>
    <w:rsid w:val="00D3540A"/>
    <w:rsid w:val="00D354C9"/>
    <w:rsid w:val="00D354FF"/>
    <w:rsid w:val="00D3555B"/>
    <w:rsid w:val="00D358F2"/>
    <w:rsid w:val="00D3592D"/>
    <w:rsid w:val="00D35CD3"/>
    <w:rsid w:val="00D36B1C"/>
    <w:rsid w:val="00D36B7B"/>
    <w:rsid w:val="00D37905"/>
    <w:rsid w:val="00D37C08"/>
    <w:rsid w:val="00D4094B"/>
    <w:rsid w:val="00D40D94"/>
    <w:rsid w:val="00D4121E"/>
    <w:rsid w:val="00D4132C"/>
    <w:rsid w:val="00D413E8"/>
    <w:rsid w:val="00D41669"/>
    <w:rsid w:val="00D42A67"/>
    <w:rsid w:val="00D42BA5"/>
    <w:rsid w:val="00D4330F"/>
    <w:rsid w:val="00D434B5"/>
    <w:rsid w:val="00D43E1C"/>
    <w:rsid w:val="00D44BF5"/>
    <w:rsid w:val="00D45222"/>
    <w:rsid w:val="00D4573A"/>
    <w:rsid w:val="00D45760"/>
    <w:rsid w:val="00D45904"/>
    <w:rsid w:val="00D465E4"/>
    <w:rsid w:val="00D473E2"/>
    <w:rsid w:val="00D50032"/>
    <w:rsid w:val="00D503F5"/>
    <w:rsid w:val="00D50853"/>
    <w:rsid w:val="00D50C1E"/>
    <w:rsid w:val="00D50E6A"/>
    <w:rsid w:val="00D510D6"/>
    <w:rsid w:val="00D510F0"/>
    <w:rsid w:val="00D51314"/>
    <w:rsid w:val="00D51D5F"/>
    <w:rsid w:val="00D52ACA"/>
    <w:rsid w:val="00D52B8F"/>
    <w:rsid w:val="00D53452"/>
    <w:rsid w:val="00D539A0"/>
    <w:rsid w:val="00D53C90"/>
    <w:rsid w:val="00D53D76"/>
    <w:rsid w:val="00D540CC"/>
    <w:rsid w:val="00D546C9"/>
    <w:rsid w:val="00D54AF6"/>
    <w:rsid w:val="00D54D11"/>
    <w:rsid w:val="00D54F87"/>
    <w:rsid w:val="00D5532D"/>
    <w:rsid w:val="00D55523"/>
    <w:rsid w:val="00D563D2"/>
    <w:rsid w:val="00D56DB1"/>
    <w:rsid w:val="00D57403"/>
    <w:rsid w:val="00D574BD"/>
    <w:rsid w:val="00D57BF9"/>
    <w:rsid w:val="00D57CA8"/>
    <w:rsid w:val="00D57EA3"/>
    <w:rsid w:val="00D60582"/>
    <w:rsid w:val="00D605C2"/>
    <w:rsid w:val="00D60642"/>
    <w:rsid w:val="00D60647"/>
    <w:rsid w:val="00D61DC9"/>
    <w:rsid w:val="00D62548"/>
    <w:rsid w:val="00D62823"/>
    <w:rsid w:val="00D6293B"/>
    <w:rsid w:val="00D62AD9"/>
    <w:rsid w:val="00D62BEC"/>
    <w:rsid w:val="00D62D1B"/>
    <w:rsid w:val="00D63C0B"/>
    <w:rsid w:val="00D63F30"/>
    <w:rsid w:val="00D644DF"/>
    <w:rsid w:val="00D64CE3"/>
    <w:rsid w:val="00D64FDB"/>
    <w:rsid w:val="00D651CA"/>
    <w:rsid w:val="00D6535E"/>
    <w:rsid w:val="00D6593B"/>
    <w:rsid w:val="00D65E16"/>
    <w:rsid w:val="00D66201"/>
    <w:rsid w:val="00D66250"/>
    <w:rsid w:val="00D66698"/>
    <w:rsid w:val="00D67D3D"/>
    <w:rsid w:val="00D67E3B"/>
    <w:rsid w:val="00D705FE"/>
    <w:rsid w:val="00D70655"/>
    <w:rsid w:val="00D708F4"/>
    <w:rsid w:val="00D71654"/>
    <w:rsid w:val="00D71B6F"/>
    <w:rsid w:val="00D71EFF"/>
    <w:rsid w:val="00D72EDF"/>
    <w:rsid w:val="00D7312B"/>
    <w:rsid w:val="00D73F08"/>
    <w:rsid w:val="00D75495"/>
    <w:rsid w:val="00D76CDF"/>
    <w:rsid w:val="00D76E83"/>
    <w:rsid w:val="00D770D7"/>
    <w:rsid w:val="00D77704"/>
    <w:rsid w:val="00D77906"/>
    <w:rsid w:val="00D8036C"/>
    <w:rsid w:val="00D80403"/>
    <w:rsid w:val="00D80434"/>
    <w:rsid w:val="00D804A2"/>
    <w:rsid w:val="00D8090E"/>
    <w:rsid w:val="00D81644"/>
    <w:rsid w:val="00D81F20"/>
    <w:rsid w:val="00D82331"/>
    <w:rsid w:val="00D82CA0"/>
    <w:rsid w:val="00D832FD"/>
    <w:rsid w:val="00D83361"/>
    <w:rsid w:val="00D8349B"/>
    <w:rsid w:val="00D83F33"/>
    <w:rsid w:val="00D84238"/>
    <w:rsid w:val="00D842AD"/>
    <w:rsid w:val="00D843F0"/>
    <w:rsid w:val="00D84693"/>
    <w:rsid w:val="00D84C48"/>
    <w:rsid w:val="00D85290"/>
    <w:rsid w:val="00D85C44"/>
    <w:rsid w:val="00D8619A"/>
    <w:rsid w:val="00D864CC"/>
    <w:rsid w:val="00D86A5E"/>
    <w:rsid w:val="00D871FE"/>
    <w:rsid w:val="00D87335"/>
    <w:rsid w:val="00D878D2"/>
    <w:rsid w:val="00D90410"/>
    <w:rsid w:val="00D905EA"/>
    <w:rsid w:val="00D923B3"/>
    <w:rsid w:val="00D9295E"/>
    <w:rsid w:val="00D93BF0"/>
    <w:rsid w:val="00D94225"/>
    <w:rsid w:val="00D94C96"/>
    <w:rsid w:val="00D94E76"/>
    <w:rsid w:val="00D952CA"/>
    <w:rsid w:val="00D95BE9"/>
    <w:rsid w:val="00D95E4E"/>
    <w:rsid w:val="00D96F4F"/>
    <w:rsid w:val="00D97492"/>
    <w:rsid w:val="00D978A6"/>
    <w:rsid w:val="00D97EDB"/>
    <w:rsid w:val="00D97F2D"/>
    <w:rsid w:val="00DA06EC"/>
    <w:rsid w:val="00DA194F"/>
    <w:rsid w:val="00DA19EA"/>
    <w:rsid w:val="00DA1B3A"/>
    <w:rsid w:val="00DA23E2"/>
    <w:rsid w:val="00DA2552"/>
    <w:rsid w:val="00DA2726"/>
    <w:rsid w:val="00DA3A92"/>
    <w:rsid w:val="00DA3C8F"/>
    <w:rsid w:val="00DA3CFC"/>
    <w:rsid w:val="00DA591A"/>
    <w:rsid w:val="00DA593D"/>
    <w:rsid w:val="00DA59B1"/>
    <w:rsid w:val="00DA620A"/>
    <w:rsid w:val="00DA68B4"/>
    <w:rsid w:val="00DA6986"/>
    <w:rsid w:val="00DA6D6C"/>
    <w:rsid w:val="00DA7CAC"/>
    <w:rsid w:val="00DA7E64"/>
    <w:rsid w:val="00DB0F4A"/>
    <w:rsid w:val="00DB11C3"/>
    <w:rsid w:val="00DB170D"/>
    <w:rsid w:val="00DB1D0A"/>
    <w:rsid w:val="00DB2809"/>
    <w:rsid w:val="00DB324E"/>
    <w:rsid w:val="00DB34F9"/>
    <w:rsid w:val="00DB3B62"/>
    <w:rsid w:val="00DB47BD"/>
    <w:rsid w:val="00DB4C08"/>
    <w:rsid w:val="00DB4DBD"/>
    <w:rsid w:val="00DB4EE3"/>
    <w:rsid w:val="00DB572B"/>
    <w:rsid w:val="00DB66F3"/>
    <w:rsid w:val="00DB702B"/>
    <w:rsid w:val="00DB72A0"/>
    <w:rsid w:val="00DB76B8"/>
    <w:rsid w:val="00DB774B"/>
    <w:rsid w:val="00DB77A8"/>
    <w:rsid w:val="00DC04AC"/>
    <w:rsid w:val="00DC1F83"/>
    <w:rsid w:val="00DC21A0"/>
    <w:rsid w:val="00DC2665"/>
    <w:rsid w:val="00DC27F1"/>
    <w:rsid w:val="00DC2960"/>
    <w:rsid w:val="00DC3290"/>
    <w:rsid w:val="00DC3AFC"/>
    <w:rsid w:val="00DC3E14"/>
    <w:rsid w:val="00DC4476"/>
    <w:rsid w:val="00DC4478"/>
    <w:rsid w:val="00DC4855"/>
    <w:rsid w:val="00DC498D"/>
    <w:rsid w:val="00DC512A"/>
    <w:rsid w:val="00DC543B"/>
    <w:rsid w:val="00DC5578"/>
    <w:rsid w:val="00DC6924"/>
    <w:rsid w:val="00DC6959"/>
    <w:rsid w:val="00DC72DD"/>
    <w:rsid w:val="00DD0717"/>
    <w:rsid w:val="00DD0917"/>
    <w:rsid w:val="00DD0C77"/>
    <w:rsid w:val="00DD0FB6"/>
    <w:rsid w:val="00DD16E4"/>
    <w:rsid w:val="00DD18A7"/>
    <w:rsid w:val="00DD2FCB"/>
    <w:rsid w:val="00DD31FF"/>
    <w:rsid w:val="00DD3451"/>
    <w:rsid w:val="00DD351E"/>
    <w:rsid w:val="00DD3DD4"/>
    <w:rsid w:val="00DD58BA"/>
    <w:rsid w:val="00DD5C8C"/>
    <w:rsid w:val="00DD6B5D"/>
    <w:rsid w:val="00DD6EA0"/>
    <w:rsid w:val="00DD7154"/>
    <w:rsid w:val="00DD7AA4"/>
    <w:rsid w:val="00DE0025"/>
    <w:rsid w:val="00DE10C1"/>
    <w:rsid w:val="00DE13B7"/>
    <w:rsid w:val="00DE1F94"/>
    <w:rsid w:val="00DE2165"/>
    <w:rsid w:val="00DE2391"/>
    <w:rsid w:val="00DE2BCB"/>
    <w:rsid w:val="00DE38A1"/>
    <w:rsid w:val="00DE38EE"/>
    <w:rsid w:val="00DE3ADB"/>
    <w:rsid w:val="00DE3C58"/>
    <w:rsid w:val="00DE438A"/>
    <w:rsid w:val="00DE4434"/>
    <w:rsid w:val="00DE4511"/>
    <w:rsid w:val="00DE476C"/>
    <w:rsid w:val="00DE48D5"/>
    <w:rsid w:val="00DE4D41"/>
    <w:rsid w:val="00DE529C"/>
    <w:rsid w:val="00DE546A"/>
    <w:rsid w:val="00DE54FC"/>
    <w:rsid w:val="00DE57F8"/>
    <w:rsid w:val="00DE6D0A"/>
    <w:rsid w:val="00DE747C"/>
    <w:rsid w:val="00DE766F"/>
    <w:rsid w:val="00DF041C"/>
    <w:rsid w:val="00DF052F"/>
    <w:rsid w:val="00DF0B5D"/>
    <w:rsid w:val="00DF0FCF"/>
    <w:rsid w:val="00DF0FF4"/>
    <w:rsid w:val="00DF194E"/>
    <w:rsid w:val="00DF1D8D"/>
    <w:rsid w:val="00DF1F8A"/>
    <w:rsid w:val="00DF23B6"/>
    <w:rsid w:val="00DF2642"/>
    <w:rsid w:val="00DF286F"/>
    <w:rsid w:val="00DF2AC8"/>
    <w:rsid w:val="00DF2B17"/>
    <w:rsid w:val="00DF33A1"/>
    <w:rsid w:val="00DF33AD"/>
    <w:rsid w:val="00DF3C1F"/>
    <w:rsid w:val="00DF4501"/>
    <w:rsid w:val="00DF49E7"/>
    <w:rsid w:val="00DF4C53"/>
    <w:rsid w:val="00DF5884"/>
    <w:rsid w:val="00DF5A6D"/>
    <w:rsid w:val="00DF5C27"/>
    <w:rsid w:val="00DF5C2D"/>
    <w:rsid w:val="00DF6620"/>
    <w:rsid w:val="00DF6969"/>
    <w:rsid w:val="00DF6B81"/>
    <w:rsid w:val="00DF7186"/>
    <w:rsid w:val="00DF7FDE"/>
    <w:rsid w:val="00E00065"/>
    <w:rsid w:val="00E0073F"/>
    <w:rsid w:val="00E00BBA"/>
    <w:rsid w:val="00E01BC1"/>
    <w:rsid w:val="00E01C76"/>
    <w:rsid w:val="00E026F0"/>
    <w:rsid w:val="00E029B8"/>
    <w:rsid w:val="00E03180"/>
    <w:rsid w:val="00E03CCF"/>
    <w:rsid w:val="00E03DAC"/>
    <w:rsid w:val="00E03E52"/>
    <w:rsid w:val="00E03EA0"/>
    <w:rsid w:val="00E03F81"/>
    <w:rsid w:val="00E042F9"/>
    <w:rsid w:val="00E048AA"/>
    <w:rsid w:val="00E04F4E"/>
    <w:rsid w:val="00E050B7"/>
    <w:rsid w:val="00E05426"/>
    <w:rsid w:val="00E05AD0"/>
    <w:rsid w:val="00E05B5D"/>
    <w:rsid w:val="00E05C3E"/>
    <w:rsid w:val="00E05F1D"/>
    <w:rsid w:val="00E064AC"/>
    <w:rsid w:val="00E06EF0"/>
    <w:rsid w:val="00E06FF4"/>
    <w:rsid w:val="00E07C11"/>
    <w:rsid w:val="00E10250"/>
    <w:rsid w:val="00E10878"/>
    <w:rsid w:val="00E10A48"/>
    <w:rsid w:val="00E11059"/>
    <w:rsid w:val="00E1113C"/>
    <w:rsid w:val="00E11178"/>
    <w:rsid w:val="00E11989"/>
    <w:rsid w:val="00E11C64"/>
    <w:rsid w:val="00E11E0A"/>
    <w:rsid w:val="00E12501"/>
    <w:rsid w:val="00E125AF"/>
    <w:rsid w:val="00E12C8D"/>
    <w:rsid w:val="00E12F18"/>
    <w:rsid w:val="00E130D7"/>
    <w:rsid w:val="00E1386D"/>
    <w:rsid w:val="00E13A38"/>
    <w:rsid w:val="00E143A4"/>
    <w:rsid w:val="00E144C9"/>
    <w:rsid w:val="00E148EA"/>
    <w:rsid w:val="00E15591"/>
    <w:rsid w:val="00E1585E"/>
    <w:rsid w:val="00E16907"/>
    <w:rsid w:val="00E171F4"/>
    <w:rsid w:val="00E1768E"/>
    <w:rsid w:val="00E20089"/>
    <w:rsid w:val="00E20245"/>
    <w:rsid w:val="00E20B07"/>
    <w:rsid w:val="00E20B80"/>
    <w:rsid w:val="00E217AD"/>
    <w:rsid w:val="00E21822"/>
    <w:rsid w:val="00E21E18"/>
    <w:rsid w:val="00E2207A"/>
    <w:rsid w:val="00E226DD"/>
    <w:rsid w:val="00E22837"/>
    <w:rsid w:val="00E23060"/>
    <w:rsid w:val="00E23193"/>
    <w:rsid w:val="00E236F1"/>
    <w:rsid w:val="00E239DE"/>
    <w:rsid w:val="00E23D03"/>
    <w:rsid w:val="00E23F06"/>
    <w:rsid w:val="00E23F8B"/>
    <w:rsid w:val="00E24230"/>
    <w:rsid w:val="00E24728"/>
    <w:rsid w:val="00E24C34"/>
    <w:rsid w:val="00E25396"/>
    <w:rsid w:val="00E25599"/>
    <w:rsid w:val="00E25FAE"/>
    <w:rsid w:val="00E260B3"/>
    <w:rsid w:val="00E2683D"/>
    <w:rsid w:val="00E26855"/>
    <w:rsid w:val="00E26914"/>
    <w:rsid w:val="00E2715B"/>
    <w:rsid w:val="00E27682"/>
    <w:rsid w:val="00E30862"/>
    <w:rsid w:val="00E30DDA"/>
    <w:rsid w:val="00E30E27"/>
    <w:rsid w:val="00E318CF"/>
    <w:rsid w:val="00E31B65"/>
    <w:rsid w:val="00E31C41"/>
    <w:rsid w:val="00E33112"/>
    <w:rsid w:val="00E33A47"/>
    <w:rsid w:val="00E33F9C"/>
    <w:rsid w:val="00E34045"/>
    <w:rsid w:val="00E34235"/>
    <w:rsid w:val="00E34289"/>
    <w:rsid w:val="00E35427"/>
    <w:rsid w:val="00E356F4"/>
    <w:rsid w:val="00E35EB5"/>
    <w:rsid w:val="00E36055"/>
    <w:rsid w:val="00E3657A"/>
    <w:rsid w:val="00E37B1A"/>
    <w:rsid w:val="00E37F88"/>
    <w:rsid w:val="00E40293"/>
    <w:rsid w:val="00E403A3"/>
    <w:rsid w:val="00E40AA2"/>
    <w:rsid w:val="00E40B34"/>
    <w:rsid w:val="00E40B93"/>
    <w:rsid w:val="00E4115D"/>
    <w:rsid w:val="00E41A68"/>
    <w:rsid w:val="00E420FA"/>
    <w:rsid w:val="00E4245B"/>
    <w:rsid w:val="00E427A0"/>
    <w:rsid w:val="00E42918"/>
    <w:rsid w:val="00E42C00"/>
    <w:rsid w:val="00E42C5F"/>
    <w:rsid w:val="00E431F4"/>
    <w:rsid w:val="00E4339D"/>
    <w:rsid w:val="00E44081"/>
    <w:rsid w:val="00E442C7"/>
    <w:rsid w:val="00E44569"/>
    <w:rsid w:val="00E448D3"/>
    <w:rsid w:val="00E4545A"/>
    <w:rsid w:val="00E4594D"/>
    <w:rsid w:val="00E46D72"/>
    <w:rsid w:val="00E47D98"/>
    <w:rsid w:val="00E50328"/>
    <w:rsid w:val="00E507C5"/>
    <w:rsid w:val="00E508BB"/>
    <w:rsid w:val="00E509EB"/>
    <w:rsid w:val="00E51A8F"/>
    <w:rsid w:val="00E51B6D"/>
    <w:rsid w:val="00E5252E"/>
    <w:rsid w:val="00E526E3"/>
    <w:rsid w:val="00E52924"/>
    <w:rsid w:val="00E52CCA"/>
    <w:rsid w:val="00E53417"/>
    <w:rsid w:val="00E541BA"/>
    <w:rsid w:val="00E54216"/>
    <w:rsid w:val="00E546BA"/>
    <w:rsid w:val="00E54AAA"/>
    <w:rsid w:val="00E55B53"/>
    <w:rsid w:val="00E55BD9"/>
    <w:rsid w:val="00E560EC"/>
    <w:rsid w:val="00E5621E"/>
    <w:rsid w:val="00E56566"/>
    <w:rsid w:val="00E5674C"/>
    <w:rsid w:val="00E56D36"/>
    <w:rsid w:val="00E574FC"/>
    <w:rsid w:val="00E57C54"/>
    <w:rsid w:val="00E60339"/>
    <w:rsid w:val="00E60BF4"/>
    <w:rsid w:val="00E61835"/>
    <w:rsid w:val="00E62094"/>
    <w:rsid w:val="00E62EB2"/>
    <w:rsid w:val="00E63655"/>
    <w:rsid w:val="00E63D10"/>
    <w:rsid w:val="00E63F46"/>
    <w:rsid w:val="00E64369"/>
    <w:rsid w:val="00E64D18"/>
    <w:rsid w:val="00E64E93"/>
    <w:rsid w:val="00E64F4A"/>
    <w:rsid w:val="00E65AF4"/>
    <w:rsid w:val="00E66461"/>
    <w:rsid w:val="00E67001"/>
    <w:rsid w:val="00E67713"/>
    <w:rsid w:val="00E67A94"/>
    <w:rsid w:val="00E67B1F"/>
    <w:rsid w:val="00E70066"/>
    <w:rsid w:val="00E70351"/>
    <w:rsid w:val="00E703A3"/>
    <w:rsid w:val="00E70858"/>
    <w:rsid w:val="00E714BC"/>
    <w:rsid w:val="00E71949"/>
    <w:rsid w:val="00E72366"/>
    <w:rsid w:val="00E72453"/>
    <w:rsid w:val="00E72C8F"/>
    <w:rsid w:val="00E73941"/>
    <w:rsid w:val="00E74366"/>
    <w:rsid w:val="00E74927"/>
    <w:rsid w:val="00E75310"/>
    <w:rsid w:val="00E75E92"/>
    <w:rsid w:val="00E773BD"/>
    <w:rsid w:val="00E77503"/>
    <w:rsid w:val="00E80BBC"/>
    <w:rsid w:val="00E81199"/>
    <w:rsid w:val="00E813CB"/>
    <w:rsid w:val="00E81968"/>
    <w:rsid w:val="00E81C2C"/>
    <w:rsid w:val="00E82136"/>
    <w:rsid w:val="00E8223E"/>
    <w:rsid w:val="00E8233A"/>
    <w:rsid w:val="00E826C7"/>
    <w:rsid w:val="00E82C25"/>
    <w:rsid w:val="00E82D0C"/>
    <w:rsid w:val="00E848E0"/>
    <w:rsid w:val="00E84FBC"/>
    <w:rsid w:val="00E850A4"/>
    <w:rsid w:val="00E86353"/>
    <w:rsid w:val="00E8640C"/>
    <w:rsid w:val="00E865E7"/>
    <w:rsid w:val="00E868AB"/>
    <w:rsid w:val="00E87977"/>
    <w:rsid w:val="00E87BC3"/>
    <w:rsid w:val="00E91372"/>
    <w:rsid w:val="00E91506"/>
    <w:rsid w:val="00E92571"/>
    <w:rsid w:val="00E92668"/>
    <w:rsid w:val="00E92A7E"/>
    <w:rsid w:val="00E92D99"/>
    <w:rsid w:val="00E937BF"/>
    <w:rsid w:val="00E93B8E"/>
    <w:rsid w:val="00E947FB"/>
    <w:rsid w:val="00E94C0A"/>
    <w:rsid w:val="00E956D0"/>
    <w:rsid w:val="00E9593E"/>
    <w:rsid w:val="00E95D13"/>
    <w:rsid w:val="00E963EE"/>
    <w:rsid w:val="00E96510"/>
    <w:rsid w:val="00E96B49"/>
    <w:rsid w:val="00E96CBA"/>
    <w:rsid w:val="00E96D32"/>
    <w:rsid w:val="00E96D50"/>
    <w:rsid w:val="00E96DA9"/>
    <w:rsid w:val="00E974AD"/>
    <w:rsid w:val="00E9761D"/>
    <w:rsid w:val="00E97D48"/>
    <w:rsid w:val="00E97DEE"/>
    <w:rsid w:val="00EA02D4"/>
    <w:rsid w:val="00EA038E"/>
    <w:rsid w:val="00EA03DC"/>
    <w:rsid w:val="00EA0803"/>
    <w:rsid w:val="00EA1212"/>
    <w:rsid w:val="00EA17DF"/>
    <w:rsid w:val="00EA1E68"/>
    <w:rsid w:val="00EA1F40"/>
    <w:rsid w:val="00EA209E"/>
    <w:rsid w:val="00EA2371"/>
    <w:rsid w:val="00EA2C4E"/>
    <w:rsid w:val="00EA3034"/>
    <w:rsid w:val="00EA36AD"/>
    <w:rsid w:val="00EA3978"/>
    <w:rsid w:val="00EA3BE0"/>
    <w:rsid w:val="00EA3FE0"/>
    <w:rsid w:val="00EA41BE"/>
    <w:rsid w:val="00EA4624"/>
    <w:rsid w:val="00EA46D6"/>
    <w:rsid w:val="00EA50BD"/>
    <w:rsid w:val="00EA52B8"/>
    <w:rsid w:val="00EA5460"/>
    <w:rsid w:val="00EA55C0"/>
    <w:rsid w:val="00EA58E5"/>
    <w:rsid w:val="00EA5C4F"/>
    <w:rsid w:val="00EA6269"/>
    <w:rsid w:val="00EA674B"/>
    <w:rsid w:val="00EA7A05"/>
    <w:rsid w:val="00EA7AEC"/>
    <w:rsid w:val="00EA7E88"/>
    <w:rsid w:val="00EB0157"/>
    <w:rsid w:val="00EB0A85"/>
    <w:rsid w:val="00EB0B18"/>
    <w:rsid w:val="00EB0DF1"/>
    <w:rsid w:val="00EB0F2F"/>
    <w:rsid w:val="00EB135A"/>
    <w:rsid w:val="00EB1AE0"/>
    <w:rsid w:val="00EB1C31"/>
    <w:rsid w:val="00EB211B"/>
    <w:rsid w:val="00EB27AA"/>
    <w:rsid w:val="00EB2B7B"/>
    <w:rsid w:val="00EB30AB"/>
    <w:rsid w:val="00EB39BA"/>
    <w:rsid w:val="00EB5151"/>
    <w:rsid w:val="00EB5799"/>
    <w:rsid w:val="00EB5B3F"/>
    <w:rsid w:val="00EB64F0"/>
    <w:rsid w:val="00EB6D99"/>
    <w:rsid w:val="00EC0016"/>
    <w:rsid w:val="00EC091E"/>
    <w:rsid w:val="00EC13A3"/>
    <w:rsid w:val="00EC1CC4"/>
    <w:rsid w:val="00EC1E78"/>
    <w:rsid w:val="00EC1F2B"/>
    <w:rsid w:val="00EC2047"/>
    <w:rsid w:val="00EC23A3"/>
    <w:rsid w:val="00EC263F"/>
    <w:rsid w:val="00EC2774"/>
    <w:rsid w:val="00EC2A8C"/>
    <w:rsid w:val="00EC305F"/>
    <w:rsid w:val="00EC32B6"/>
    <w:rsid w:val="00EC3855"/>
    <w:rsid w:val="00EC3C72"/>
    <w:rsid w:val="00EC4166"/>
    <w:rsid w:val="00EC46E0"/>
    <w:rsid w:val="00EC4983"/>
    <w:rsid w:val="00EC4C3D"/>
    <w:rsid w:val="00EC4D2A"/>
    <w:rsid w:val="00EC5415"/>
    <w:rsid w:val="00EC5EDD"/>
    <w:rsid w:val="00EC7331"/>
    <w:rsid w:val="00EC7463"/>
    <w:rsid w:val="00ED0767"/>
    <w:rsid w:val="00ED14DB"/>
    <w:rsid w:val="00ED1571"/>
    <w:rsid w:val="00ED19E6"/>
    <w:rsid w:val="00ED1A3B"/>
    <w:rsid w:val="00ED200E"/>
    <w:rsid w:val="00ED2BBF"/>
    <w:rsid w:val="00ED2D24"/>
    <w:rsid w:val="00ED2E33"/>
    <w:rsid w:val="00ED3197"/>
    <w:rsid w:val="00ED342C"/>
    <w:rsid w:val="00ED43CD"/>
    <w:rsid w:val="00ED50A6"/>
    <w:rsid w:val="00ED57F6"/>
    <w:rsid w:val="00ED5BA9"/>
    <w:rsid w:val="00ED5C26"/>
    <w:rsid w:val="00ED605D"/>
    <w:rsid w:val="00ED64EC"/>
    <w:rsid w:val="00ED6E23"/>
    <w:rsid w:val="00ED6FD3"/>
    <w:rsid w:val="00ED7106"/>
    <w:rsid w:val="00ED73F6"/>
    <w:rsid w:val="00ED77B3"/>
    <w:rsid w:val="00ED7A3D"/>
    <w:rsid w:val="00EE022A"/>
    <w:rsid w:val="00EE0A4D"/>
    <w:rsid w:val="00EE0EC1"/>
    <w:rsid w:val="00EE12DD"/>
    <w:rsid w:val="00EE16F3"/>
    <w:rsid w:val="00EE172C"/>
    <w:rsid w:val="00EE17B1"/>
    <w:rsid w:val="00EE2767"/>
    <w:rsid w:val="00EE27F3"/>
    <w:rsid w:val="00EE2E9C"/>
    <w:rsid w:val="00EE2F3E"/>
    <w:rsid w:val="00EE30FF"/>
    <w:rsid w:val="00EE3706"/>
    <w:rsid w:val="00EE39F1"/>
    <w:rsid w:val="00EE39F7"/>
    <w:rsid w:val="00EE3A17"/>
    <w:rsid w:val="00EE57EF"/>
    <w:rsid w:val="00EE5E20"/>
    <w:rsid w:val="00EE62E2"/>
    <w:rsid w:val="00EE6C91"/>
    <w:rsid w:val="00EE796F"/>
    <w:rsid w:val="00EE7CA0"/>
    <w:rsid w:val="00EF04A5"/>
    <w:rsid w:val="00EF06F2"/>
    <w:rsid w:val="00EF07FA"/>
    <w:rsid w:val="00EF08A6"/>
    <w:rsid w:val="00EF15AC"/>
    <w:rsid w:val="00EF1B19"/>
    <w:rsid w:val="00EF1B47"/>
    <w:rsid w:val="00EF2306"/>
    <w:rsid w:val="00EF2CCA"/>
    <w:rsid w:val="00EF3B0C"/>
    <w:rsid w:val="00EF3E4D"/>
    <w:rsid w:val="00EF41D5"/>
    <w:rsid w:val="00EF4BAB"/>
    <w:rsid w:val="00EF4C54"/>
    <w:rsid w:val="00EF4E88"/>
    <w:rsid w:val="00EF5C5B"/>
    <w:rsid w:val="00EF76C7"/>
    <w:rsid w:val="00EF7800"/>
    <w:rsid w:val="00EF79D4"/>
    <w:rsid w:val="00EF7CB6"/>
    <w:rsid w:val="00EF7D56"/>
    <w:rsid w:val="00F0010B"/>
    <w:rsid w:val="00F00EC9"/>
    <w:rsid w:val="00F00F68"/>
    <w:rsid w:val="00F0133A"/>
    <w:rsid w:val="00F01EC9"/>
    <w:rsid w:val="00F025B5"/>
    <w:rsid w:val="00F02DD5"/>
    <w:rsid w:val="00F02E96"/>
    <w:rsid w:val="00F02FFE"/>
    <w:rsid w:val="00F03E0B"/>
    <w:rsid w:val="00F03E0F"/>
    <w:rsid w:val="00F0474B"/>
    <w:rsid w:val="00F05462"/>
    <w:rsid w:val="00F0597E"/>
    <w:rsid w:val="00F05E67"/>
    <w:rsid w:val="00F060BD"/>
    <w:rsid w:val="00F06518"/>
    <w:rsid w:val="00F076F0"/>
    <w:rsid w:val="00F07752"/>
    <w:rsid w:val="00F079FB"/>
    <w:rsid w:val="00F105B6"/>
    <w:rsid w:val="00F10890"/>
    <w:rsid w:val="00F1134E"/>
    <w:rsid w:val="00F12039"/>
    <w:rsid w:val="00F126F9"/>
    <w:rsid w:val="00F12A9C"/>
    <w:rsid w:val="00F12D06"/>
    <w:rsid w:val="00F1366C"/>
    <w:rsid w:val="00F138FC"/>
    <w:rsid w:val="00F13E1C"/>
    <w:rsid w:val="00F1415B"/>
    <w:rsid w:val="00F14187"/>
    <w:rsid w:val="00F14B4C"/>
    <w:rsid w:val="00F16019"/>
    <w:rsid w:val="00F16252"/>
    <w:rsid w:val="00F16B3B"/>
    <w:rsid w:val="00F16C33"/>
    <w:rsid w:val="00F16C94"/>
    <w:rsid w:val="00F17CB8"/>
    <w:rsid w:val="00F20E94"/>
    <w:rsid w:val="00F212F1"/>
    <w:rsid w:val="00F217B2"/>
    <w:rsid w:val="00F21A83"/>
    <w:rsid w:val="00F220BD"/>
    <w:rsid w:val="00F22327"/>
    <w:rsid w:val="00F22393"/>
    <w:rsid w:val="00F22651"/>
    <w:rsid w:val="00F226D7"/>
    <w:rsid w:val="00F22D0D"/>
    <w:rsid w:val="00F23CBE"/>
    <w:rsid w:val="00F23E0F"/>
    <w:rsid w:val="00F23E56"/>
    <w:rsid w:val="00F24561"/>
    <w:rsid w:val="00F24A52"/>
    <w:rsid w:val="00F25009"/>
    <w:rsid w:val="00F25413"/>
    <w:rsid w:val="00F255D9"/>
    <w:rsid w:val="00F25B65"/>
    <w:rsid w:val="00F25E08"/>
    <w:rsid w:val="00F25EA9"/>
    <w:rsid w:val="00F26635"/>
    <w:rsid w:val="00F26B9C"/>
    <w:rsid w:val="00F26C33"/>
    <w:rsid w:val="00F26D30"/>
    <w:rsid w:val="00F26D68"/>
    <w:rsid w:val="00F270D4"/>
    <w:rsid w:val="00F27242"/>
    <w:rsid w:val="00F27692"/>
    <w:rsid w:val="00F278D9"/>
    <w:rsid w:val="00F279DA"/>
    <w:rsid w:val="00F27C32"/>
    <w:rsid w:val="00F27C36"/>
    <w:rsid w:val="00F27C65"/>
    <w:rsid w:val="00F27DCB"/>
    <w:rsid w:val="00F27FAA"/>
    <w:rsid w:val="00F3042B"/>
    <w:rsid w:val="00F30E7D"/>
    <w:rsid w:val="00F31113"/>
    <w:rsid w:val="00F31490"/>
    <w:rsid w:val="00F3168A"/>
    <w:rsid w:val="00F316BA"/>
    <w:rsid w:val="00F32A77"/>
    <w:rsid w:val="00F32E1A"/>
    <w:rsid w:val="00F33382"/>
    <w:rsid w:val="00F33413"/>
    <w:rsid w:val="00F33527"/>
    <w:rsid w:val="00F33E92"/>
    <w:rsid w:val="00F340C1"/>
    <w:rsid w:val="00F3457F"/>
    <w:rsid w:val="00F36003"/>
    <w:rsid w:val="00F36F64"/>
    <w:rsid w:val="00F3703D"/>
    <w:rsid w:val="00F3779E"/>
    <w:rsid w:val="00F37929"/>
    <w:rsid w:val="00F40A97"/>
    <w:rsid w:val="00F40FF2"/>
    <w:rsid w:val="00F4245B"/>
    <w:rsid w:val="00F42A3A"/>
    <w:rsid w:val="00F42BDF"/>
    <w:rsid w:val="00F43190"/>
    <w:rsid w:val="00F4350D"/>
    <w:rsid w:val="00F438D5"/>
    <w:rsid w:val="00F43F9F"/>
    <w:rsid w:val="00F44A44"/>
    <w:rsid w:val="00F457A9"/>
    <w:rsid w:val="00F4593D"/>
    <w:rsid w:val="00F45EE6"/>
    <w:rsid w:val="00F46006"/>
    <w:rsid w:val="00F462E1"/>
    <w:rsid w:val="00F4641B"/>
    <w:rsid w:val="00F467A4"/>
    <w:rsid w:val="00F469E1"/>
    <w:rsid w:val="00F478B7"/>
    <w:rsid w:val="00F47AAC"/>
    <w:rsid w:val="00F50083"/>
    <w:rsid w:val="00F5018A"/>
    <w:rsid w:val="00F501A0"/>
    <w:rsid w:val="00F50346"/>
    <w:rsid w:val="00F505AD"/>
    <w:rsid w:val="00F51467"/>
    <w:rsid w:val="00F51516"/>
    <w:rsid w:val="00F523E0"/>
    <w:rsid w:val="00F525C7"/>
    <w:rsid w:val="00F5295C"/>
    <w:rsid w:val="00F52C9E"/>
    <w:rsid w:val="00F52F0E"/>
    <w:rsid w:val="00F52F4B"/>
    <w:rsid w:val="00F5332A"/>
    <w:rsid w:val="00F539BD"/>
    <w:rsid w:val="00F539D4"/>
    <w:rsid w:val="00F55B6C"/>
    <w:rsid w:val="00F55F1B"/>
    <w:rsid w:val="00F575D3"/>
    <w:rsid w:val="00F57A92"/>
    <w:rsid w:val="00F57C27"/>
    <w:rsid w:val="00F57CF2"/>
    <w:rsid w:val="00F60FFC"/>
    <w:rsid w:val="00F6168F"/>
    <w:rsid w:val="00F62041"/>
    <w:rsid w:val="00F629EF"/>
    <w:rsid w:val="00F62BE6"/>
    <w:rsid w:val="00F62CAE"/>
    <w:rsid w:val="00F63C0A"/>
    <w:rsid w:val="00F63F24"/>
    <w:rsid w:val="00F64FA3"/>
    <w:rsid w:val="00F65A61"/>
    <w:rsid w:val="00F66051"/>
    <w:rsid w:val="00F66143"/>
    <w:rsid w:val="00F661D3"/>
    <w:rsid w:val="00F66E9F"/>
    <w:rsid w:val="00F672DA"/>
    <w:rsid w:val="00F675DE"/>
    <w:rsid w:val="00F67CA8"/>
    <w:rsid w:val="00F67FB7"/>
    <w:rsid w:val="00F703E0"/>
    <w:rsid w:val="00F71FB8"/>
    <w:rsid w:val="00F720F7"/>
    <w:rsid w:val="00F722DD"/>
    <w:rsid w:val="00F7238C"/>
    <w:rsid w:val="00F734BB"/>
    <w:rsid w:val="00F737A1"/>
    <w:rsid w:val="00F73B1D"/>
    <w:rsid w:val="00F74203"/>
    <w:rsid w:val="00F7442C"/>
    <w:rsid w:val="00F749AF"/>
    <w:rsid w:val="00F74C80"/>
    <w:rsid w:val="00F76941"/>
    <w:rsid w:val="00F76DED"/>
    <w:rsid w:val="00F7729F"/>
    <w:rsid w:val="00F77720"/>
    <w:rsid w:val="00F779EC"/>
    <w:rsid w:val="00F80437"/>
    <w:rsid w:val="00F806A5"/>
    <w:rsid w:val="00F81284"/>
    <w:rsid w:val="00F813A3"/>
    <w:rsid w:val="00F81FDF"/>
    <w:rsid w:val="00F823EC"/>
    <w:rsid w:val="00F82534"/>
    <w:rsid w:val="00F8301D"/>
    <w:rsid w:val="00F8310F"/>
    <w:rsid w:val="00F83143"/>
    <w:rsid w:val="00F834B0"/>
    <w:rsid w:val="00F83A6E"/>
    <w:rsid w:val="00F83DD4"/>
    <w:rsid w:val="00F853BE"/>
    <w:rsid w:val="00F853CC"/>
    <w:rsid w:val="00F854A8"/>
    <w:rsid w:val="00F855BF"/>
    <w:rsid w:val="00F85885"/>
    <w:rsid w:val="00F86126"/>
    <w:rsid w:val="00F868F9"/>
    <w:rsid w:val="00F86A20"/>
    <w:rsid w:val="00F86E13"/>
    <w:rsid w:val="00F87F9A"/>
    <w:rsid w:val="00F90081"/>
    <w:rsid w:val="00F906CD"/>
    <w:rsid w:val="00F91B57"/>
    <w:rsid w:val="00F91B63"/>
    <w:rsid w:val="00F91EB9"/>
    <w:rsid w:val="00F91FEE"/>
    <w:rsid w:val="00F92251"/>
    <w:rsid w:val="00F9236F"/>
    <w:rsid w:val="00F9246F"/>
    <w:rsid w:val="00F924BF"/>
    <w:rsid w:val="00F9296E"/>
    <w:rsid w:val="00F93210"/>
    <w:rsid w:val="00F93A09"/>
    <w:rsid w:val="00F93EFA"/>
    <w:rsid w:val="00F943F8"/>
    <w:rsid w:val="00F944CF"/>
    <w:rsid w:val="00F94CF1"/>
    <w:rsid w:val="00F950F4"/>
    <w:rsid w:val="00F9521C"/>
    <w:rsid w:val="00F95598"/>
    <w:rsid w:val="00F95FB0"/>
    <w:rsid w:val="00F963BA"/>
    <w:rsid w:val="00F96B1F"/>
    <w:rsid w:val="00F97148"/>
    <w:rsid w:val="00F972B6"/>
    <w:rsid w:val="00F97AE8"/>
    <w:rsid w:val="00F97C7E"/>
    <w:rsid w:val="00F97D3C"/>
    <w:rsid w:val="00FA024E"/>
    <w:rsid w:val="00FA0326"/>
    <w:rsid w:val="00FA03AC"/>
    <w:rsid w:val="00FA13D9"/>
    <w:rsid w:val="00FA19D7"/>
    <w:rsid w:val="00FA2521"/>
    <w:rsid w:val="00FA296C"/>
    <w:rsid w:val="00FA3787"/>
    <w:rsid w:val="00FA3BBC"/>
    <w:rsid w:val="00FA3DF6"/>
    <w:rsid w:val="00FA4524"/>
    <w:rsid w:val="00FA4F44"/>
    <w:rsid w:val="00FA5B2F"/>
    <w:rsid w:val="00FA5BAA"/>
    <w:rsid w:val="00FA5E25"/>
    <w:rsid w:val="00FA5F05"/>
    <w:rsid w:val="00FA73A3"/>
    <w:rsid w:val="00FA790C"/>
    <w:rsid w:val="00FA7B9B"/>
    <w:rsid w:val="00FA7D26"/>
    <w:rsid w:val="00FB0986"/>
    <w:rsid w:val="00FB0B75"/>
    <w:rsid w:val="00FB0C99"/>
    <w:rsid w:val="00FB0D2C"/>
    <w:rsid w:val="00FB153F"/>
    <w:rsid w:val="00FB17D8"/>
    <w:rsid w:val="00FB183E"/>
    <w:rsid w:val="00FB1939"/>
    <w:rsid w:val="00FB1AF2"/>
    <w:rsid w:val="00FB1CAA"/>
    <w:rsid w:val="00FB1D35"/>
    <w:rsid w:val="00FB2171"/>
    <w:rsid w:val="00FB28FC"/>
    <w:rsid w:val="00FB2F70"/>
    <w:rsid w:val="00FB3185"/>
    <w:rsid w:val="00FB3AD6"/>
    <w:rsid w:val="00FB4117"/>
    <w:rsid w:val="00FB4B6A"/>
    <w:rsid w:val="00FB581F"/>
    <w:rsid w:val="00FB582B"/>
    <w:rsid w:val="00FB5F62"/>
    <w:rsid w:val="00FB6392"/>
    <w:rsid w:val="00FB66D5"/>
    <w:rsid w:val="00FB68C6"/>
    <w:rsid w:val="00FB6AB0"/>
    <w:rsid w:val="00FB6C29"/>
    <w:rsid w:val="00FB76F7"/>
    <w:rsid w:val="00FB79D7"/>
    <w:rsid w:val="00FC09A0"/>
    <w:rsid w:val="00FC09EA"/>
    <w:rsid w:val="00FC0D16"/>
    <w:rsid w:val="00FC0D4C"/>
    <w:rsid w:val="00FC0E6F"/>
    <w:rsid w:val="00FC2A28"/>
    <w:rsid w:val="00FC2B3F"/>
    <w:rsid w:val="00FC2F41"/>
    <w:rsid w:val="00FC2FC1"/>
    <w:rsid w:val="00FC3123"/>
    <w:rsid w:val="00FC3EDF"/>
    <w:rsid w:val="00FC4418"/>
    <w:rsid w:val="00FC4786"/>
    <w:rsid w:val="00FC4BAC"/>
    <w:rsid w:val="00FC4C13"/>
    <w:rsid w:val="00FC585C"/>
    <w:rsid w:val="00FC5F4A"/>
    <w:rsid w:val="00FC6044"/>
    <w:rsid w:val="00FC62EA"/>
    <w:rsid w:val="00FC6E02"/>
    <w:rsid w:val="00FC7376"/>
    <w:rsid w:val="00FC7416"/>
    <w:rsid w:val="00FC74C1"/>
    <w:rsid w:val="00FC7686"/>
    <w:rsid w:val="00FC77FE"/>
    <w:rsid w:val="00FC7C08"/>
    <w:rsid w:val="00FC7D6E"/>
    <w:rsid w:val="00FD0A98"/>
    <w:rsid w:val="00FD0E38"/>
    <w:rsid w:val="00FD0F0D"/>
    <w:rsid w:val="00FD11B2"/>
    <w:rsid w:val="00FD138D"/>
    <w:rsid w:val="00FD14F2"/>
    <w:rsid w:val="00FD1FF3"/>
    <w:rsid w:val="00FD332F"/>
    <w:rsid w:val="00FD3B62"/>
    <w:rsid w:val="00FD3D1C"/>
    <w:rsid w:val="00FD3D88"/>
    <w:rsid w:val="00FD3ECF"/>
    <w:rsid w:val="00FD4322"/>
    <w:rsid w:val="00FD4833"/>
    <w:rsid w:val="00FD4EE6"/>
    <w:rsid w:val="00FD5075"/>
    <w:rsid w:val="00FD55B2"/>
    <w:rsid w:val="00FD5D7E"/>
    <w:rsid w:val="00FD67FA"/>
    <w:rsid w:val="00FD6A22"/>
    <w:rsid w:val="00FD6CB6"/>
    <w:rsid w:val="00FD6F6A"/>
    <w:rsid w:val="00FD7171"/>
    <w:rsid w:val="00FD72E9"/>
    <w:rsid w:val="00FD7671"/>
    <w:rsid w:val="00FD79C7"/>
    <w:rsid w:val="00FD7FF9"/>
    <w:rsid w:val="00FE008C"/>
    <w:rsid w:val="00FE00FF"/>
    <w:rsid w:val="00FE020A"/>
    <w:rsid w:val="00FE03EF"/>
    <w:rsid w:val="00FE0495"/>
    <w:rsid w:val="00FE06E8"/>
    <w:rsid w:val="00FE0B08"/>
    <w:rsid w:val="00FE17CB"/>
    <w:rsid w:val="00FE1B4A"/>
    <w:rsid w:val="00FE1CD0"/>
    <w:rsid w:val="00FE23D7"/>
    <w:rsid w:val="00FE2410"/>
    <w:rsid w:val="00FE29EA"/>
    <w:rsid w:val="00FE3256"/>
    <w:rsid w:val="00FE37FA"/>
    <w:rsid w:val="00FE427B"/>
    <w:rsid w:val="00FE427D"/>
    <w:rsid w:val="00FE42A0"/>
    <w:rsid w:val="00FE44BF"/>
    <w:rsid w:val="00FE46AD"/>
    <w:rsid w:val="00FE4B42"/>
    <w:rsid w:val="00FE4BE1"/>
    <w:rsid w:val="00FE53FE"/>
    <w:rsid w:val="00FE58A8"/>
    <w:rsid w:val="00FE5EEA"/>
    <w:rsid w:val="00FE64E0"/>
    <w:rsid w:val="00FE6CA6"/>
    <w:rsid w:val="00FE7585"/>
    <w:rsid w:val="00FE758C"/>
    <w:rsid w:val="00FE7C5E"/>
    <w:rsid w:val="00FF030E"/>
    <w:rsid w:val="00FF0354"/>
    <w:rsid w:val="00FF0B4E"/>
    <w:rsid w:val="00FF0F68"/>
    <w:rsid w:val="00FF2099"/>
    <w:rsid w:val="00FF2204"/>
    <w:rsid w:val="00FF2A70"/>
    <w:rsid w:val="00FF2BB9"/>
    <w:rsid w:val="00FF3314"/>
    <w:rsid w:val="00FF332E"/>
    <w:rsid w:val="00FF334D"/>
    <w:rsid w:val="00FF373A"/>
    <w:rsid w:val="00FF38BA"/>
    <w:rsid w:val="00FF43D7"/>
    <w:rsid w:val="00FF49CD"/>
    <w:rsid w:val="00FF4D21"/>
    <w:rsid w:val="00FF5462"/>
    <w:rsid w:val="00FF59BF"/>
    <w:rsid w:val="00FF5AAE"/>
    <w:rsid w:val="00FF66D0"/>
    <w:rsid w:val="00FF6CBF"/>
    <w:rsid w:val="00FF6DBC"/>
    <w:rsid w:val="00FF6DBE"/>
    <w:rsid w:val="00FF7292"/>
    <w:rsid w:val="00FF741C"/>
    <w:rsid w:val="00FF75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o:shapedefaults>
    <o:shapelayout v:ext="edit">
      <o:idmap v:ext="edit" data="2"/>
    </o:shapelayout>
  </w:shapeDefaults>
  <w:decimalSymbol w:val="."/>
  <w:listSeparator w:val=","/>
  <w14:docId w14:val="70A0B58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Normal Indent" w:uiPriority="8" w:qFormat="1"/>
    <w:lsdException w:name="footnote text" w:uiPriority="99"/>
    <w:lsdException w:name="annotation text" w:uiPriority="99"/>
    <w:lsdException w:name="header" w:uiPriority="99"/>
    <w:lsdException w:name="footer" w:uiPriority="24"/>
    <w:lsdException w:name="index heading" w:uiPriority="99"/>
    <w:lsdException w:name="caption" w:uiPriority="35" w:qFormat="1"/>
    <w:lsdException w:name="envelope address" w:semiHidden="1"/>
    <w:lsdException w:name="envelope return" w:semiHidden="1"/>
    <w:lsdException w:name="footnote reference" w:uiPriority="99"/>
    <w:lsdException w:name="annotation reference" w:uiPriority="99"/>
    <w:lsdException w:name="page number" w:uiPriority="49"/>
    <w:lsdException w:name="Title" w:uiPriority="97" w:qFormat="1"/>
    <w:lsdException w:name="Default Paragraph Font" w:uiPriority="1"/>
    <w:lsdException w:name="Body Text" w:qFormat="1"/>
    <w:lsdException w:name="Subtitle" w:uiPriority="98" w:qFormat="1"/>
    <w:lsdException w:name="Date" w:semiHidden="1"/>
    <w:lsdException w:name="Hyperlink" w:uiPriority="99"/>
    <w:lsdException w:name="Strong" w:qFormat="1"/>
    <w:lsdException w:name="Emphasis" w:semiHidden="1" w:qFormat="1"/>
    <w:lsdException w:name="Document Map" w:semiHidden="1"/>
    <w:lsdException w:name="E-mail Signature" w:semiHidden="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7466"/>
    <w:pPr>
      <w:spacing w:before="160" w:after="100" w:line="276" w:lineRule="auto"/>
    </w:pPr>
    <w:rPr>
      <w:rFonts w:asciiTheme="minorHAnsi" w:eastAsiaTheme="minorEastAsia" w:hAnsiTheme="minorHAnsi" w:cstheme="minorBidi"/>
      <w:spacing w:val="2"/>
    </w:rPr>
  </w:style>
  <w:style w:type="paragraph" w:styleId="Heading1">
    <w:name w:val="heading 1"/>
    <w:next w:val="Normal"/>
    <w:link w:val="Heading1Char"/>
    <w:qFormat/>
    <w:rsid w:val="000A288F"/>
    <w:pPr>
      <w:keepNext/>
      <w:keepLines/>
      <w:spacing w:before="600" w:after="240" w:line="276" w:lineRule="auto"/>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0A288F"/>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0A288F"/>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0A288F"/>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uiPriority w:val="9"/>
    <w:semiHidden/>
    <w:qFormat/>
    <w:rsid w:val="000A288F"/>
    <w:pPr>
      <w:spacing w:before="240" w:after="60"/>
      <w:outlineLvl w:val="4"/>
    </w:pPr>
    <w:rPr>
      <w:bCs/>
      <w:iCs/>
      <w:color w:val="FF0000"/>
      <w:szCs w:val="26"/>
      <w:u w:val="single"/>
    </w:rPr>
  </w:style>
  <w:style w:type="paragraph" w:styleId="Heading6">
    <w:name w:val="heading 6"/>
    <w:basedOn w:val="Normal"/>
    <w:next w:val="Normal"/>
    <w:uiPriority w:val="9"/>
    <w:semiHidden/>
    <w:qFormat/>
    <w:rsid w:val="000A288F"/>
    <w:pPr>
      <w:spacing w:before="240" w:after="60"/>
      <w:outlineLvl w:val="5"/>
    </w:pPr>
    <w:rPr>
      <w:b/>
      <w:bCs/>
      <w:color w:val="FF0000"/>
      <w:u w:val="single"/>
    </w:rPr>
  </w:style>
  <w:style w:type="paragraph" w:styleId="Heading7">
    <w:name w:val="heading 7"/>
    <w:basedOn w:val="Normal"/>
    <w:next w:val="Normal"/>
    <w:uiPriority w:val="9"/>
    <w:semiHidden/>
    <w:qFormat/>
    <w:rsid w:val="000A288F"/>
    <w:pPr>
      <w:spacing w:before="240" w:after="60"/>
      <w:outlineLvl w:val="6"/>
    </w:pPr>
    <w:rPr>
      <w:color w:val="FF0000"/>
      <w:szCs w:val="24"/>
      <w:u w:val="single"/>
    </w:rPr>
  </w:style>
  <w:style w:type="paragraph" w:styleId="Heading8">
    <w:name w:val="heading 8"/>
    <w:basedOn w:val="Normal"/>
    <w:next w:val="Normal"/>
    <w:uiPriority w:val="9"/>
    <w:semiHidden/>
    <w:qFormat/>
    <w:rsid w:val="000A288F"/>
    <w:pPr>
      <w:spacing w:before="240" w:after="60"/>
      <w:outlineLvl w:val="7"/>
    </w:pPr>
    <w:rPr>
      <w:i/>
      <w:iCs/>
      <w:color w:val="FF0000"/>
      <w:szCs w:val="24"/>
      <w:u w:val="single"/>
    </w:rPr>
  </w:style>
  <w:style w:type="paragraph" w:styleId="Heading9">
    <w:name w:val="heading 9"/>
    <w:basedOn w:val="Normal"/>
    <w:uiPriority w:val="9"/>
    <w:semiHidden/>
    <w:qFormat/>
    <w:rsid w:val="000A288F"/>
    <w:pPr>
      <w:spacing w:before="240" w:after="60"/>
      <w:outlineLvl w:val="8"/>
    </w:pPr>
    <w:rPr>
      <w:color w:val="FF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A288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A288F"/>
    <w:rPr>
      <w:rFonts w:ascii="Segoe UI" w:eastAsiaTheme="minorEastAsia" w:hAnsi="Segoe UI" w:cs="Segoe UI"/>
      <w:spacing w:val="2"/>
      <w:sz w:val="18"/>
      <w:szCs w:val="18"/>
    </w:rPr>
  </w:style>
  <w:style w:type="character" w:styleId="CommentReference">
    <w:name w:val="annotation reference"/>
    <w:uiPriority w:val="99"/>
    <w:rsid w:val="000A288F"/>
    <w:rPr>
      <w:rFonts w:ascii="Arial" w:hAnsi="Arial" w:cs="Arial"/>
      <w:color w:val="FF0000"/>
      <w:sz w:val="24"/>
      <w:szCs w:val="16"/>
      <w:u w:val="single"/>
    </w:rPr>
  </w:style>
  <w:style w:type="paragraph" w:styleId="Footer">
    <w:name w:val="footer"/>
    <w:basedOn w:val="Normal"/>
    <w:link w:val="FooterChar"/>
    <w:uiPriority w:val="24"/>
    <w:rsid w:val="000A288F"/>
    <w:pPr>
      <w:tabs>
        <w:tab w:val="right" w:pos="9026"/>
      </w:tabs>
      <w:spacing w:before="0" w:after="0" w:line="240" w:lineRule="auto"/>
    </w:pPr>
    <w:rPr>
      <w:noProof/>
      <w:sz w:val="18"/>
      <w:szCs w:val="18"/>
    </w:rPr>
  </w:style>
  <w:style w:type="paragraph" w:styleId="Header">
    <w:name w:val="header"/>
    <w:basedOn w:val="Normal"/>
    <w:link w:val="HeaderChar"/>
    <w:uiPriority w:val="99"/>
    <w:rsid w:val="000A288F"/>
    <w:pPr>
      <w:tabs>
        <w:tab w:val="center" w:pos="4513"/>
        <w:tab w:val="right" w:pos="9026"/>
      </w:tabs>
      <w:spacing w:after="0" w:line="240" w:lineRule="auto"/>
    </w:pPr>
  </w:style>
  <w:style w:type="paragraph" w:styleId="CommentText">
    <w:name w:val="annotation text"/>
    <w:link w:val="CommentTextChar"/>
    <w:uiPriority w:val="99"/>
    <w:rsid w:val="000A288F"/>
    <w:rPr>
      <w:rFonts w:ascii="Arial" w:hAnsi="Arial" w:cs="Arial"/>
      <w:sz w:val="24"/>
      <w:lang w:eastAsia="en-US"/>
    </w:rPr>
  </w:style>
  <w:style w:type="character" w:customStyle="1" w:styleId="CommentTextChar">
    <w:name w:val="Comment Text Char"/>
    <w:link w:val="CommentText"/>
    <w:uiPriority w:val="99"/>
    <w:rsid w:val="000A288F"/>
    <w:rPr>
      <w:rFonts w:ascii="Arial" w:hAnsi="Arial" w:cs="Arial"/>
      <w:sz w:val="24"/>
      <w:lang w:eastAsia="en-US"/>
    </w:rPr>
  </w:style>
  <w:style w:type="paragraph" w:styleId="CommentSubject">
    <w:name w:val="annotation subject"/>
    <w:next w:val="CommentText"/>
    <w:link w:val="CommentSubjectChar"/>
    <w:semiHidden/>
    <w:rsid w:val="000A288F"/>
    <w:rPr>
      <w:rFonts w:ascii="Arial" w:hAnsi="Arial" w:cs="Arial"/>
      <w:bCs/>
      <w:sz w:val="16"/>
      <w:lang w:eastAsia="en-US"/>
    </w:rPr>
  </w:style>
  <w:style w:type="character" w:customStyle="1" w:styleId="CommentSubjectChar">
    <w:name w:val="Comment Subject Char"/>
    <w:basedOn w:val="CommentTextChar"/>
    <w:link w:val="CommentSubject"/>
    <w:semiHidden/>
    <w:rsid w:val="00247466"/>
    <w:rPr>
      <w:rFonts w:ascii="Arial" w:hAnsi="Arial" w:cs="Arial"/>
      <w:bCs/>
      <w:sz w:val="16"/>
      <w:lang w:eastAsia="en-US"/>
    </w:rPr>
  </w:style>
  <w:style w:type="character" w:styleId="EndnoteReference">
    <w:name w:val="endnote reference"/>
    <w:semiHidden/>
    <w:rsid w:val="000A288F"/>
    <w:rPr>
      <w:rFonts w:ascii="Arial" w:hAnsi="Arial" w:cs="Arial"/>
      <w:color w:val="FF0000"/>
      <w:sz w:val="32"/>
      <w:u w:val="single"/>
      <w:vertAlign w:val="superscript"/>
    </w:rPr>
  </w:style>
  <w:style w:type="paragraph" w:styleId="EndnoteText">
    <w:name w:val="endnote text"/>
    <w:basedOn w:val="Normal"/>
    <w:link w:val="EndnoteTextChar"/>
    <w:semiHidden/>
    <w:rsid w:val="000A288F"/>
    <w:rPr>
      <w:color w:val="FF0000"/>
      <w:u w:val="single"/>
    </w:rPr>
  </w:style>
  <w:style w:type="character" w:customStyle="1" w:styleId="EndnoteTextChar">
    <w:name w:val="Endnote Text Char"/>
    <w:basedOn w:val="DefaultParagraphFont"/>
    <w:link w:val="EndnoteText"/>
    <w:semiHidden/>
    <w:rsid w:val="00247466"/>
    <w:rPr>
      <w:rFonts w:asciiTheme="minorHAnsi" w:eastAsiaTheme="minorEastAsia" w:hAnsiTheme="minorHAnsi" w:cstheme="minorBidi"/>
      <w:color w:val="FF0000"/>
      <w:spacing w:val="2"/>
      <w:u w:val="single"/>
    </w:rPr>
  </w:style>
  <w:style w:type="paragraph" w:customStyle="1" w:styleId="Listnum">
    <w:name w:val="List num"/>
    <w:basedOn w:val="Normal"/>
    <w:uiPriority w:val="1"/>
    <w:qFormat/>
    <w:rsid w:val="000A288F"/>
    <w:pPr>
      <w:numPr>
        <w:numId w:val="15"/>
      </w:numPr>
    </w:pPr>
  </w:style>
  <w:style w:type="paragraph" w:customStyle="1" w:styleId="Spacer">
    <w:name w:val="Spacer"/>
    <w:basedOn w:val="Normal"/>
    <w:uiPriority w:val="13"/>
    <w:qFormat/>
    <w:rsid w:val="000A288F"/>
    <w:pPr>
      <w:spacing w:before="0" w:after="0" w:line="120" w:lineRule="atLeast"/>
    </w:pPr>
    <w:rPr>
      <w:rFonts w:eastAsia="Times New Roman" w:cs="Calibri"/>
      <w:spacing w:val="0"/>
      <w:sz w:val="10"/>
      <w:szCs w:val="22"/>
    </w:rPr>
  </w:style>
  <w:style w:type="paragraph" w:customStyle="1" w:styleId="Listnum2">
    <w:name w:val="List num 2"/>
    <w:basedOn w:val="Normal"/>
    <w:uiPriority w:val="1"/>
    <w:qFormat/>
    <w:rsid w:val="000A288F"/>
    <w:pPr>
      <w:numPr>
        <w:ilvl w:val="1"/>
        <w:numId w:val="15"/>
      </w:numPr>
    </w:pPr>
  </w:style>
  <w:style w:type="paragraph" w:customStyle="1" w:styleId="Listnumindent">
    <w:name w:val="List num indent"/>
    <w:basedOn w:val="Normal"/>
    <w:uiPriority w:val="9"/>
    <w:qFormat/>
    <w:rsid w:val="000A288F"/>
    <w:pPr>
      <w:numPr>
        <w:ilvl w:val="6"/>
        <w:numId w:val="15"/>
      </w:numPr>
      <w:spacing w:before="100"/>
    </w:pPr>
  </w:style>
  <w:style w:type="paragraph" w:styleId="TOC1">
    <w:name w:val="toc 1"/>
    <w:basedOn w:val="Normal"/>
    <w:next w:val="Normal"/>
    <w:uiPriority w:val="39"/>
    <w:rsid w:val="000A288F"/>
    <w:pPr>
      <w:tabs>
        <w:tab w:val="right" w:leader="dot" w:pos="9000"/>
      </w:tabs>
      <w:ind w:right="432"/>
    </w:pPr>
    <w:rPr>
      <w:sz w:val="24"/>
      <w:szCs w:val="24"/>
    </w:rPr>
  </w:style>
  <w:style w:type="paragraph" w:styleId="TOC2">
    <w:name w:val="toc 2"/>
    <w:next w:val="Normal"/>
    <w:uiPriority w:val="39"/>
    <w:rsid w:val="000A288F"/>
    <w:pPr>
      <w:tabs>
        <w:tab w:val="right" w:leader="dot" w:pos="9000"/>
      </w:tabs>
      <w:spacing w:after="100" w:line="276" w:lineRule="auto"/>
      <w:ind w:left="446" w:right="432"/>
      <w:contextualSpacing/>
    </w:pPr>
    <w:rPr>
      <w:rFonts w:asciiTheme="minorHAnsi" w:eastAsiaTheme="minorEastAsia" w:hAnsiTheme="minorHAnsi" w:cstheme="minorBidi"/>
      <w:noProof/>
      <w:spacing w:val="2"/>
    </w:rPr>
  </w:style>
  <w:style w:type="paragraph" w:styleId="TOC3">
    <w:name w:val="toc 3"/>
    <w:basedOn w:val="Normal"/>
    <w:next w:val="Normal"/>
    <w:uiPriority w:val="39"/>
    <w:rsid w:val="000A288F"/>
    <w:pPr>
      <w:tabs>
        <w:tab w:val="right" w:leader="dot" w:pos="9000"/>
      </w:tabs>
      <w:spacing w:before="0"/>
      <w:ind w:left="1080" w:right="432"/>
      <w:contextualSpacing/>
    </w:pPr>
    <w:rPr>
      <w:noProof/>
      <w:sz w:val="18"/>
      <w:szCs w:val="18"/>
    </w:rPr>
  </w:style>
  <w:style w:type="paragraph" w:customStyle="1" w:styleId="Listnumindent2">
    <w:name w:val="List num indent 2"/>
    <w:basedOn w:val="Normal"/>
    <w:uiPriority w:val="9"/>
    <w:qFormat/>
    <w:rsid w:val="000A288F"/>
    <w:pPr>
      <w:numPr>
        <w:ilvl w:val="7"/>
        <w:numId w:val="15"/>
      </w:numPr>
      <w:spacing w:before="100"/>
      <w:contextualSpacing/>
    </w:pPr>
  </w:style>
  <w:style w:type="paragraph" w:styleId="ListNumber">
    <w:name w:val="List Number"/>
    <w:basedOn w:val="Normal"/>
    <w:semiHidden/>
    <w:rsid w:val="000A288F"/>
    <w:pPr>
      <w:numPr>
        <w:numId w:val="9"/>
      </w:numPr>
    </w:pPr>
    <w:rPr>
      <w:color w:val="FF0000"/>
      <w:u w:val="single"/>
    </w:rPr>
  </w:style>
  <w:style w:type="paragraph" w:styleId="ListNumber2">
    <w:name w:val="List Number 2"/>
    <w:basedOn w:val="Normal"/>
    <w:semiHidden/>
    <w:rsid w:val="000A288F"/>
    <w:pPr>
      <w:numPr>
        <w:numId w:val="10"/>
      </w:numPr>
    </w:pPr>
    <w:rPr>
      <w:color w:val="FF0000"/>
      <w:u w:val="single"/>
    </w:rPr>
  </w:style>
  <w:style w:type="paragraph" w:styleId="ListNumber3">
    <w:name w:val="List Number 3"/>
    <w:basedOn w:val="Normal"/>
    <w:semiHidden/>
    <w:rsid w:val="000A288F"/>
    <w:pPr>
      <w:numPr>
        <w:numId w:val="11"/>
      </w:numPr>
    </w:pPr>
    <w:rPr>
      <w:color w:val="FF0000"/>
      <w:u w:val="single"/>
    </w:rPr>
  </w:style>
  <w:style w:type="paragraph" w:styleId="ListNumber4">
    <w:name w:val="List Number 4"/>
    <w:basedOn w:val="Normal"/>
    <w:semiHidden/>
    <w:rsid w:val="000A288F"/>
    <w:pPr>
      <w:numPr>
        <w:numId w:val="12"/>
      </w:numPr>
    </w:pPr>
    <w:rPr>
      <w:color w:val="FF0000"/>
      <w:u w:val="single"/>
    </w:rPr>
  </w:style>
  <w:style w:type="paragraph" w:styleId="ListNumber5">
    <w:name w:val="List Number 5"/>
    <w:basedOn w:val="Normal"/>
    <w:semiHidden/>
    <w:rsid w:val="000A288F"/>
    <w:pPr>
      <w:numPr>
        <w:numId w:val="13"/>
      </w:numPr>
    </w:pPr>
    <w:rPr>
      <w:color w:val="FF0000"/>
      <w:u w:val="single"/>
    </w:rPr>
  </w:style>
  <w:style w:type="character" w:styleId="Hyperlink">
    <w:name w:val="Hyperlink"/>
    <w:basedOn w:val="DefaultParagraphFont"/>
    <w:uiPriority w:val="99"/>
    <w:rsid w:val="000A288F"/>
    <w:rPr>
      <w:color w:val="7B7B7B" w:themeColor="hyperlink"/>
      <w:u w:val="none"/>
    </w:rPr>
  </w:style>
  <w:style w:type="paragraph" w:styleId="MacroText">
    <w:name w:val="macro"/>
    <w:link w:val="MacroTextChar"/>
    <w:semiHidden/>
    <w:rsid w:val="000A288F"/>
    <w:pPr>
      <w:tabs>
        <w:tab w:val="left" w:pos="480"/>
        <w:tab w:val="left" w:pos="960"/>
        <w:tab w:val="left" w:pos="1440"/>
        <w:tab w:val="left" w:pos="1920"/>
        <w:tab w:val="left" w:pos="2400"/>
        <w:tab w:val="left" w:pos="2880"/>
        <w:tab w:val="left" w:pos="3360"/>
        <w:tab w:val="left" w:pos="3840"/>
        <w:tab w:val="left" w:pos="4320"/>
      </w:tabs>
    </w:pPr>
    <w:rPr>
      <w:rFonts w:ascii="Arial" w:hAnsi="Arial" w:cs="Arial"/>
      <w:color w:val="FF0000"/>
      <w:sz w:val="32"/>
      <w:u w:val="single"/>
      <w:lang w:eastAsia="en-US"/>
    </w:rPr>
  </w:style>
  <w:style w:type="character" w:styleId="FootnoteReference">
    <w:name w:val="footnote reference"/>
    <w:basedOn w:val="DefaultParagraphFont"/>
    <w:uiPriority w:val="99"/>
    <w:rsid w:val="000A288F"/>
    <w:rPr>
      <w:vertAlign w:val="superscript"/>
    </w:rPr>
  </w:style>
  <w:style w:type="character" w:customStyle="1" w:styleId="MacroTextChar">
    <w:name w:val="Macro Text Char"/>
    <w:basedOn w:val="DefaultParagraphFont"/>
    <w:link w:val="MacroText"/>
    <w:semiHidden/>
    <w:rsid w:val="00247466"/>
    <w:rPr>
      <w:rFonts w:ascii="Arial" w:hAnsi="Arial" w:cs="Arial"/>
      <w:color w:val="FF0000"/>
      <w:sz w:val="32"/>
      <w:u w:val="single"/>
      <w:lang w:eastAsia="en-US"/>
    </w:rPr>
  </w:style>
  <w:style w:type="paragraph" w:styleId="FootnoteText">
    <w:name w:val="footnote text"/>
    <w:basedOn w:val="Normal"/>
    <w:link w:val="FootnoteTextChar"/>
    <w:uiPriority w:val="99"/>
    <w:rsid w:val="000A288F"/>
    <w:pPr>
      <w:spacing w:before="0" w:after="0" w:line="240" w:lineRule="auto"/>
    </w:pPr>
    <w:rPr>
      <w:sz w:val="17"/>
    </w:rPr>
  </w:style>
  <w:style w:type="paragraph" w:styleId="MessageHeader">
    <w:name w:val="Message Header"/>
    <w:basedOn w:val="Normal"/>
    <w:link w:val="MessageHeaderChar"/>
    <w:semiHidden/>
    <w:rsid w:val="000A288F"/>
    <w:pPr>
      <w:pBdr>
        <w:top w:val="single" w:sz="6" w:space="1" w:color="auto"/>
        <w:left w:val="single" w:sz="6" w:space="1" w:color="auto"/>
        <w:bottom w:val="single" w:sz="6" w:space="1" w:color="auto"/>
        <w:right w:val="single" w:sz="6" w:space="1" w:color="auto"/>
      </w:pBdr>
      <w:shd w:val="pct20" w:color="auto" w:fill="auto"/>
      <w:ind w:left="1134" w:hanging="1134"/>
    </w:pPr>
    <w:rPr>
      <w:color w:val="FF0000"/>
      <w:szCs w:val="24"/>
      <w:u w:val="single"/>
    </w:rPr>
  </w:style>
  <w:style w:type="character" w:customStyle="1" w:styleId="MessageHeaderChar">
    <w:name w:val="Message Header Char"/>
    <w:basedOn w:val="DefaultParagraphFont"/>
    <w:link w:val="MessageHeader"/>
    <w:semiHidden/>
    <w:rsid w:val="00247466"/>
    <w:rPr>
      <w:rFonts w:asciiTheme="minorHAnsi" w:eastAsiaTheme="minorEastAsia" w:hAnsiTheme="minorHAnsi" w:cstheme="minorBidi"/>
      <w:color w:val="FF0000"/>
      <w:spacing w:val="2"/>
      <w:szCs w:val="24"/>
      <w:u w:val="single"/>
      <w:shd w:val="pct20" w:color="auto" w:fill="auto"/>
    </w:rPr>
  </w:style>
  <w:style w:type="character" w:styleId="PlaceholderText">
    <w:name w:val="Placeholder Text"/>
    <w:basedOn w:val="DefaultParagraphFont"/>
    <w:uiPriority w:val="99"/>
    <w:semiHidden/>
    <w:rsid w:val="000A288F"/>
    <w:rPr>
      <w:color w:val="808080"/>
    </w:rPr>
  </w:style>
  <w:style w:type="table" w:styleId="TableList1">
    <w:name w:val="Table List 1"/>
    <w:basedOn w:val="TableNormal"/>
    <w:semiHidden/>
    <w:rsid w:val="000A288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A288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A288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A288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A288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A288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A288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A288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Quote">
    <w:name w:val="Quote"/>
    <w:basedOn w:val="Normal"/>
    <w:next w:val="Normal"/>
    <w:link w:val="QuoteChar"/>
    <w:uiPriority w:val="29"/>
    <w:qFormat/>
    <w:rsid w:val="000A288F"/>
    <w:pPr>
      <w:spacing w:before="200" w:after="160"/>
      <w:ind w:left="1260" w:right="296"/>
    </w:pPr>
    <w:rPr>
      <w:i/>
      <w:iCs/>
      <w:color w:val="404040" w:themeColor="text1" w:themeTint="BF"/>
    </w:rPr>
  </w:style>
  <w:style w:type="character" w:customStyle="1" w:styleId="QuoteChar">
    <w:name w:val="Quote Char"/>
    <w:basedOn w:val="DefaultParagraphFont"/>
    <w:link w:val="Quote"/>
    <w:uiPriority w:val="29"/>
    <w:rsid w:val="000A288F"/>
    <w:rPr>
      <w:rFonts w:asciiTheme="minorHAnsi" w:eastAsiaTheme="minorEastAsia" w:hAnsiTheme="minorHAnsi" w:cstheme="minorBidi"/>
      <w:i/>
      <w:iCs/>
      <w:color w:val="404040" w:themeColor="text1" w:themeTint="BF"/>
      <w:spacing w:val="2"/>
    </w:rPr>
  </w:style>
  <w:style w:type="numbering" w:styleId="111111">
    <w:name w:val="Outline List 2"/>
    <w:basedOn w:val="NoList"/>
    <w:semiHidden/>
    <w:rsid w:val="000A288F"/>
    <w:pPr>
      <w:numPr>
        <w:numId w:val="1"/>
      </w:numPr>
    </w:pPr>
  </w:style>
  <w:style w:type="numbering" w:styleId="1ai">
    <w:name w:val="Outline List 1"/>
    <w:basedOn w:val="NoList"/>
    <w:semiHidden/>
    <w:rsid w:val="000A288F"/>
    <w:pPr>
      <w:numPr>
        <w:numId w:val="2"/>
      </w:numPr>
    </w:pPr>
  </w:style>
  <w:style w:type="character" w:styleId="HTMLAcronym">
    <w:name w:val="HTML Acronym"/>
    <w:semiHidden/>
    <w:rsid w:val="000A288F"/>
    <w:rPr>
      <w:rFonts w:ascii="Arial" w:hAnsi="Arial" w:cs="Arial"/>
      <w:b/>
      <w:color w:val="FF0000"/>
      <w:sz w:val="32"/>
      <w:u w:val="single"/>
    </w:rPr>
  </w:style>
  <w:style w:type="paragraph" w:styleId="HTMLAddress">
    <w:name w:val="HTML Address"/>
    <w:basedOn w:val="Normal"/>
    <w:semiHidden/>
    <w:rsid w:val="000A288F"/>
    <w:rPr>
      <w:i/>
      <w:iCs/>
      <w:color w:val="FF0000"/>
      <w:u w:val="single"/>
    </w:rPr>
  </w:style>
  <w:style w:type="character" w:styleId="HTMLCite">
    <w:name w:val="HTML Cite"/>
    <w:semiHidden/>
    <w:rsid w:val="000A288F"/>
    <w:rPr>
      <w:rFonts w:ascii="Arial" w:hAnsi="Arial" w:cs="Arial"/>
      <w:i/>
      <w:iCs/>
      <w:color w:val="FF0000"/>
      <w:sz w:val="32"/>
      <w:u w:val="single"/>
    </w:rPr>
  </w:style>
  <w:style w:type="character" w:styleId="HTMLCode">
    <w:name w:val="HTML Code"/>
    <w:semiHidden/>
    <w:rsid w:val="000A288F"/>
    <w:rPr>
      <w:rFonts w:ascii="Arial" w:hAnsi="Arial" w:cs="Arial"/>
      <w:color w:val="FF0000"/>
      <w:sz w:val="32"/>
      <w:szCs w:val="20"/>
      <w:u w:val="single"/>
    </w:rPr>
  </w:style>
  <w:style w:type="character" w:styleId="HTMLDefinition">
    <w:name w:val="HTML Definition"/>
    <w:semiHidden/>
    <w:rsid w:val="000A288F"/>
    <w:rPr>
      <w:rFonts w:ascii="Arial" w:hAnsi="Arial" w:cs="Arial"/>
      <w:i/>
      <w:iCs/>
      <w:color w:val="FF0000"/>
      <w:sz w:val="32"/>
      <w:u w:val="single"/>
    </w:rPr>
  </w:style>
  <w:style w:type="character" w:styleId="HTMLKeyboard">
    <w:name w:val="HTML Keyboard"/>
    <w:semiHidden/>
    <w:rsid w:val="000A288F"/>
    <w:rPr>
      <w:rFonts w:ascii="Arial" w:hAnsi="Arial" w:cs="Arial"/>
      <w:color w:val="FF0000"/>
      <w:sz w:val="32"/>
      <w:szCs w:val="20"/>
      <w:u w:val="single"/>
    </w:rPr>
  </w:style>
  <w:style w:type="paragraph" w:styleId="HTMLPreformatted">
    <w:name w:val="HTML Preformatted"/>
    <w:basedOn w:val="Normal"/>
    <w:semiHidden/>
    <w:rsid w:val="000A288F"/>
    <w:rPr>
      <w:color w:val="FF0000"/>
      <w:u w:val="single"/>
    </w:rPr>
  </w:style>
  <w:style w:type="character" w:styleId="HTMLSample">
    <w:name w:val="HTML Sample"/>
    <w:semiHidden/>
    <w:rsid w:val="000A288F"/>
    <w:rPr>
      <w:rFonts w:ascii="Arial" w:hAnsi="Arial" w:cs="Arial"/>
      <w:color w:val="FF0000"/>
      <w:sz w:val="32"/>
      <w:u w:val="single"/>
    </w:rPr>
  </w:style>
  <w:style w:type="character" w:styleId="HTMLTypewriter">
    <w:name w:val="HTML Typewriter"/>
    <w:semiHidden/>
    <w:rsid w:val="000A288F"/>
    <w:rPr>
      <w:rFonts w:ascii="Arial" w:hAnsi="Arial" w:cs="Arial"/>
      <w:color w:val="FF0000"/>
      <w:sz w:val="32"/>
      <w:szCs w:val="20"/>
      <w:u w:val="single"/>
    </w:rPr>
  </w:style>
  <w:style w:type="character" w:styleId="HTMLVariable">
    <w:name w:val="HTML Variable"/>
    <w:semiHidden/>
    <w:rsid w:val="000A288F"/>
    <w:rPr>
      <w:rFonts w:ascii="Arial" w:hAnsi="Arial" w:cs="Arial"/>
      <w:i/>
      <w:iCs/>
      <w:color w:val="FF0000"/>
      <w:sz w:val="32"/>
      <w:u w:val="single"/>
    </w:rPr>
  </w:style>
  <w:style w:type="paragraph" w:styleId="Index1">
    <w:name w:val="index 1"/>
    <w:basedOn w:val="Normal"/>
    <w:next w:val="Normal"/>
    <w:uiPriority w:val="99"/>
    <w:semiHidden/>
    <w:rsid w:val="000A288F"/>
    <w:pPr>
      <w:spacing w:after="60" w:line="240" w:lineRule="auto"/>
    </w:pPr>
    <w:rPr>
      <w:sz w:val="16"/>
    </w:rPr>
  </w:style>
  <w:style w:type="paragraph" w:styleId="Index2">
    <w:name w:val="index 2"/>
    <w:basedOn w:val="Normal"/>
    <w:next w:val="Normal"/>
    <w:uiPriority w:val="99"/>
    <w:semiHidden/>
    <w:rsid w:val="000A288F"/>
    <w:pPr>
      <w:spacing w:after="0" w:line="240" w:lineRule="auto"/>
      <w:ind w:left="216"/>
    </w:pPr>
    <w:rPr>
      <w:sz w:val="16"/>
      <w:szCs w:val="16"/>
    </w:rPr>
  </w:style>
  <w:style w:type="character" w:styleId="FollowedHyperlink">
    <w:name w:val="FollowedHyperlink"/>
    <w:semiHidden/>
    <w:rsid w:val="007F21FF"/>
    <w:rPr>
      <w:rFonts w:ascii="Arial" w:hAnsi="Arial" w:cs="Arial"/>
      <w:color w:val="800080"/>
      <w:u w:val="single"/>
    </w:rPr>
  </w:style>
  <w:style w:type="paragraph" w:styleId="Index3">
    <w:name w:val="index 3"/>
    <w:basedOn w:val="Normal"/>
    <w:next w:val="Normal"/>
    <w:autoRedefine/>
    <w:semiHidden/>
    <w:rsid w:val="000A288F"/>
    <w:pPr>
      <w:ind w:left="960" w:hanging="320"/>
    </w:pPr>
    <w:rPr>
      <w:color w:val="FF0000"/>
      <w:u w:val="single"/>
    </w:rPr>
  </w:style>
  <w:style w:type="paragraph" w:styleId="Index4">
    <w:name w:val="index 4"/>
    <w:basedOn w:val="Normal"/>
    <w:next w:val="Normal"/>
    <w:autoRedefine/>
    <w:semiHidden/>
    <w:rsid w:val="000A288F"/>
    <w:pPr>
      <w:ind w:left="1280" w:hanging="320"/>
    </w:pPr>
    <w:rPr>
      <w:color w:val="FF0000"/>
      <w:u w:val="single"/>
    </w:rPr>
  </w:style>
  <w:style w:type="paragraph" w:styleId="Index5">
    <w:name w:val="index 5"/>
    <w:basedOn w:val="Normal"/>
    <w:next w:val="Normal"/>
    <w:autoRedefine/>
    <w:semiHidden/>
    <w:rsid w:val="000A288F"/>
    <w:pPr>
      <w:ind w:left="1600" w:hanging="320"/>
    </w:pPr>
    <w:rPr>
      <w:color w:val="FF0000"/>
      <w:u w:val="single"/>
    </w:rPr>
  </w:style>
  <w:style w:type="paragraph" w:styleId="Index6">
    <w:name w:val="index 6"/>
    <w:basedOn w:val="Normal"/>
    <w:next w:val="Normal"/>
    <w:autoRedefine/>
    <w:semiHidden/>
    <w:rsid w:val="000A288F"/>
    <w:pPr>
      <w:ind w:left="1920" w:hanging="320"/>
    </w:pPr>
    <w:rPr>
      <w:color w:val="FF0000"/>
      <w:u w:val="single"/>
    </w:rPr>
  </w:style>
  <w:style w:type="paragraph" w:styleId="Index7">
    <w:name w:val="index 7"/>
    <w:basedOn w:val="Normal"/>
    <w:next w:val="Normal"/>
    <w:autoRedefine/>
    <w:semiHidden/>
    <w:rsid w:val="000A288F"/>
    <w:pPr>
      <w:ind w:left="2240" w:hanging="320"/>
    </w:pPr>
    <w:rPr>
      <w:color w:val="FF0000"/>
      <w:u w:val="single"/>
    </w:rPr>
  </w:style>
  <w:style w:type="paragraph" w:styleId="Index8">
    <w:name w:val="index 8"/>
    <w:basedOn w:val="Normal"/>
    <w:next w:val="Normal"/>
    <w:autoRedefine/>
    <w:semiHidden/>
    <w:rsid w:val="000A288F"/>
    <w:pPr>
      <w:ind w:left="2560" w:hanging="320"/>
    </w:pPr>
    <w:rPr>
      <w:color w:val="FF0000"/>
      <w:u w:val="single"/>
    </w:rPr>
  </w:style>
  <w:style w:type="paragraph" w:styleId="Index9">
    <w:name w:val="index 9"/>
    <w:basedOn w:val="Normal"/>
    <w:next w:val="Normal"/>
    <w:autoRedefine/>
    <w:semiHidden/>
    <w:rsid w:val="000A288F"/>
    <w:pPr>
      <w:ind w:left="2880" w:hanging="320"/>
    </w:pPr>
    <w:rPr>
      <w:color w:val="FF0000"/>
      <w:u w:val="single"/>
    </w:rPr>
  </w:style>
  <w:style w:type="paragraph" w:styleId="IndexHeading">
    <w:name w:val="index heading"/>
    <w:basedOn w:val="Normal"/>
    <w:next w:val="Index1"/>
    <w:uiPriority w:val="99"/>
    <w:semiHidden/>
    <w:rsid w:val="000A288F"/>
    <w:rPr>
      <w:rFonts w:asciiTheme="majorHAnsi" w:eastAsiaTheme="majorEastAsia" w:hAnsiTheme="majorHAnsi" w:cstheme="majorBidi"/>
      <w:b/>
      <w:bCs/>
    </w:rPr>
  </w:style>
  <w:style w:type="character" w:styleId="LineNumber">
    <w:name w:val="line number"/>
    <w:semiHidden/>
    <w:rsid w:val="00C15D7C"/>
    <w:rPr>
      <w:rFonts w:ascii="Arial" w:hAnsi="Arial" w:cs="Arial"/>
      <w:color w:val="FF0000"/>
      <w:sz w:val="32"/>
      <w:u w:val="single"/>
    </w:rPr>
  </w:style>
  <w:style w:type="paragraph" w:styleId="List">
    <w:name w:val="List"/>
    <w:basedOn w:val="Normal"/>
    <w:semiHidden/>
    <w:rsid w:val="000A288F"/>
    <w:pPr>
      <w:ind w:left="283" w:hanging="283"/>
    </w:pPr>
    <w:rPr>
      <w:color w:val="FF0000"/>
      <w:u w:val="single"/>
    </w:rPr>
  </w:style>
  <w:style w:type="paragraph" w:styleId="List2">
    <w:name w:val="List 2"/>
    <w:basedOn w:val="Normal"/>
    <w:semiHidden/>
    <w:rsid w:val="000A288F"/>
    <w:pPr>
      <w:ind w:left="566" w:hanging="283"/>
    </w:pPr>
    <w:rPr>
      <w:color w:val="FF0000"/>
      <w:u w:val="single"/>
    </w:rPr>
  </w:style>
  <w:style w:type="paragraph" w:styleId="List3">
    <w:name w:val="List 3"/>
    <w:basedOn w:val="Normal"/>
    <w:semiHidden/>
    <w:rsid w:val="000A288F"/>
    <w:pPr>
      <w:ind w:left="849" w:hanging="283"/>
    </w:pPr>
    <w:rPr>
      <w:color w:val="FF0000"/>
      <w:u w:val="single"/>
    </w:rPr>
  </w:style>
  <w:style w:type="paragraph" w:styleId="List4">
    <w:name w:val="List 4"/>
    <w:basedOn w:val="Normal"/>
    <w:semiHidden/>
    <w:rsid w:val="000A288F"/>
    <w:pPr>
      <w:ind w:left="1132" w:hanging="283"/>
    </w:pPr>
    <w:rPr>
      <w:color w:val="FF0000"/>
      <w:u w:val="single"/>
    </w:rPr>
  </w:style>
  <w:style w:type="paragraph" w:styleId="List5">
    <w:name w:val="List 5"/>
    <w:basedOn w:val="Normal"/>
    <w:semiHidden/>
    <w:rsid w:val="000A288F"/>
    <w:pPr>
      <w:ind w:left="1415" w:hanging="283"/>
    </w:pPr>
    <w:rPr>
      <w:color w:val="FF0000"/>
      <w:u w:val="single"/>
    </w:rPr>
  </w:style>
  <w:style w:type="paragraph" w:styleId="ListBullet">
    <w:name w:val="List Bullet"/>
    <w:basedOn w:val="Normal"/>
    <w:semiHidden/>
    <w:rsid w:val="000A288F"/>
    <w:pPr>
      <w:numPr>
        <w:numId w:val="4"/>
      </w:numPr>
    </w:pPr>
    <w:rPr>
      <w:color w:val="FF0000"/>
      <w:u w:val="single"/>
    </w:rPr>
  </w:style>
  <w:style w:type="paragraph" w:styleId="ListBullet2">
    <w:name w:val="List Bullet 2"/>
    <w:basedOn w:val="Normal"/>
    <w:semiHidden/>
    <w:rsid w:val="000A288F"/>
    <w:pPr>
      <w:numPr>
        <w:numId w:val="5"/>
      </w:numPr>
    </w:pPr>
    <w:rPr>
      <w:color w:val="FF0000"/>
      <w:u w:val="single"/>
    </w:rPr>
  </w:style>
  <w:style w:type="paragraph" w:styleId="ListBullet3">
    <w:name w:val="List Bullet 3"/>
    <w:basedOn w:val="Normal"/>
    <w:semiHidden/>
    <w:rsid w:val="000A288F"/>
    <w:pPr>
      <w:numPr>
        <w:numId w:val="6"/>
      </w:numPr>
    </w:pPr>
    <w:rPr>
      <w:color w:val="FF0000"/>
      <w:u w:val="single"/>
    </w:rPr>
  </w:style>
  <w:style w:type="paragraph" w:styleId="ListBullet4">
    <w:name w:val="List Bullet 4"/>
    <w:basedOn w:val="Normal"/>
    <w:semiHidden/>
    <w:rsid w:val="000A288F"/>
    <w:pPr>
      <w:numPr>
        <w:numId w:val="7"/>
      </w:numPr>
    </w:pPr>
    <w:rPr>
      <w:color w:val="FF0000"/>
      <w:u w:val="single"/>
    </w:rPr>
  </w:style>
  <w:style w:type="paragraph" w:styleId="ListBullet5">
    <w:name w:val="List Bullet 5"/>
    <w:basedOn w:val="Normal"/>
    <w:semiHidden/>
    <w:rsid w:val="000A288F"/>
    <w:pPr>
      <w:numPr>
        <w:numId w:val="8"/>
      </w:numPr>
    </w:pPr>
    <w:rPr>
      <w:color w:val="FF0000"/>
      <w:u w:val="single"/>
    </w:rPr>
  </w:style>
  <w:style w:type="paragraph" w:styleId="ListContinue">
    <w:name w:val="List Continue"/>
    <w:basedOn w:val="Normal"/>
    <w:semiHidden/>
    <w:rsid w:val="000A288F"/>
    <w:pPr>
      <w:spacing w:after="120"/>
      <w:ind w:left="283"/>
    </w:pPr>
    <w:rPr>
      <w:color w:val="FF0000"/>
      <w:u w:val="single"/>
    </w:rPr>
  </w:style>
  <w:style w:type="paragraph" w:styleId="ListContinue2">
    <w:name w:val="List Continue 2"/>
    <w:basedOn w:val="Normal"/>
    <w:semiHidden/>
    <w:rsid w:val="000A288F"/>
    <w:pPr>
      <w:spacing w:after="120"/>
      <w:ind w:left="566"/>
    </w:pPr>
    <w:rPr>
      <w:color w:val="FF0000"/>
      <w:u w:val="single"/>
    </w:rPr>
  </w:style>
  <w:style w:type="paragraph" w:styleId="ListContinue3">
    <w:name w:val="List Continue 3"/>
    <w:basedOn w:val="Normal"/>
    <w:semiHidden/>
    <w:rsid w:val="000A288F"/>
    <w:pPr>
      <w:spacing w:after="120"/>
      <w:ind w:left="849"/>
    </w:pPr>
    <w:rPr>
      <w:color w:val="FF0000"/>
      <w:u w:val="single"/>
    </w:rPr>
  </w:style>
  <w:style w:type="paragraph" w:styleId="ListContinue4">
    <w:name w:val="List Continue 4"/>
    <w:basedOn w:val="Normal"/>
    <w:semiHidden/>
    <w:rsid w:val="000A288F"/>
    <w:pPr>
      <w:spacing w:after="120"/>
      <w:ind w:left="1132"/>
    </w:pPr>
    <w:rPr>
      <w:color w:val="FF0000"/>
      <w:u w:val="single"/>
    </w:rPr>
  </w:style>
  <w:style w:type="paragraph" w:styleId="ListContinue5">
    <w:name w:val="List Continue 5"/>
    <w:basedOn w:val="Normal"/>
    <w:semiHidden/>
    <w:rsid w:val="000A288F"/>
    <w:pPr>
      <w:spacing w:after="120"/>
      <w:ind w:left="1415"/>
    </w:pPr>
    <w:rPr>
      <w:color w:val="FF0000"/>
      <w:u w:val="single"/>
    </w:rPr>
  </w:style>
  <w:style w:type="paragraph" w:styleId="NormalWeb">
    <w:name w:val="Normal (Web)"/>
    <w:basedOn w:val="Normal"/>
    <w:uiPriority w:val="99"/>
    <w:semiHidden/>
    <w:rsid w:val="002B075E"/>
    <w:rPr>
      <w:color w:val="FF0000"/>
      <w:szCs w:val="24"/>
      <w:u w:val="single"/>
    </w:rPr>
  </w:style>
  <w:style w:type="paragraph" w:styleId="NormalIndent">
    <w:name w:val="Normal Indent"/>
    <w:basedOn w:val="Normal"/>
    <w:uiPriority w:val="8"/>
    <w:qFormat/>
    <w:rsid w:val="00247466"/>
    <w:pPr>
      <w:keepLines/>
      <w:spacing w:line="252" w:lineRule="auto"/>
      <w:ind w:left="792"/>
    </w:pPr>
  </w:style>
  <w:style w:type="paragraph" w:styleId="NoteHeading">
    <w:name w:val="Note Heading"/>
    <w:basedOn w:val="Normal"/>
    <w:next w:val="Normal"/>
    <w:semiHidden/>
    <w:rsid w:val="000A288F"/>
    <w:rPr>
      <w:color w:val="FF0000"/>
      <w:u w:val="single"/>
    </w:rPr>
  </w:style>
  <w:style w:type="paragraph" w:styleId="Subtitle">
    <w:name w:val="Subtitle"/>
    <w:link w:val="SubtitleChar"/>
    <w:uiPriority w:val="98"/>
    <w:qFormat/>
    <w:rsid w:val="000A288F"/>
    <w:pPr>
      <w:spacing w:line="440" w:lineRule="exact"/>
    </w:pPr>
    <w:rPr>
      <w:rFonts w:asciiTheme="majorHAnsi" w:hAnsiTheme="majorHAnsi" w:cstheme="majorHAnsi"/>
      <w:color w:val="0063A6" w:themeColor="accent1"/>
      <w:spacing w:val="-2"/>
      <w:sz w:val="40"/>
      <w:szCs w:val="24"/>
    </w:rPr>
  </w:style>
  <w:style w:type="table" w:styleId="Table3Deffects1">
    <w:name w:val="Table 3D effects 1"/>
    <w:basedOn w:val="TableNormal"/>
    <w:semiHidden/>
    <w:rsid w:val="000A288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A288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A28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A288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A288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A288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PageNumber">
    <w:name w:val="page number"/>
    <w:uiPriority w:val="49"/>
    <w:semiHidden/>
    <w:rsid w:val="000A288F"/>
    <w:rPr>
      <w:b w:val="0"/>
      <w:color w:val="000000" w:themeColor="text1"/>
    </w:rPr>
  </w:style>
  <w:style w:type="table" w:styleId="TableClassic4">
    <w:name w:val="Table Classic 4"/>
    <w:basedOn w:val="TableNormal"/>
    <w:semiHidden/>
    <w:rsid w:val="000A288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A288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A288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A288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A288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A288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A288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A288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A288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A288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A288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A288F"/>
    <w:pPr>
      <w:spacing w:before="20" w:after="20"/>
      <w:jc w:val="right"/>
    </w:pPr>
    <w:rPr>
      <w:rFonts w:asciiTheme="minorHAnsi" w:eastAsiaTheme="minorHAnsi" w:hAnsiTheme="minorHAnsi" w:cstheme="minorBidi"/>
      <w:spacing w:val="2"/>
      <w:sz w:val="17"/>
      <w:szCs w:val="21"/>
      <w:lang w:eastAsia="en-US"/>
    </w:rPr>
    <w:tblPr>
      <w:tblStyleRowBandSize w:val="1"/>
      <w:tblStyleColBandSize w:val="1"/>
      <w:tblBorders>
        <w:bottom w:val="single" w:sz="12" w:space="0" w:color="0063A6"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style>
  <w:style w:type="table" w:styleId="TableGrid1">
    <w:name w:val="Table Grid 1"/>
    <w:basedOn w:val="TableNormal"/>
    <w:semiHidden/>
    <w:rsid w:val="000A28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A288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A288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A288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A288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A288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A288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A288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ableofAuthorities">
    <w:name w:val="table of authorities"/>
    <w:basedOn w:val="Normal"/>
    <w:next w:val="Normal"/>
    <w:semiHidden/>
    <w:rsid w:val="000A288F"/>
    <w:pPr>
      <w:ind w:left="320" w:hanging="320"/>
    </w:pPr>
    <w:rPr>
      <w:color w:val="FF0000"/>
      <w:u w:val="single"/>
    </w:rPr>
  </w:style>
  <w:style w:type="table" w:styleId="TableProfessional">
    <w:name w:val="Table Professional"/>
    <w:basedOn w:val="TableNormal"/>
    <w:semiHidden/>
    <w:rsid w:val="000A28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A288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A28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A288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A288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A288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A2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15D7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15D7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5D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link w:val="TitleChar"/>
    <w:uiPriority w:val="97"/>
    <w:rsid w:val="000A288F"/>
    <w:pPr>
      <w:spacing w:after="240" w:line="276" w:lineRule="auto"/>
    </w:pPr>
    <w:rPr>
      <w:rFonts w:asciiTheme="majorHAnsi" w:hAnsiTheme="majorHAnsi" w:cstheme="majorHAnsi"/>
      <w:b/>
      <w:color w:val="FFFFFF" w:themeColor="background1"/>
      <w:spacing w:val="-2"/>
      <w:sz w:val="52"/>
      <w:szCs w:val="52"/>
    </w:rPr>
  </w:style>
  <w:style w:type="paragraph" w:styleId="TOAHeading">
    <w:name w:val="toa heading"/>
    <w:basedOn w:val="Normal"/>
    <w:next w:val="Normal"/>
    <w:semiHidden/>
    <w:rsid w:val="000A288F"/>
    <w:pPr>
      <w:spacing w:before="120"/>
    </w:pPr>
    <w:rPr>
      <w:b/>
      <w:bCs/>
      <w:color w:val="FF0000"/>
      <w:szCs w:val="24"/>
      <w:u w:val="single"/>
    </w:rPr>
  </w:style>
  <w:style w:type="paragraph" w:styleId="TOC4">
    <w:name w:val="toc 4"/>
    <w:basedOn w:val="TOC1"/>
    <w:next w:val="Normal"/>
    <w:uiPriority w:val="39"/>
    <w:rsid w:val="000A288F"/>
    <w:pPr>
      <w:ind w:left="450" w:hanging="450"/>
    </w:pPr>
    <w:rPr>
      <w:noProof/>
      <w:lang w:eastAsia="en-US"/>
    </w:rPr>
  </w:style>
  <w:style w:type="paragraph" w:styleId="TOC5">
    <w:name w:val="toc 5"/>
    <w:basedOn w:val="TOC2"/>
    <w:next w:val="Normal"/>
    <w:uiPriority w:val="39"/>
    <w:rsid w:val="000A288F"/>
    <w:pPr>
      <w:ind w:left="1080" w:hanging="634"/>
    </w:pPr>
    <w:rPr>
      <w:lang w:eastAsia="en-US"/>
    </w:rPr>
  </w:style>
  <w:style w:type="paragraph" w:styleId="TOC6">
    <w:name w:val="toc 6"/>
    <w:basedOn w:val="TOC3"/>
    <w:next w:val="Normal"/>
    <w:uiPriority w:val="39"/>
    <w:rsid w:val="000A288F"/>
    <w:pPr>
      <w:ind w:left="1800" w:hanging="720"/>
    </w:pPr>
    <w:rPr>
      <w:lang w:eastAsia="en-US"/>
    </w:rPr>
  </w:style>
  <w:style w:type="paragraph" w:styleId="TOC7">
    <w:name w:val="toc 7"/>
    <w:basedOn w:val="Normal"/>
    <w:next w:val="Normal"/>
    <w:semiHidden/>
    <w:rsid w:val="000A288F"/>
    <w:pPr>
      <w:ind w:left="1920"/>
    </w:pPr>
    <w:rPr>
      <w:color w:val="FF0000"/>
      <w:u w:val="single"/>
    </w:rPr>
  </w:style>
  <w:style w:type="paragraph" w:styleId="TOC8">
    <w:name w:val="toc 8"/>
    <w:basedOn w:val="Normal"/>
    <w:next w:val="Normal"/>
    <w:semiHidden/>
    <w:rsid w:val="000A288F"/>
    <w:pPr>
      <w:ind w:left="2240"/>
    </w:pPr>
    <w:rPr>
      <w:color w:val="FF0000"/>
      <w:u w:val="single"/>
    </w:rPr>
  </w:style>
  <w:style w:type="paragraph" w:styleId="TOC9">
    <w:name w:val="toc 9"/>
    <w:basedOn w:val="Normal"/>
    <w:next w:val="Normal"/>
    <w:semiHidden/>
    <w:rsid w:val="000A288F"/>
    <w:pPr>
      <w:ind w:left="2560"/>
    </w:pPr>
    <w:rPr>
      <w:color w:val="FF0000"/>
      <w:u w:val="single"/>
    </w:rPr>
  </w:style>
  <w:style w:type="paragraph" w:styleId="Caption">
    <w:name w:val="caption"/>
    <w:basedOn w:val="Normal"/>
    <w:next w:val="Normal"/>
    <w:uiPriority w:val="35"/>
    <w:rsid w:val="000A288F"/>
    <w:pPr>
      <w:spacing w:before="0" w:after="200" w:line="240" w:lineRule="auto"/>
    </w:pPr>
    <w:rPr>
      <w:b/>
      <w:bCs/>
      <w:color w:val="383834" w:themeColor="background2" w:themeShade="40"/>
      <w:sz w:val="18"/>
      <w:szCs w:val="18"/>
    </w:rPr>
  </w:style>
  <w:style w:type="character" w:customStyle="1" w:styleId="HeaderChar">
    <w:name w:val="Header Char"/>
    <w:basedOn w:val="DefaultParagraphFont"/>
    <w:link w:val="Header"/>
    <w:uiPriority w:val="99"/>
    <w:rsid w:val="000A288F"/>
    <w:rPr>
      <w:rFonts w:asciiTheme="minorHAnsi" w:eastAsiaTheme="minorEastAsia" w:hAnsiTheme="minorHAnsi" w:cstheme="minorBidi"/>
      <w:spacing w:val="2"/>
    </w:rPr>
  </w:style>
  <w:style w:type="paragraph" w:styleId="Revision">
    <w:name w:val="Revision"/>
    <w:hidden/>
    <w:uiPriority w:val="99"/>
    <w:semiHidden/>
    <w:rsid w:val="00881F0C"/>
    <w:rPr>
      <w:rFonts w:ascii="Arial" w:hAnsi="Arial" w:cs="Arial"/>
      <w:sz w:val="28"/>
      <w:lang w:eastAsia="en-US"/>
    </w:rPr>
  </w:style>
  <w:style w:type="paragraph" w:customStyle="1" w:styleId="Heading1numbered">
    <w:name w:val="Heading 1 numbered"/>
    <w:basedOn w:val="Heading1"/>
    <w:next w:val="NormalIndent"/>
    <w:uiPriority w:val="8"/>
    <w:qFormat/>
    <w:rsid w:val="000A288F"/>
    <w:pPr>
      <w:numPr>
        <w:ilvl w:val="2"/>
        <w:numId w:val="15"/>
      </w:numPr>
    </w:pPr>
  </w:style>
  <w:style w:type="paragraph" w:customStyle="1" w:styleId="Heading2numbered">
    <w:name w:val="Heading 2 numbered"/>
    <w:basedOn w:val="Heading2"/>
    <w:next w:val="NormalIndent"/>
    <w:uiPriority w:val="8"/>
    <w:qFormat/>
    <w:rsid w:val="000A288F"/>
    <w:pPr>
      <w:numPr>
        <w:ilvl w:val="3"/>
        <w:numId w:val="15"/>
      </w:numPr>
    </w:pPr>
  </w:style>
  <w:style w:type="paragraph" w:customStyle="1" w:styleId="Heading3numbered">
    <w:name w:val="Heading 3 numbered"/>
    <w:basedOn w:val="Heading3"/>
    <w:next w:val="NormalIndent"/>
    <w:uiPriority w:val="8"/>
    <w:qFormat/>
    <w:rsid w:val="000A288F"/>
    <w:pPr>
      <w:numPr>
        <w:ilvl w:val="4"/>
        <w:numId w:val="15"/>
      </w:numPr>
    </w:pPr>
  </w:style>
  <w:style w:type="table" w:styleId="LightShading">
    <w:name w:val="Light Shading"/>
    <w:basedOn w:val="TableNormal"/>
    <w:uiPriority w:val="60"/>
    <w:rsid w:val="00A91244"/>
    <w:rPr>
      <w:rFonts w:asciiTheme="minorHAnsi" w:eastAsiaTheme="minorEastAsia"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A91244"/>
    <w:rPr>
      <w:rFonts w:asciiTheme="minorHAnsi" w:eastAsiaTheme="minorEastAsia" w:hAnsiTheme="minorHAnsi" w:cstheme="minorBidi"/>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A91244"/>
    <w:rPr>
      <w:rFonts w:asciiTheme="minorHAnsi" w:eastAsiaTheme="minorEastAsia" w:hAnsiTheme="minorHAnsi" w:cstheme="minorBidi"/>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character" w:customStyle="1" w:styleId="Heading1Char">
    <w:name w:val="Heading 1 Char"/>
    <w:basedOn w:val="DefaultParagraphFont"/>
    <w:link w:val="Heading1"/>
    <w:rsid w:val="000A288F"/>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0A288F"/>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0A288F"/>
    <w:pPr>
      <w:numPr>
        <w:numId w:val="3"/>
      </w:numPr>
      <w:spacing w:before="100" w:after="100" w:line="252" w:lineRule="auto"/>
    </w:pPr>
    <w:rPr>
      <w:rFonts w:asciiTheme="minorHAnsi" w:hAnsiTheme="minorHAnsi" w:cs="Calibri"/>
      <w:spacing w:val="2"/>
    </w:rPr>
  </w:style>
  <w:style w:type="paragraph" w:customStyle="1" w:styleId="Bullet2">
    <w:name w:val="Bullet 2"/>
    <w:basedOn w:val="Bullet1"/>
    <w:uiPriority w:val="1"/>
    <w:qFormat/>
    <w:rsid w:val="000A288F"/>
    <w:pPr>
      <w:numPr>
        <w:ilvl w:val="1"/>
      </w:numPr>
    </w:pPr>
  </w:style>
  <w:style w:type="paragraph" w:customStyle="1" w:styleId="Bulletindent">
    <w:name w:val="Bullet indent"/>
    <w:basedOn w:val="Bullet2"/>
    <w:uiPriority w:val="9"/>
    <w:qFormat/>
    <w:rsid w:val="000A288F"/>
    <w:pPr>
      <w:numPr>
        <w:ilvl w:val="2"/>
      </w:numPr>
    </w:pPr>
  </w:style>
  <w:style w:type="character" w:customStyle="1" w:styleId="Heading3Char">
    <w:name w:val="Heading 3 Char"/>
    <w:basedOn w:val="DefaultParagraphFont"/>
    <w:link w:val="Heading3"/>
    <w:rsid w:val="000A288F"/>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0A288F"/>
    <w:pPr>
      <w:numPr>
        <w:ilvl w:val="5"/>
        <w:numId w:val="15"/>
      </w:numPr>
    </w:pPr>
  </w:style>
  <w:style w:type="character" w:customStyle="1" w:styleId="Heading4Char">
    <w:name w:val="Heading 4 Char"/>
    <w:basedOn w:val="DefaultParagraphFont"/>
    <w:link w:val="Heading4"/>
    <w:rsid w:val="000A288F"/>
    <w:rPr>
      <w:rFonts w:asciiTheme="majorHAnsi" w:eastAsiaTheme="majorEastAsia" w:hAnsiTheme="majorHAnsi" w:cstheme="majorBidi"/>
      <w:b/>
      <w:bCs/>
      <w:iCs/>
      <w:color w:val="53565A"/>
      <w:spacing w:val="2"/>
    </w:rPr>
  </w:style>
  <w:style w:type="paragraph" w:customStyle="1" w:styleId="NoteNormal">
    <w:name w:val="Note Normal"/>
    <w:basedOn w:val="Normal"/>
    <w:rsid w:val="000A288F"/>
    <w:pPr>
      <w:keepNext/>
      <w:keepLines/>
      <w:spacing w:before="80" w:line="240" w:lineRule="auto"/>
    </w:pPr>
    <w:rPr>
      <w:rFonts w:eastAsia="Times New Roman" w:cstheme="minorHAnsi"/>
      <w:color w:val="000000"/>
      <w:spacing w:val="1"/>
      <w:sz w:val="16"/>
      <w:szCs w:val="16"/>
      <w:lang w:eastAsia="en-US"/>
    </w:rPr>
  </w:style>
  <w:style w:type="character" w:customStyle="1" w:styleId="SubtitleChar">
    <w:name w:val="Subtitle Char"/>
    <w:basedOn w:val="DefaultParagraphFont"/>
    <w:link w:val="Subtitle"/>
    <w:uiPriority w:val="98"/>
    <w:rsid w:val="000A288F"/>
    <w:rPr>
      <w:rFonts w:asciiTheme="majorHAnsi" w:hAnsiTheme="majorHAnsi" w:cstheme="majorHAnsi"/>
      <w:color w:val="0063A6" w:themeColor="accent1"/>
      <w:spacing w:val="-2"/>
      <w:sz w:val="40"/>
      <w:szCs w:val="24"/>
    </w:rPr>
  </w:style>
  <w:style w:type="paragraph" w:customStyle="1" w:styleId="TertiaryTitle">
    <w:name w:val="Tertiary Title"/>
    <w:next w:val="Normal"/>
    <w:uiPriority w:val="98"/>
    <w:rsid w:val="000A288F"/>
    <w:pPr>
      <w:spacing w:line="264" w:lineRule="auto"/>
    </w:pPr>
    <w:rPr>
      <w:rFonts w:asciiTheme="majorHAnsi" w:hAnsiTheme="majorHAnsi" w:cstheme="majorHAnsi"/>
      <w:b/>
      <w:color w:val="0063A6" w:themeColor="accent1"/>
      <w:spacing w:val="-2"/>
      <w:sz w:val="40"/>
      <w:szCs w:val="40"/>
      <w:lang w:eastAsia="en-US"/>
    </w:rPr>
  </w:style>
  <w:style w:type="character" w:customStyle="1" w:styleId="TitleChar">
    <w:name w:val="Title Char"/>
    <w:basedOn w:val="DefaultParagraphFont"/>
    <w:link w:val="Title"/>
    <w:uiPriority w:val="97"/>
    <w:rsid w:val="000A288F"/>
    <w:rPr>
      <w:rFonts w:asciiTheme="majorHAnsi" w:hAnsiTheme="majorHAnsi" w:cstheme="majorHAnsi"/>
      <w:b/>
      <w:color w:val="FFFFFF" w:themeColor="background1"/>
      <w:spacing w:val="-2"/>
      <w:sz w:val="52"/>
      <w:szCs w:val="52"/>
    </w:rPr>
  </w:style>
  <w:style w:type="paragraph" w:customStyle="1" w:styleId="Bulletindent2">
    <w:name w:val="Bullet indent 2"/>
    <w:basedOn w:val="Normal"/>
    <w:uiPriority w:val="9"/>
    <w:qFormat/>
    <w:rsid w:val="000A288F"/>
    <w:pPr>
      <w:numPr>
        <w:ilvl w:val="3"/>
        <w:numId w:val="3"/>
      </w:numPr>
      <w:spacing w:before="100"/>
      <w:contextualSpacing/>
    </w:pPr>
  </w:style>
  <w:style w:type="character" w:customStyle="1" w:styleId="FooterChar">
    <w:name w:val="Footer Char"/>
    <w:basedOn w:val="DefaultParagraphFont"/>
    <w:link w:val="Footer"/>
    <w:uiPriority w:val="24"/>
    <w:rsid w:val="000A288F"/>
    <w:rPr>
      <w:rFonts w:asciiTheme="minorHAnsi" w:eastAsiaTheme="minorEastAsia" w:hAnsiTheme="minorHAnsi" w:cstheme="minorBidi"/>
      <w:noProof/>
      <w:spacing w:val="2"/>
      <w:sz w:val="18"/>
      <w:szCs w:val="18"/>
    </w:rPr>
  </w:style>
  <w:style w:type="paragraph" w:styleId="TOCHeading">
    <w:name w:val="TOC Heading"/>
    <w:basedOn w:val="Heading1"/>
    <w:next w:val="Normal"/>
    <w:uiPriority w:val="39"/>
    <w:rsid w:val="000A288F"/>
    <w:pPr>
      <w:spacing w:before="480" w:after="720"/>
      <w:outlineLvl w:val="9"/>
    </w:pPr>
    <w:rPr>
      <w:spacing w:val="2"/>
    </w:rPr>
  </w:style>
  <w:style w:type="paragraph" w:customStyle="1" w:styleId="NormalTight">
    <w:name w:val="Normal Tight"/>
    <w:uiPriority w:val="99"/>
    <w:semiHidden/>
    <w:rsid w:val="000A288F"/>
    <w:pPr>
      <w:ind w:right="2366"/>
    </w:pPr>
    <w:rPr>
      <w:rFonts w:asciiTheme="minorHAnsi" w:hAnsiTheme="minorHAnsi" w:cs="Calibri"/>
      <w:sz w:val="18"/>
      <w:szCs w:val="19"/>
      <w:lang w:eastAsia="en-US"/>
    </w:rPr>
  </w:style>
  <w:style w:type="table" w:customStyle="1" w:styleId="DTFtexttable">
    <w:name w:val="DTF text table"/>
    <w:basedOn w:val="TableGrid"/>
    <w:uiPriority w:val="99"/>
    <w:rsid w:val="00247466"/>
    <w:pPr>
      <w:spacing w:before="30" w:after="30" w:line="264" w:lineRule="auto"/>
      <w:jc w:val="left"/>
    </w:pPr>
    <w:tblPr>
      <w:tblBorders>
        <w:bottom w:val="none" w:sz="0" w:space="0" w:color="auto"/>
        <w:insideH w:val="single" w:sz="6" w:space="0" w:color="0063A6" w:themeColor="accent1"/>
      </w:tblBorders>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0A288F"/>
    <w:pPr>
      <w:spacing w:before="30" w:after="30" w:line="264" w:lineRule="auto"/>
    </w:pPr>
    <w:tblPr/>
    <w:tblStylePr w:type="firstRow">
      <w:pPr>
        <w:keepNext/>
        <w:keepLines/>
        <w:widowControl/>
        <w:wordWrap/>
        <w:spacing w:beforeLines="0" w:before="120" w:beforeAutospacing="0" w:afterLines="0" w:after="30" w:afterAutospacing="0"/>
        <w:jc w:val="righ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0A288F"/>
    <w:pPr>
      <w:spacing w:before="60" w:after="60" w:line="264" w:lineRule="auto"/>
    </w:pPr>
    <w:rPr>
      <w:sz w:val="17"/>
    </w:rPr>
  </w:style>
  <w:style w:type="paragraph" w:customStyle="1" w:styleId="Tabletextright">
    <w:name w:val="Table text right"/>
    <w:basedOn w:val="Tabletext"/>
    <w:uiPriority w:val="5"/>
    <w:qFormat/>
    <w:rsid w:val="000A288F"/>
    <w:pPr>
      <w:jc w:val="right"/>
    </w:pPr>
  </w:style>
  <w:style w:type="paragraph" w:customStyle="1" w:styleId="Tabletextcentred">
    <w:name w:val="Table text centred"/>
    <w:basedOn w:val="Tabletext"/>
    <w:uiPriority w:val="5"/>
    <w:qFormat/>
    <w:rsid w:val="000A288F"/>
    <w:pPr>
      <w:jc w:val="center"/>
    </w:pPr>
  </w:style>
  <w:style w:type="paragraph" w:customStyle="1" w:styleId="Tableheader">
    <w:name w:val="Table header"/>
    <w:basedOn w:val="Tabletext"/>
    <w:uiPriority w:val="5"/>
    <w:qFormat/>
    <w:rsid w:val="000A288F"/>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0A288F"/>
    <w:pPr>
      <w:numPr>
        <w:numId w:val="16"/>
      </w:numPr>
    </w:pPr>
  </w:style>
  <w:style w:type="paragraph" w:customStyle="1" w:styleId="Tabledash">
    <w:name w:val="Table dash"/>
    <w:basedOn w:val="Tablebullet"/>
    <w:uiPriority w:val="6"/>
    <w:rsid w:val="000A288F"/>
    <w:pPr>
      <w:numPr>
        <w:ilvl w:val="1"/>
      </w:numPr>
    </w:pPr>
  </w:style>
  <w:style w:type="paragraph" w:customStyle="1" w:styleId="Tabletextindent">
    <w:name w:val="Table text indent"/>
    <w:basedOn w:val="Tabletext"/>
    <w:uiPriority w:val="5"/>
    <w:qFormat/>
    <w:rsid w:val="000A288F"/>
    <w:pPr>
      <w:ind w:left="288"/>
    </w:pPr>
  </w:style>
  <w:style w:type="paragraph" w:customStyle="1" w:styleId="Numpara">
    <w:name w:val="Num para"/>
    <w:basedOn w:val="Normal"/>
    <w:uiPriority w:val="2"/>
    <w:qFormat/>
    <w:rsid w:val="00247466"/>
    <w:pPr>
      <w:numPr>
        <w:numId w:val="14"/>
      </w:numPr>
      <w:tabs>
        <w:tab w:val="left" w:pos="540"/>
      </w:tabs>
      <w:contextualSpacing/>
    </w:pPr>
  </w:style>
  <w:style w:type="character" w:customStyle="1" w:styleId="FootnoteTextChar">
    <w:name w:val="Footnote Text Char"/>
    <w:basedOn w:val="DefaultParagraphFont"/>
    <w:link w:val="FootnoteText"/>
    <w:uiPriority w:val="99"/>
    <w:rsid w:val="000A288F"/>
    <w:rPr>
      <w:rFonts w:asciiTheme="minorHAnsi" w:eastAsiaTheme="minorEastAsia" w:hAnsiTheme="minorHAnsi" w:cstheme="minorBidi"/>
      <w:spacing w:val="2"/>
      <w:sz w:val="17"/>
    </w:rPr>
  </w:style>
  <w:style w:type="table" w:customStyle="1" w:styleId="DTFtexttableindent">
    <w:name w:val="DTF text table indent"/>
    <w:basedOn w:val="DTFtexttable"/>
    <w:uiPriority w:val="99"/>
    <w:rsid w:val="00247466"/>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0A288F"/>
    <w:pPr>
      <w:spacing w:after="0" w:line="240" w:lineRule="auto"/>
    </w:pPr>
    <w:tblPr>
      <w:tblInd w:w="821" w:type="dxa"/>
    </w:tblPr>
    <w:trPr>
      <w:cantSplit w:val="0"/>
    </w:tr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0A288F"/>
    <w:pPr>
      <w:numPr>
        <w:ilvl w:val="8"/>
        <w:numId w:val="15"/>
      </w:numPr>
      <w:tabs>
        <w:tab w:val="clear" w:pos="540"/>
      </w:tabs>
    </w:pPr>
  </w:style>
  <w:style w:type="paragraph" w:customStyle="1" w:styleId="NoteNormalindent">
    <w:name w:val="Note Normal indent"/>
    <w:basedOn w:val="NoteNormal"/>
    <w:uiPriority w:val="8"/>
    <w:rsid w:val="000A288F"/>
    <w:pPr>
      <w:ind w:left="792"/>
    </w:pPr>
  </w:style>
  <w:style w:type="paragraph" w:customStyle="1" w:styleId="Tablenum1">
    <w:name w:val="Table num 1"/>
    <w:basedOn w:val="Normal"/>
    <w:uiPriority w:val="6"/>
    <w:rsid w:val="005536EC"/>
    <w:pPr>
      <w:numPr>
        <w:ilvl w:val="2"/>
        <w:numId w:val="16"/>
      </w:numPr>
      <w:tabs>
        <w:tab w:val="clear" w:pos="360"/>
        <w:tab w:val="num" w:pos="240"/>
      </w:tabs>
      <w:ind w:left="240" w:hanging="240"/>
    </w:pPr>
    <w:rPr>
      <w:sz w:val="17"/>
      <w:szCs w:val="21"/>
      <w:lang w:eastAsia="en-US"/>
    </w:rPr>
  </w:style>
  <w:style w:type="paragraph" w:customStyle="1" w:styleId="Tablenum2">
    <w:name w:val="Table num 2"/>
    <w:basedOn w:val="Normal"/>
    <w:uiPriority w:val="6"/>
    <w:rsid w:val="000A288F"/>
    <w:pPr>
      <w:numPr>
        <w:ilvl w:val="3"/>
        <w:numId w:val="16"/>
      </w:numPr>
    </w:pPr>
    <w:rPr>
      <w:sz w:val="17"/>
    </w:rPr>
  </w:style>
  <w:style w:type="paragraph" w:customStyle="1" w:styleId="Tablechartdiagramheading">
    <w:name w:val="Table/chart/diagram heading"/>
    <w:uiPriority w:val="4"/>
    <w:qFormat/>
    <w:rsid w:val="000A288F"/>
    <w:pPr>
      <w:keepNext/>
      <w:tabs>
        <w:tab w:val="left" w:pos="1080"/>
      </w:tabs>
      <w:spacing w:before="160" w:after="100" w:line="276" w:lineRule="auto"/>
    </w:pPr>
    <w:rPr>
      <w:rFonts w:asciiTheme="minorHAnsi" w:eastAsiaTheme="minorEastAsia" w:hAnsiTheme="minorHAnsi" w:cstheme="minorBidi"/>
      <w:b/>
      <w:bCs/>
      <w:color w:val="0063A6" w:themeColor="accent1"/>
      <w:spacing w:val="2"/>
      <w:sz w:val="18"/>
      <w:szCs w:val="18"/>
    </w:rPr>
  </w:style>
  <w:style w:type="character" w:styleId="UnresolvedMention">
    <w:name w:val="Unresolved Mention"/>
    <w:basedOn w:val="DefaultParagraphFont"/>
    <w:uiPriority w:val="99"/>
    <w:semiHidden/>
    <w:unhideWhenUsed/>
    <w:rsid w:val="0087000A"/>
    <w:rPr>
      <w:color w:val="605E5C"/>
      <w:shd w:val="clear" w:color="auto" w:fill="E1DFDD"/>
    </w:rPr>
  </w:style>
  <w:style w:type="paragraph" w:customStyle="1" w:styleId="Default">
    <w:name w:val="Default"/>
    <w:rsid w:val="00487B34"/>
    <w:pPr>
      <w:autoSpaceDE w:val="0"/>
      <w:autoSpaceDN w:val="0"/>
      <w:adjustRightInd w:val="0"/>
    </w:pPr>
    <w:rPr>
      <w:rFonts w:ascii="Arial" w:hAnsi="Arial" w:cs="Arial"/>
      <w:color w:val="000000"/>
      <w:sz w:val="24"/>
      <w:szCs w:val="24"/>
      <w:lang w:val="en-GB"/>
    </w:rPr>
  </w:style>
  <w:style w:type="paragraph" w:styleId="BodyText">
    <w:name w:val="Body Text"/>
    <w:basedOn w:val="Normal"/>
    <w:link w:val="BodyTextChar"/>
    <w:qFormat/>
    <w:rsid w:val="00353B1F"/>
    <w:pPr>
      <w:spacing w:before="120" w:after="120" w:line="260" w:lineRule="atLeast"/>
    </w:pPr>
    <w:rPr>
      <w:rFonts w:eastAsia="Times New Roman" w:cs="Times New Roman"/>
      <w:spacing w:val="0"/>
      <w:szCs w:val="24"/>
    </w:rPr>
  </w:style>
  <w:style w:type="character" w:customStyle="1" w:styleId="BodyTextChar">
    <w:name w:val="Body Text Char"/>
    <w:basedOn w:val="DefaultParagraphFont"/>
    <w:link w:val="BodyText"/>
    <w:rsid w:val="00353B1F"/>
    <w:rPr>
      <w:rFonts w:asciiTheme="minorHAnsi" w:hAnsiTheme="minorHAnsi"/>
      <w:szCs w:val="24"/>
    </w:rPr>
  </w:style>
  <w:style w:type="paragraph" w:customStyle="1" w:styleId="TableParagraph">
    <w:name w:val="Table Paragraph"/>
    <w:basedOn w:val="Normal"/>
    <w:uiPriority w:val="1"/>
    <w:qFormat/>
    <w:rsid w:val="00B93D53"/>
    <w:pPr>
      <w:widowControl w:val="0"/>
      <w:autoSpaceDE w:val="0"/>
      <w:autoSpaceDN w:val="0"/>
      <w:spacing w:before="61" w:after="0" w:line="240" w:lineRule="auto"/>
      <w:ind w:left="57"/>
    </w:pPr>
    <w:rPr>
      <w:rFonts w:ascii="Arial" w:eastAsia="Arial" w:hAnsi="Arial" w:cs="Arial"/>
      <w:spacing w:val="0"/>
      <w:sz w:val="22"/>
      <w:szCs w:val="22"/>
      <w:lang w:val="en-US" w:eastAsia="en-US"/>
    </w:rPr>
  </w:style>
  <w:style w:type="character" w:customStyle="1" w:styleId="ui-provider">
    <w:name w:val="ui-provider"/>
    <w:basedOn w:val="DefaultParagraphFont"/>
    <w:rsid w:val="00D90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74477">
      <w:bodyDiv w:val="1"/>
      <w:marLeft w:val="0"/>
      <w:marRight w:val="0"/>
      <w:marTop w:val="0"/>
      <w:marBottom w:val="0"/>
      <w:divBdr>
        <w:top w:val="none" w:sz="0" w:space="0" w:color="auto"/>
        <w:left w:val="none" w:sz="0" w:space="0" w:color="auto"/>
        <w:bottom w:val="none" w:sz="0" w:space="0" w:color="auto"/>
        <w:right w:val="none" w:sz="0" w:space="0" w:color="auto"/>
      </w:divBdr>
    </w:div>
    <w:div w:id="810637832">
      <w:bodyDiv w:val="1"/>
      <w:marLeft w:val="0"/>
      <w:marRight w:val="0"/>
      <w:marTop w:val="0"/>
      <w:marBottom w:val="0"/>
      <w:divBdr>
        <w:top w:val="none" w:sz="0" w:space="0" w:color="auto"/>
        <w:left w:val="none" w:sz="0" w:space="0" w:color="auto"/>
        <w:bottom w:val="none" w:sz="0" w:space="0" w:color="auto"/>
        <w:right w:val="none" w:sz="0" w:space="0" w:color="auto"/>
      </w:divBdr>
    </w:div>
    <w:div w:id="99340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emv.vic.gov.au/how-we-help/disaster-recovery-funding-arrangements-drfa/disaster-recovery-funding-arrangements-16" TargetMode="External"/><Relationship Id="rId26" Type="http://schemas.openxmlformats.org/officeDocument/2006/relationships/hyperlink" Target="https://www.finance.gov.au/government/commonwealth-investment-framework/commonwealth-investments-toolkit/cost-estimation" TargetMode="External"/><Relationship Id="rId39"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https://www.emv.vic.gov.au/publications/victorian-drfa-cost-estimation-tool" TargetMode="External"/><Relationship Id="rId34" Type="http://schemas.openxmlformats.org/officeDocument/2006/relationships/hyperlink" Target="https://www.emv.vic.gov.au/natural-disaster-financial-assistance/events-post-1-november-2018" TargetMode="External"/><Relationship Id="rId42" Type="http://schemas.openxmlformats.org/officeDocument/2006/relationships/footer" Target="footer7.xm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www.emv.vic.gov.au/how-we-help/disaster-recovery-funding-arrangements-drfa/disaster-recovery-funding-arrangements-9" TargetMode="External"/><Relationship Id="rId25" Type="http://schemas.openxmlformats.org/officeDocument/2006/relationships/hyperlink" Target="https://www.emv.vic.gov.au/how-we-help/disaster-recovery-funding-arrangements-drfa/disaster-recovery-funding-arrangements-drfa" TargetMode="External"/><Relationship Id="rId33" Type="http://schemas.openxmlformats.org/officeDocument/2006/relationships/hyperlink" Target="https://www.emv.vic.gov.au/publications/victorian-drfa-cost-estimation-tool" TargetMode="External"/><Relationship Id="rId38" Type="http://schemas.openxmlformats.org/officeDocument/2006/relationships/footer" Target="footer6.xml"/><Relationship Id="rId46"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https://www.emv.vic.gov.au/how-we-help/disaster-recovery-funding-arrangements-drfa/disaster-recovery-funding-arrangements-drfa-claims/gl-1-victorian-drfa-guideline-1-claims-and-eligibility-for-essential-public-assets" TargetMode="External"/><Relationship Id="rId20" Type="http://schemas.openxmlformats.org/officeDocument/2006/relationships/image" Target="media/image5.png"/><Relationship Id="rId29" Type="http://schemas.openxmlformats.org/officeDocument/2006/relationships/hyperlink" Target="https://www.emv.vic.gov.au/drfa/fact-sheet-2"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investment.infrastructure.gov.au" TargetMode="External"/><Relationship Id="rId32" Type="http://schemas.openxmlformats.org/officeDocument/2006/relationships/hyperlink" Target="https://www.emv.vic.gov.au/drfa/guideline-2" TargetMode="External"/><Relationship Id="rId37" Type="http://schemas.openxmlformats.org/officeDocument/2006/relationships/footer" Target="footer5.xml"/><Relationship Id="rId40" Type="http://schemas.openxmlformats.org/officeDocument/2006/relationships/header" Target="header6.xml"/><Relationship Id="rId45"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www.emv.vic.gov.au/how-we-help/disaster-recovery-funding-arrangements-drfa/disaster-recovery-funding-arrangements-drfa-claims/victorian-drfa-guideline-2-appendix-b-standard-treatments" TargetMode="External"/><Relationship Id="rId28" Type="http://schemas.openxmlformats.org/officeDocument/2006/relationships/hyperlink" Target="https://www.emv.vic.gov.au/drfa/guideline-2" TargetMode="External"/><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hyperlink" Target="https://www.emv.vic.gov.au/drfa/guideline-2" TargetMode="External"/><Relationship Id="rId44" Type="http://schemas.openxmlformats.org/officeDocument/2006/relationships/header" Target="head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emv.vic.gov.au/publications/victorian-drfa-cost-estimation-tool" TargetMode="External"/><Relationship Id="rId27" Type="http://schemas.openxmlformats.org/officeDocument/2006/relationships/hyperlink" Target="https://www.emv.vic.gov.au/how-we-help/disaster-recovery-funding-arrangements-drfa/disaster-recovery-funding-arrangements-drfa" TargetMode="External"/><Relationship Id="rId30" Type="http://schemas.openxmlformats.org/officeDocument/2006/relationships/hyperlink" Target="https://www.emv.vic.gov.au/how-we-help/disaster-recovery-funding-arrangements-drfa/disaster-recovery-funding-arrangements-9" TargetMode="External"/><Relationship Id="rId35" Type="http://schemas.openxmlformats.org/officeDocument/2006/relationships/header" Target="header4.xml"/><Relationship Id="rId43" Type="http://schemas.openxmlformats.org/officeDocument/2006/relationships/footer" Target="footer8.xml"/><Relationship Id="rId48" Type="http://schemas.openxmlformats.org/officeDocument/2006/relationships/footer" Target="footer9.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0497A"/>
      </a:accent2>
      <a:accent3>
        <a:srgbClr val="749CC9"/>
      </a:accent3>
      <a:accent4>
        <a:srgbClr val="0072CE"/>
      </a:accent4>
      <a:accent5>
        <a:srgbClr val="009CDE"/>
      </a:accent5>
      <a:accent6>
        <a:srgbClr val="8A2A2B"/>
      </a:accent6>
      <a:hlink>
        <a:srgbClr val="7B7B7B"/>
      </a:hlink>
      <a:folHlink>
        <a:srgbClr val="FFFFFF"/>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912544B-9B8B-40DB-AC3D-6E4106783724}">
  <ds:schemaRefs>
    <ds:schemaRef ds:uri="http://schemas.openxmlformats.org/officeDocument/2006/bibliography"/>
  </ds:schemaRefs>
</ds:datastoreItem>
</file>

<file path=customXml/itemProps2.xml><?xml version="1.0" encoding="utf-8"?>
<ds:datastoreItem xmlns:ds="http://schemas.openxmlformats.org/officeDocument/2006/customXml" ds:itemID="{66968397-2AC5-4716-B9A8-95112076A78F}">
  <ds:schemaRefs>
    <ds:schemaRef ds:uri="http://www.w3.org/2001/XMLSchema"/>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33</Pages>
  <Words>10071</Words>
  <Characters>57411</Characters>
  <Application>Microsoft Office Word</Application>
  <DocSecurity>0</DocSecurity>
  <Lines>478</Lines>
  <Paragraphs>134</Paragraphs>
  <ScaleCrop>false</ScaleCrop>
  <Company/>
  <LinksUpToDate>false</LinksUpToDate>
  <CharactersWithSpaces>67348</CharactersWithSpaces>
  <SharedDoc>false</SharedDoc>
  <HLinks>
    <vt:vector size="36" baseType="variant">
      <vt:variant>
        <vt:i4>1179697</vt:i4>
      </vt:variant>
      <vt:variant>
        <vt:i4>51</vt:i4>
      </vt:variant>
      <vt:variant>
        <vt:i4>0</vt:i4>
      </vt:variant>
      <vt:variant>
        <vt:i4>5</vt:i4>
      </vt:variant>
      <vt:variant>
        <vt:lpwstr/>
      </vt:variant>
      <vt:variant>
        <vt:lpwstr>_Toc524969671</vt:lpwstr>
      </vt:variant>
      <vt:variant>
        <vt:i4>1179697</vt:i4>
      </vt:variant>
      <vt:variant>
        <vt:i4>43</vt:i4>
      </vt:variant>
      <vt:variant>
        <vt:i4>0</vt:i4>
      </vt:variant>
      <vt:variant>
        <vt:i4>5</vt:i4>
      </vt:variant>
      <vt:variant>
        <vt:lpwstr/>
      </vt:variant>
      <vt:variant>
        <vt:lpwstr>_Toc524969670</vt:lpwstr>
      </vt:variant>
      <vt:variant>
        <vt:i4>1245233</vt:i4>
      </vt:variant>
      <vt:variant>
        <vt:i4>35</vt:i4>
      </vt:variant>
      <vt:variant>
        <vt:i4>0</vt:i4>
      </vt:variant>
      <vt:variant>
        <vt:i4>5</vt:i4>
      </vt:variant>
      <vt:variant>
        <vt:lpwstr/>
      </vt:variant>
      <vt:variant>
        <vt:lpwstr>_Toc524969669</vt:lpwstr>
      </vt:variant>
      <vt:variant>
        <vt:i4>1245233</vt:i4>
      </vt:variant>
      <vt:variant>
        <vt:i4>29</vt:i4>
      </vt:variant>
      <vt:variant>
        <vt:i4>0</vt:i4>
      </vt:variant>
      <vt:variant>
        <vt:i4>5</vt:i4>
      </vt:variant>
      <vt:variant>
        <vt:lpwstr/>
      </vt:variant>
      <vt:variant>
        <vt:lpwstr>_Toc524969668</vt:lpwstr>
      </vt:variant>
      <vt:variant>
        <vt:i4>1245233</vt:i4>
      </vt:variant>
      <vt:variant>
        <vt:i4>23</vt:i4>
      </vt:variant>
      <vt:variant>
        <vt:i4>0</vt:i4>
      </vt:variant>
      <vt:variant>
        <vt:i4>5</vt:i4>
      </vt:variant>
      <vt:variant>
        <vt:lpwstr/>
      </vt:variant>
      <vt:variant>
        <vt:lpwstr>_Toc524969667</vt:lpwstr>
      </vt:variant>
      <vt:variant>
        <vt:i4>1245233</vt:i4>
      </vt:variant>
      <vt:variant>
        <vt:i4>17</vt:i4>
      </vt:variant>
      <vt:variant>
        <vt:i4>0</vt:i4>
      </vt:variant>
      <vt:variant>
        <vt:i4>5</vt:i4>
      </vt:variant>
      <vt:variant>
        <vt:lpwstr/>
      </vt:variant>
      <vt:variant>
        <vt:lpwstr>_Toc524969666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2025-08-26T02:27:00Z</dcterms:created>
  <dcterms:modified xsi:type="dcterms:W3CDTF">2025-08-26T02:28:00Z</dcterms:modified>
</cp:coreProperties>
</file>